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JAEHNERT FRANK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9"/>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3"/>
          </w:tcPr>
          <w:p>
            <w:pPr>
              <w:ind w:left="38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40" w:type="dxa"/>
            <w:vAlign w:val="bottom"/>
            <w:gridSpan w:val="9"/>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500" w:type="dxa"/>
            <w:vAlign w:val="bottom"/>
            <w:tcBorders>
              <w:bottom w:val="single" w:sz="8" w:color="2C2C2C"/>
            </w:tcBorders>
            <w:gridSpan w:val="8"/>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2"/>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3"/>
          </w:tcPr>
          <w:p>
            <w:pPr>
              <w:ind w:left="300"/>
              <w:spacing w:after="0"/>
              <w:rPr>
                <w:sz w:val="20"/>
                <w:szCs w:val="20"/>
                <w:color w:val="auto"/>
              </w:rPr>
            </w:pPr>
            <w:r>
              <w:rPr>
                <w:rFonts w:ascii="Arial" w:cs="Arial" w:eastAsia="Arial" w:hAnsi="Arial"/>
                <w:sz w:val="18"/>
                <w:szCs w:val="18"/>
                <w:color w:val="0000FF"/>
                <w:w w:val="99"/>
              </w:rPr>
              <w:t>5,446.3248</w:t>
            </w:r>
            <w:r>
              <w:rPr>
                <w:rFonts w:ascii="Arial" w:cs="Arial" w:eastAsia="Arial" w:hAnsi="Arial"/>
                <w:sz w:val="22"/>
                <w:szCs w:val="22"/>
                <w:color w:val="008000"/>
                <w:w w:val="99"/>
                <w:vertAlign w:val="superscript"/>
              </w:rPr>
              <w:t>(2)</w:t>
            </w:r>
          </w:p>
        </w:tc>
        <w:tc>
          <w:tcPr>
            <w:tcW w:w="3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top w:val="single" w:sz="8" w:color="2C2C2C"/>
              <w:bottom w:val="single" w:sz="8" w:color="2C2C2C"/>
            </w:tcBorders>
            <w:gridSpan w:val="3"/>
          </w:tcPr>
          <w:p>
            <w:pPr>
              <w:ind w:left="740"/>
              <w:spacing w:after="0"/>
              <w:rPr>
                <w:sz w:val="20"/>
                <w:szCs w:val="20"/>
                <w:color w:val="auto"/>
              </w:rPr>
            </w:pPr>
            <w:r>
              <w:rPr>
                <w:rFonts w:ascii="Arial" w:cs="Arial" w:eastAsia="Arial" w:hAnsi="Arial"/>
                <w:sz w:val="18"/>
                <w:szCs w:val="18"/>
                <w:color w:val="0000FF"/>
                <w:w w:val="99"/>
              </w:rPr>
              <w:t>05/07/2008</w:t>
            </w: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1,900</w:t>
            </w:r>
          </w:p>
        </w:tc>
        <w:tc>
          <w:tcPr>
            <w:tcW w:w="6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00" w:type="dxa"/>
            <w:vAlign w:val="bottom"/>
            <w:tcBorders>
              <w:top w:val="single" w:sz="8" w:color="2C2C2C"/>
              <w:bottom w:val="single" w:sz="8" w:color="2C2C2C"/>
            </w:tcBorders>
            <w:gridSpan w:val="4"/>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10.1719  58,471.6417</w:t>
            </w:r>
            <w:r>
              <w:rPr>
                <w:rFonts w:ascii="Arial" w:cs="Arial" w:eastAsia="Arial" w:hAnsi="Arial"/>
                <w:sz w:val="22"/>
                <w:szCs w:val="22"/>
                <w:color w:val="008000"/>
                <w:w w:val="97"/>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jc w:val="center"/>
              <w:ind w:left="7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gridSpan w:val="9"/>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0000FF"/>
                <w:w w:val="91"/>
              </w:rPr>
              <w:t>Class A</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1,900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8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1020" w:type="dxa"/>
            <w:vAlign w:val="bottom"/>
          </w:tcPr>
          <w:p>
            <w:pPr>
              <w:ind w:left="200"/>
              <w:spacing w:after="0" w:line="149" w:lineRule="exact"/>
              <w:rPr>
                <w:sz w:val="20"/>
                <w:szCs w:val="20"/>
                <w:color w:val="auto"/>
              </w:rPr>
            </w:pPr>
            <w:r>
              <w:rPr>
                <w:rFonts w:ascii="Arial" w:cs="Arial" w:eastAsia="Arial" w:hAnsi="Arial"/>
                <w:sz w:val="14"/>
                <w:szCs w:val="14"/>
                <w:color w:val="0000FF"/>
              </w:rPr>
              <w:t>05/07/2008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1,900</w:t>
            </w:r>
          </w:p>
        </w:tc>
        <w:tc>
          <w:tcPr>
            <w:tcW w:w="800" w:type="dxa"/>
            <w:vAlign w:val="bottom"/>
          </w:tcPr>
          <w:p>
            <w:pPr>
              <w:ind w:left="60"/>
              <w:spacing w:after="0" w:line="149" w:lineRule="exact"/>
              <w:rPr>
                <w:sz w:val="20"/>
                <w:szCs w:val="20"/>
                <w:color w:val="auto"/>
              </w:rPr>
            </w:pPr>
            <w:r>
              <w:rPr>
                <w:rFonts w:ascii="Arial" w:cs="Arial" w:eastAsia="Arial" w:hAnsi="Arial"/>
                <w:sz w:val="14"/>
                <w:szCs w:val="14"/>
                <w:color w:val="0000FF"/>
              </w:rPr>
              <w:t>08/03/1999</w:t>
            </w: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08/03/2008</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8"/>
              </w:rPr>
              <w:t>Common</w:t>
            </w:r>
          </w:p>
        </w:tc>
        <w:tc>
          <w:tcPr>
            <w:tcW w:w="6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1,491.028 shares purchased under the issuer's 401(K) payroll dedution plan and an additional 262.8130 shares acquired on May 7, 2008 under the issuer's employee dividend reinvestment plan.</w:t>
      </w:r>
    </w:p>
    <w:p>
      <w:pPr>
        <w:spacing w:after="0" w:line="64"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Class A Common Stock Option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Attorney-In- </w:t>
      </w:r>
      <w:r>
        <w:rPr>
          <w:rFonts w:ascii="Arial" w:cs="Arial" w:eastAsia="Arial" w:hAnsi="Arial"/>
          <w:sz w:val="35"/>
          <w:szCs w:val="35"/>
          <w:color w:val="0000FF"/>
          <w:vertAlign w:val="subscript"/>
        </w:rPr>
        <w:t>05/09/2008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2019-12-18T13:45:15Z</dcterms:created>
  <dcterms:modified xsi:type="dcterms:W3CDTF">2019-12-18T13:45:15Z</dcterms:modified>
</cp:coreProperties>
</file>