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22225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97"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301"/>
        </w:trPr>
        <w:tc>
          <w:tcPr>
            <w:tcW w:w="2860" w:type="dxa"/>
            <w:vAlign w:val="bottom"/>
          </w:tcPr>
          <w:p>
            <w:pPr>
              <w:jc w:val="center"/>
              <w:ind w:right="326"/>
              <w:spacing w:after="0"/>
              <w:rPr>
                <w:sz w:val="20"/>
                <w:szCs w:val="20"/>
                <w:color w:val="auto"/>
              </w:rPr>
            </w:pPr>
            <w:r>
              <w:rPr>
                <w:rFonts w:ascii="Arial" w:cs="Arial" w:eastAsia="Arial" w:hAnsi="Arial"/>
                <w:sz w:val="12"/>
                <w:szCs w:val="12"/>
                <w:b w:val="1"/>
                <w:bCs w:val="1"/>
                <w:color w:val="auto"/>
                <w:w w:val="86"/>
              </w:rPr>
              <w:t>Wisconsin</w:t>
            </w:r>
          </w:p>
        </w:tc>
        <w:tc>
          <w:tcPr>
            <w:tcW w:w="490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39-0971239</w:t>
            </w:r>
          </w:p>
        </w:tc>
      </w:tr>
      <w:tr>
        <w:trPr>
          <w:trHeight w:val="123"/>
        </w:trPr>
        <w:tc>
          <w:tcPr>
            <w:tcW w:w="2860" w:type="dxa"/>
            <w:vAlign w:val="bottom"/>
          </w:tcPr>
          <w:p>
            <w:pPr>
              <w:jc w:val="center"/>
              <w:ind w:right="32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380" w:type="dxa"/>
            <w:vAlign w:val="bottom"/>
          </w:tcPr>
          <w:p>
            <w:pPr>
              <w:jc w:val="center"/>
              <w:ind w:left="93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8"/>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66"/>
        </w:trPr>
        <w:tc>
          <w:tcPr>
            <w:tcW w:w="2860" w:type="dxa"/>
            <w:vAlign w:val="bottom"/>
          </w:tcPr>
          <w:p>
            <w:pPr>
              <w:spacing w:after="0"/>
              <w:rPr>
                <w:sz w:val="14"/>
                <w:szCs w:val="14"/>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60" w:type="dxa"/>
            <w:vAlign w:val="bottom"/>
          </w:tcPr>
          <w:p>
            <w:pPr>
              <w:spacing w:after="0"/>
              <w:rPr>
                <w:sz w:val="10"/>
                <w:szCs w:val="10"/>
                <w:color w:val="auto"/>
              </w:rPr>
            </w:pPr>
          </w:p>
        </w:tc>
        <w:tc>
          <w:tcPr>
            <w:tcW w:w="490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(Address of Principal Executive Offices and Zip Code)</w:t>
            </w:r>
          </w:p>
        </w:tc>
      </w:tr>
      <w:tr>
        <w:trPr>
          <w:trHeight w:val="201"/>
        </w:trPr>
        <w:tc>
          <w:tcPr>
            <w:tcW w:w="28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380" w:type="dxa"/>
            <w:vAlign w:val="bottom"/>
          </w:tcPr>
          <w:p>
            <w:pPr>
              <w:spacing w:after="0"/>
              <w:rPr>
                <w:sz w:val="17"/>
                <w:szCs w:val="17"/>
                <w:color w:val="auto"/>
              </w:rPr>
            </w:pPr>
          </w:p>
        </w:tc>
      </w:tr>
      <w:tr>
        <w:trPr>
          <w:trHeight w:val="123"/>
        </w:trPr>
        <w:tc>
          <w:tcPr>
            <w:tcW w:w="2860" w:type="dxa"/>
            <w:vAlign w:val="bottom"/>
          </w:tcPr>
          <w:p>
            <w:pPr>
              <w:spacing w:after="0"/>
              <w:rPr>
                <w:sz w:val="10"/>
                <w:szCs w:val="10"/>
                <w:color w:val="auto"/>
              </w:rPr>
            </w:pPr>
          </w:p>
        </w:tc>
        <w:tc>
          <w:tcPr>
            <w:tcW w:w="4900" w:type="dxa"/>
            <w:vAlign w:val="bottom"/>
            <w:gridSpan w:val="2"/>
          </w:tcPr>
          <w:p>
            <w:pPr>
              <w:jc w:val="center"/>
              <w:ind w:right="233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6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380" w:type="dxa"/>
            <w:vAlign w:val="bottom"/>
          </w:tcPr>
          <w:p>
            <w:pPr>
              <w:spacing w:after="0"/>
              <w:rPr>
                <w:sz w:val="4"/>
                <w:szCs w:val="4"/>
                <w:color w:val="auto"/>
              </w:rPr>
            </w:pPr>
          </w:p>
        </w:tc>
      </w:tr>
    </w:tbl>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11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11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106"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6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420"/>
        <w:spacing w:after="0" w:line="20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September 2, 2021, Brady Corporation (the “Company”) issued a press release announcing its fiscal 2021 fourth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September 2, 2021, the Company hosted a conference call related to its fiscal 2021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Item 8.01</w:t>
      </w:r>
      <w:r>
        <w:rPr>
          <w:sz w:val="20"/>
          <w:szCs w:val="20"/>
          <w:color w:val="auto"/>
        </w:rPr>
        <w:tab/>
      </w:r>
      <w:r>
        <w:rPr>
          <w:rFonts w:ascii="Arial" w:cs="Arial" w:eastAsia="Arial" w:hAnsi="Arial"/>
          <w:sz w:val="11"/>
          <w:szCs w:val="11"/>
          <w:color w:val="auto"/>
        </w:rPr>
        <w:t>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Increase in Annual Dividend</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On August 31, 2021, the Company's Board of Directors approved an increase in the annual cash dividend on its Class A Common Stock from $0.88 to $0.90 per share. A quarterly dividend in the amount of $0.225 per share will be paid on October 29, 2021, to shareholders of record as of the close of business on October 8, 2021. A copy of the press release regarding the dividend is attached hereto as Exhibit 99.2 and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 Repurchase Program</w:t>
      </w:r>
    </w:p>
    <w:p>
      <w:pPr>
        <w:spacing w:after="0" w:line="11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On September 2, 2021, the Corporation announced that its Board of Directors authorized an increase in the Company’s share repurchase program, authorizing the repurchase of up to a total of two million shares of the Company’s Class A Common Stock, inclusive of the remaining shares in the existing share repurchase program.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 The share repurchase program was described in a press release issued by the Company in connection with its fiscal 2021 fourth quarter financial results, which is attached hereto as Exhibit 99.1 and is incorporated by reference.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20" w:type="dxa"/>
            <w:vAlign w:val="bottom"/>
          </w:tcPr>
          <w:p>
            <w:pPr>
              <w:spacing w:after="0"/>
              <w:rPr>
                <w:sz w:val="20"/>
                <w:szCs w:val="20"/>
                <w:color w:val="auto"/>
              </w:rPr>
            </w:pPr>
            <w:r>
              <w:rPr>
                <w:rFonts w:ascii="Arial" w:cs="Arial" w:eastAsia="Arial" w:hAnsi="Arial"/>
                <w:sz w:val="12"/>
                <w:szCs w:val="12"/>
                <w:color w:val="auto"/>
              </w:rPr>
              <w:t>Item 9.01</w:t>
            </w:r>
          </w:p>
        </w:tc>
        <w:tc>
          <w:tcPr>
            <w:tcW w:w="10080" w:type="dxa"/>
            <w:vAlign w:val="bottom"/>
            <w:gridSpan w:val="5"/>
          </w:tcPr>
          <w:p>
            <w:pPr>
              <w:ind w:left="80"/>
              <w:spacing w:after="0"/>
              <w:rPr>
                <w:sz w:val="20"/>
                <w:szCs w:val="20"/>
                <w:color w:val="auto"/>
              </w:rPr>
            </w:pPr>
            <w:r>
              <w:rPr>
                <w:rFonts w:ascii="Arial" w:cs="Arial" w:eastAsia="Arial" w:hAnsi="Arial"/>
                <w:sz w:val="12"/>
                <w:szCs w:val="12"/>
                <w:color w:val="auto"/>
              </w:rPr>
              <w:t>FINANCIAL STATEMENTS AND EXHIBITS</w:t>
            </w:r>
          </w:p>
        </w:tc>
      </w:tr>
      <w:tr>
        <w:trPr>
          <w:trHeight w:val="360"/>
        </w:trPr>
        <w:tc>
          <w:tcPr>
            <w:tcW w:w="1220" w:type="dxa"/>
            <w:vAlign w:val="bottom"/>
          </w:tcPr>
          <w:p>
            <w:pPr>
              <w:spacing w:after="0"/>
              <w:rPr>
                <w:sz w:val="20"/>
                <w:szCs w:val="20"/>
                <w:color w:val="auto"/>
              </w:rPr>
            </w:pPr>
            <w:r>
              <w:rPr>
                <w:rFonts w:ascii="Arial" w:cs="Arial" w:eastAsia="Arial" w:hAnsi="Arial"/>
                <w:sz w:val="12"/>
                <w:szCs w:val="12"/>
                <w:color w:val="auto"/>
              </w:rPr>
              <w:t>(d) Exhibits</w:t>
            </w: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70"/>
        </w:trPr>
        <w:tc>
          <w:tcPr>
            <w:tcW w:w="12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EXHIBIT NUMBER</w:t>
            </w:r>
          </w:p>
        </w:tc>
        <w:tc>
          <w:tcPr>
            <w:tcW w:w="160" w:type="dxa"/>
            <w:vAlign w:val="bottom"/>
          </w:tcPr>
          <w:p>
            <w:pPr>
              <w:spacing w:after="0"/>
              <w:rPr>
                <w:sz w:val="23"/>
                <w:szCs w:val="23"/>
                <w:color w:val="auto"/>
              </w:rPr>
            </w:pPr>
          </w:p>
        </w:tc>
        <w:tc>
          <w:tcPr>
            <w:tcW w:w="99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color w:val="auto"/>
              </w:rPr>
              <w:t>DESCRIPTION</w:t>
            </w:r>
          </w:p>
        </w:tc>
      </w:tr>
      <w:tr>
        <w:trPr>
          <w:trHeight w:val="178"/>
        </w:trPr>
        <w:tc>
          <w:tcPr>
            <w:tcW w:w="1220" w:type="dxa"/>
            <w:vAlign w:val="bottom"/>
          </w:tcPr>
          <w:p>
            <w:pPr>
              <w:spacing w:after="0"/>
              <w:rPr>
                <w:sz w:val="20"/>
                <w:szCs w:val="20"/>
                <w:color w:val="auto"/>
              </w:rPr>
            </w:pPr>
            <w:r>
              <w:rPr>
                <w:rFonts w:ascii="Arial" w:cs="Arial" w:eastAsia="Arial" w:hAnsi="Arial"/>
                <w:sz w:val="12"/>
                <w:szCs w:val="12"/>
                <w:color w:val="auto"/>
              </w:rPr>
              <w:t>99.1</w:t>
            </w:r>
          </w:p>
        </w:tc>
        <w:tc>
          <w:tcPr>
            <w:tcW w:w="160" w:type="dxa"/>
            <w:vAlign w:val="bottom"/>
          </w:tcPr>
          <w:p>
            <w:pPr>
              <w:spacing w:after="0"/>
              <w:rPr>
                <w:sz w:val="15"/>
                <w:szCs w:val="15"/>
                <w:color w:val="auto"/>
              </w:rPr>
            </w:pPr>
          </w:p>
        </w:tc>
        <w:tc>
          <w:tcPr>
            <w:tcW w:w="9920" w:type="dxa"/>
            <w:vAlign w:val="bottom"/>
            <w:gridSpan w:val="4"/>
          </w:tcPr>
          <w:p>
            <w:pPr>
              <w:ind w:left="20"/>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of Brady Corporation, dated September 2, 2021, relating to fourth quarter fiscal 2021 financial results.</w:t>
              </w:r>
            </w:hyperlink>
          </w:p>
        </w:tc>
      </w:tr>
      <w:tr>
        <w:trPr>
          <w:trHeight w:val="250"/>
        </w:trPr>
        <w:tc>
          <w:tcPr>
            <w:tcW w:w="1220" w:type="dxa"/>
            <w:vAlign w:val="bottom"/>
          </w:tcPr>
          <w:p>
            <w:pPr>
              <w:spacing w:after="0"/>
              <w:rPr>
                <w:sz w:val="20"/>
                <w:szCs w:val="20"/>
                <w:color w:val="auto"/>
              </w:rPr>
            </w:pPr>
            <w:r>
              <w:rPr>
                <w:rFonts w:ascii="Arial" w:cs="Arial" w:eastAsia="Arial" w:hAnsi="Arial"/>
                <w:sz w:val="12"/>
                <w:szCs w:val="12"/>
                <w:color w:val="auto"/>
              </w:rPr>
              <w:t>99.2</w:t>
            </w:r>
          </w:p>
        </w:tc>
        <w:tc>
          <w:tcPr>
            <w:tcW w:w="160" w:type="dxa"/>
            <w:vAlign w:val="bottom"/>
          </w:tcPr>
          <w:p>
            <w:pPr>
              <w:spacing w:after="0"/>
              <w:rPr>
                <w:sz w:val="21"/>
                <w:szCs w:val="21"/>
                <w:color w:val="auto"/>
              </w:rPr>
            </w:pPr>
          </w:p>
        </w:tc>
        <w:tc>
          <w:tcPr>
            <w:tcW w:w="5600" w:type="dxa"/>
            <w:vAlign w:val="bottom"/>
            <w:tcBorders>
              <w:top w:val="single" w:sz="8" w:color="0000FF"/>
            </w:tcBorders>
            <w:gridSpan w:val="2"/>
          </w:tcPr>
          <w:p>
            <w:pPr>
              <w:ind w:left="20"/>
              <w:spacing w:after="0"/>
              <w:rPr>
                <w:rFonts w:ascii="Arial" w:cs="Arial" w:eastAsia="Arial" w:hAnsi="Arial"/>
                <w:sz w:val="12"/>
                <w:szCs w:val="12"/>
                <w:color w:val="0000FF"/>
              </w:rPr>
            </w:pPr>
            <w:hyperlink w:anchor="page14">
              <w:r>
                <w:rPr>
                  <w:rFonts w:ascii="Arial" w:cs="Arial" w:eastAsia="Arial" w:hAnsi="Arial"/>
                  <w:sz w:val="12"/>
                  <w:szCs w:val="12"/>
                  <w:color w:val="0000FF"/>
                </w:rPr>
                <w:t>Press Release of Brady Corporation, dated September 1, 2021, relating to increase in annual dividend.</w:t>
              </w:r>
            </w:hyperlink>
          </w:p>
        </w:tc>
        <w:tc>
          <w:tcPr>
            <w:tcW w:w="4320" w:type="dxa"/>
            <w:vAlign w:val="bottom"/>
            <w:gridSpan w:val="2"/>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2"/>
                <w:szCs w:val="12"/>
                <w:color w:val="auto"/>
              </w:rPr>
              <w:t>99.3</w:t>
            </w:r>
          </w:p>
        </w:tc>
        <w:tc>
          <w:tcPr>
            <w:tcW w:w="160" w:type="dxa"/>
            <w:vAlign w:val="bottom"/>
          </w:tcPr>
          <w:p>
            <w:pPr>
              <w:spacing w:after="0"/>
              <w:rPr>
                <w:sz w:val="21"/>
                <w:szCs w:val="21"/>
                <w:color w:val="auto"/>
              </w:rPr>
            </w:pPr>
          </w:p>
        </w:tc>
        <w:tc>
          <w:tcPr>
            <w:tcW w:w="9920" w:type="dxa"/>
            <w:vAlign w:val="bottom"/>
            <w:gridSpan w:val="4"/>
          </w:tcPr>
          <w:p>
            <w:pPr>
              <w:ind w:left="20"/>
              <w:spacing w:after="0"/>
              <w:rPr>
                <w:rFonts w:ascii="Arial" w:cs="Arial" w:eastAsia="Arial" w:hAnsi="Arial"/>
                <w:sz w:val="12"/>
                <w:szCs w:val="12"/>
                <w:color w:val="0000FF"/>
              </w:rPr>
            </w:pPr>
            <w:hyperlink w:anchor="page15">
              <w:r>
                <w:rPr>
                  <w:rFonts w:ascii="Arial" w:cs="Arial" w:eastAsia="Arial" w:hAnsi="Arial"/>
                  <w:sz w:val="12"/>
                  <w:szCs w:val="12"/>
                  <w:color w:val="0000FF"/>
                </w:rPr>
                <w:t>Informational slides provided by Brady Corporation, dated September 2, 2021, relating to fourth quarter fiscal 2021 financial results.</w:t>
              </w:r>
            </w:hyperlink>
          </w:p>
        </w:tc>
      </w:tr>
      <w:tr>
        <w:trPr>
          <w:trHeight w:val="304"/>
        </w:trPr>
        <w:tc>
          <w:tcPr>
            <w:tcW w:w="1220" w:type="dxa"/>
            <w:vAlign w:val="bottom"/>
          </w:tcPr>
          <w:p>
            <w:pPr>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24"/>
                <w:szCs w:val="24"/>
                <w:color w:val="auto"/>
              </w:rPr>
            </w:pPr>
          </w:p>
        </w:tc>
        <w:tc>
          <w:tcPr>
            <w:tcW w:w="6380" w:type="dxa"/>
            <w:vAlign w:val="bottom"/>
            <w:tcBorders>
              <w:top w:val="single" w:sz="8" w:color="0000FF"/>
            </w:tcBorders>
            <w:gridSpan w:val="3"/>
          </w:tcPr>
          <w:p>
            <w:pPr>
              <w:ind w:left="20"/>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3540" w:type="dxa"/>
            <w:vAlign w:val="bottom"/>
          </w:tcPr>
          <w:p>
            <w:pPr>
              <w:spacing w:after="0"/>
              <w:rPr>
                <w:sz w:val="24"/>
                <w:szCs w:val="24"/>
                <w:color w:val="auto"/>
              </w:rPr>
            </w:pPr>
          </w:p>
        </w:tc>
      </w:tr>
      <w:tr>
        <w:trPr>
          <w:trHeight w:val="810"/>
        </w:trPr>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 w:name="page3"/>
    <w:bookmarkEnd w:id="2"/>
    <w:p>
      <w:pPr>
        <w:ind w:left="532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September 2, 2021</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9525</wp:posOffset>
            </wp:positionV>
            <wp:extent cx="34518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0159"/>
          </w:cols>
          <w:pgMar w:left="300" w:top="64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2021 Fourth Quarter Results and Announces its Fiscal 2022 EPS Guidance</w:t>
      </w:r>
    </w:p>
    <w:p>
      <w:pPr>
        <w:spacing w:after="0" w:line="215" w:lineRule="exact"/>
        <w:rPr>
          <w:sz w:val="20"/>
          <w:szCs w:val="20"/>
          <w:color w:val="auto"/>
        </w:rPr>
      </w:pPr>
    </w:p>
    <w:p>
      <w:pPr>
        <w:ind w:left="420" w:right="20" w:hanging="212"/>
        <w:spacing w:after="0" w:line="359"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Income before income taxes was $41.6 million in the fourth quarter of fiscal 2021 compared to $34.9 million in the fourth quarter of fiscal 2020. Income Before Income Taxes Excluding Certain Items* in the fourth quarter of fiscal 2021 was $45.4 million compared to $34.9 million in the fourth quarter of fiscal 2020.</w:t>
      </w:r>
    </w:p>
    <w:p>
      <w:pPr>
        <w:spacing w:after="0" w:line="3" w:lineRule="exact"/>
        <w:rPr>
          <w:rFonts w:ascii="Arial" w:cs="Arial" w:eastAsia="Arial" w:hAnsi="Arial"/>
          <w:sz w:val="14"/>
          <w:szCs w:val="14"/>
          <w:color w:val="auto"/>
        </w:rPr>
      </w:pPr>
    </w:p>
    <w:p>
      <w:pPr>
        <w:ind w:left="420" w:hanging="212"/>
        <w:spacing w:after="0" w:line="359"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 the fourth quarter of fiscal 2021 and 2020 was consistent between both quarters at $0.53. Diluted EPS Excluding Certain Items* increased 32.1 percent to $0.70 in the fourth quarter of fiscal 2021 compared to $0.53 in the same quarter of the prior year.</w:t>
      </w:r>
    </w:p>
    <w:p>
      <w:pPr>
        <w:spacing w:after="0" w:line="3"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21.6 percent. Organic sales increased 12.6 percent.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Net cash provided by operating activities was $50.8 million in the fourth quarter of fiscal 2021 compared to $45.1 million in the fourth quarter of the prior year.</w:t>
      </w:r>
    </w:p>
    <w:p>
      <w:pPr>
        <w:spacing w:after="0" w:line="82" w:lineRule="exact"/>
        <w:rPr>
          <w:rFonts w:ascii="Arial" w:cs="Arial" w:eastAsia="Arial" w:hAnsi="Arial"/>
          <w:sz w:val="14"/>
          <w:szCs w:val="14"/>
          <w:color w:val="auto"/>
        </w:rPr>
      </w:pPr>
    </w:p>
    <w:p>
      <w:pPr>
        <w:ind w:left="420" w:hanging="212"/>
        <w:spacing w:after="0" w:line="368"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guidance for the year ending July 31, 2022 was announced at a range of $3.12 - $3.32, excluding after-tax amortization expense and $2.90 - $3.10 on a GAAP basis. This GAAP EPS guidance range is an increase of 17.4 percent to 25.5 percent compared to GAAP EPS of $2.47 for the year ended July 31, 2021.</w:t>
      </w:r>
    </w:p>
    <w:p>
      <w:pPr>
        <w:spacing w:after="0" w:line="136" w:lineRule="exact"/>
        <w:rPr>
          <w:sz w:val="20"/>
          <w:szCs w:val="20"/>
          <w:color w:val="auto"/>
        </w:rPr>
      </w:pPr>
    </w:p>
    <w:p>
      <w:pPr>
        <w:jc w:val="both"/>
        <w:spacing w:after="0" w:line="387" w:lineRule="auto"/>
        <w:rPr>
          <w:sz w:val="20"/>
          <w:szCs w:val="20"/>
          <w:color w:val="auto"/>
        </w:rPr>
      </w:pPr>
      <w:r>
        <w:rPr>
          <w:rFonts w:ascii="Arial" w:cs="Arial" w:eastAsia="Arial" w:hAnsi="Arial"/>
          <w:sz w:val="13"/>
          <w:szCs w:val="13"/>
          <w:color w:val="auto"/>
        </w:rPr>
        <w:t>MILWAUKEE (September 2, 2021) -- Brady Corporation (NYSE: BRC) (“Brady” or “Company”), a world leader in identification solutions, today reported its financial results for its fiscal 2021 fourth quarter ended July 31, 2021.</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July 31, 2021 Financial Results:</w:t>
      </w:r>
    </w:p>
    <w:p>
      <w:pPr>
        <w:spacing w:after="0" w:line="80" w:lineRule="exact"/>
        <w:rPr>
          <w:sz w:val="20"/>
          <w:szCs w:val="20"/>
          <w:color w:val="auto"/>
        </w:rPr>
      </w:pPr>
    </w:p>
    <w:p>
      <w:pPr>
        <w:jc w:val="both"/>
        <w:ind w:firstLine="432"/>
        <w:spacing w:after="0" w:line="370" w:lineRule="auto"/>
        <w:rPr>
          <w:sz w:val="20"/>
          <w:szCs w:val="20"/>
          <w:color w:val="auto"/>
        </w:rPr>
      </w:pPr>
      <w:r>
        <w:rPr>
          <w:rFonts w:ascii="Arial" w:cs="Arial" w:eastAsia="Arial" w:hAnsi="Arial"/>
          <w:sz w:val="13"/>
          <w:szCs w:val="13"/>
          <w:color w:val="auto"/>
        </w:rPr>
        <w:t>Income before income taxes and losses of unconsolidated affiliate increased 19.4 percent to $41.6 million for the quarter ended July 31, 2021, compared to $34.9 million in the same quarter last year. Income Before Income Taxes Excluding Certain Items*, which was adjusted for non-recurring acquisition-related charges of $3.7 million for the quarter ended July 31, 2021, was $45.4 million, an increase of 30.1 percent compared to the fourth quarter of last year.</w:t>
      </w:r>
    </w:p>
    <w:p>
      <w:pPr>
        <w:spacing w:after="0" w:line="2" w:lineRule="exact"/>
        <w:rPr>
          <w:sz w:val="20"/>
          <w:szCs w:val="20"/>
          <w:color w:val="auto"/>
        </w:rPr>
      </w:pPr>
    </w:p>
    <w:p>
      <w:pPr>
        <w:jc w:val="both"/>
        <w:ind w:firstLine="432"/>
        <w:spacing w:after="0" w:line="415" w:lineRule="auto"/>
        <w:rPr>
          <w:sz w:val="20"/>
          <w:szCs w:val="20"/>
          <w:color w:val="auto"/>
        </w:rPr>
      </w:pPr>
      <w:r>
        <w:rPr>
          <w:rFonts w:ascii="Arial" w:cs="Arial" w:eastAsia="Arial" w:hAnsi="Arial"/>
          <w:sz w:val="13"/>
          <w:szCs w:val="13"/>
          <w:color w:val="auto"/>
        </w:rPr>
        <w:t>Net income for the quarter ended July 31, 2021 was $28.0 million compared to $27.7 million in the same quarter last year. Earnings per diluted Class A Nonvoting Common Share were $0.53 for the fourth quarter of fiscal 2021, compared to $0.53 in the same quarter last year. Net Income Excluding Certain Items* for the quarter ended</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July 31, 2021 was $37.0 million and Diluted EPS Excluding Certain Items* for the quarter ended July 31, 2021 was $0.70.</w:t>
      </w:r>
    </w:p>
    <w:p>
      <w:pPr>
        <w:spacing w:after="0" w:line="76" w:lineRule="exact"/>
        <w:rPr>
          <w:sz w:val="20"/>
          <w:szCs w:val="20"/>
          <w:color w:val="auto"/>
        </w:rPr>
      </w:pPr>
    </w:p>
    <w:p>
      <w:pPr>
        <w:jc w:val="both"/>
        <w:ind w:firstLine="432"/>
        <w:spacing w:after="0" w:line="430" w:lineRule="auto"/>
        <w:rPr>
          <w:sz w:val="20"/>
          <w:szCs w:val="20"/>
          <w:color w:val="auto"/>
        </w:rPr>
      </w:pPr>
      <w:r>
        <w:rPr>
          <w:rFonts w:ascii="Arial" w:cs="Arial" w:eastAsia="Arial" w:hAnsi="Arial"/>
          <w:sz w:val="12"/>
          <w:szCs w:val="12"/>
          <w:color w:val="auto"/>
        </w:rPr>
        <w:t>Sales for the quarter ended July 31, 2021 increased 21.6 percent, which consisted of an organic sales increase of 12.6 percent, an increase of 4.7 percent from acquisitions, and an increase of 4.3 percent from foreign currency translation. Sales for the quarter ended July 31, 2021 were $306.1 million compared to $251.7 million in the same quarter last year. By segment, sales increased 35.0 percent in Identification Solutions and decreased 6.8 percent in Workplace Safety, which consisted of an organic sales increase of 24.5 percent in Identification Solutions and an organic sales decline of 12.7 percent in Workplace Safety.</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July 31, 2021 Financial Results:</w:t>
      </w:r>
    </w:p>
    <w:p>
      <w:pPr>
        <w:spacing w:after="0" w:line="80" w:lineRule="exact"/>
        <w:rPr>
          <w:sz w:val="20"/>
          <w:szCs w:val="20"/>
          <w:color w:val="auto"/>
        </w:rPr>
      </w:pPr>
    </w:p>
    <w:p>
      <w:pPr>
        <w:jc w:val="both"/>
        <w:ind w:right="20" w:firstLine="432"/>
        <w:spacing w:after="0" w:line="382" w:lineRule="auto"/>
        <w:rPr>
          <w:sz w:val="20"/>
          <w:szCs w:val="20"/>
          <w:color w:val="auto"/>
        </w:rPr>
      </w:pPr>
      <w:r>
        <w:rPr>
          <w:rFonts w:ascii="Arial" w:cs="Arial" w:eastAsia="Arial" w:hAnsi="Arial"/>
          <w:sz w:val="13"/>
          <w:szCs w:val="13"/>
          <w:color w:val="auto"/>
        </w:rPr>
        <w:t>Income before income taxes and losses of unconsolidated affiliate increased 21.3 percent to $171.0 million for the year ended July 31, 2021, compared to $140.9 million for the year ended July 31, 2020. Income Before Income Taxes Excluding Certain Items* increased 12.9 percent to $174.8 million for the year ended July 31, 2021, compared to $154.8 million for the year ended July 31, 2020. Income Before Income Taxes Excluding Certain Items* for the year ended July 31, 2021 was adjusted for non-recurring acquisition-related expenses of $3.7 million. Income Before Income Taxes Excluding Certain Items* for the prior year ended July 31, 2020 was adjusted for non-cash impairment charges of $13.8 million.</w:t>
      </w:r>
    </w:p>
    <w:p>
      <w:pPr>
        <w:spacing w:after="0" w:line="2" w:lineRule="exact"/>
        <w:rPr>
          <w:sz w:val="20"/>
          <w:szCs w:val="20"/>
          <w:color w:val="auto"/>
        </w:rPr>
      </w:pPr>
    </w:p>
    <w:p>
      <w:pPr>
        <w:jc w:val="both"/>
        <w:ind w:right="20" w:firstLine="432"/>
        <w:spacing w:after="0" w:line="375" w:lineRule="auto"/>
        <w:rPr>
          <w:sz w:val="20"/>
          <w:szCs w:val="20"/>
          <w:color w:val="auto"/>
        </w:rPr>
      </w:pPr>
      <w:r>
        <w:rPr>
          <w:rFonts w:ascii="Arial" w:cs="Arial" w:eastAsia="Arial" w:hAnsi="Arial"/>
          <w:sz w:val="13"/>
          <w:szCs w:val="13"/>
          <w:color w:val="auto"/>
        </w:rPr>
        <w:t>Net income for the year ended July 31, 2021 increased 15.4 percent to $129.7 million compared to $112.4 million last year. Earnings per diluted Class A Nonvoting Common Share increased 17.1 percent to $2.47 for the year ended July 31, 2021, compared to $2.11 last year.</w:t>
      </w:r>
    </w:p>
    <w:p>
      <w:pPr>
        <w:spacing w:after="0" w:line="1" w:lineRule="exact"/>
        <w:rPr>
          <w:sz w:val="20"/>
          <w:szCs w:val="20"/>
          <w:color w:val="auto"/>
        </w:rPr>
      </w:pPr>
    </w:p>
    <w:p>
      <w:pPr>
        <w:jc w:val="both"/>
        <w:ind w:firstLine="432"/>
        <w:spacing w:after="0" w:line="361" w:lineRule="auto"/>
        <w:rPr>
          <w:sz w:val="20"/>
          <w:szCs w:val="20"/>
          <w:color w:val="auto"/>
        </w:rPr>
      </w:pPr>
      <w:r>
        <w:rPr>
          <w:rFonts w:ascii="Arial" w:cs="Arial" w:eastAsia="Arial" w:hAnsi="Arial"/>
          <w:sz w:val="13"/>
          <w:szCs w:val="13"/>
          <w:color w:val="auto"/>
        </w:rPr>
        <w:t>Net Income Excluding Certain Items* increased 12.3 percent to $138.6 million for the year ended July 31, 2021 compared to $123.4 million for the year ended July 31, 2020. Diluted EPS Excluding Certain Items* increased 14.2 percent to $2.65 for the year ended July 31, 2021 compared to $2.32 for the year ended July 31, 2020.</w:t>
      </w:r>
    </w:p>
    <w:p>
      <w:pPr>
        <w:jc w:val="both"/>
        <w:ind w:firstLine="432"/>
        <w:spacing w:after="0" w:line="430" w:lineRule="auto"/>
        <w:rPr>
          <w:sz w:val="20"/>
          <w:szCs w:val="20"/>
          <w:color w:val="auto"/>
        </w:rPr>
      </w:pPr>
      <w:r>
        <w:rPr>
          <w:rFonts w:ascii="Arial" w:cs="Arial" w:eastAsia="Arial" w:hAnsi="Arial"/>
          <w:sz w:val="12"/>
          <w:szCs w:val="12"/>
          <w:color w:val="auto"/>
        </w:rPr>
        <w:t>Sales for the year ended July 31, 2021 increased 5.9 percent, which consisted of organic sales growth of 1.6 percent, an increase of 1.1 percent from acquisitions, and an increase of 3.2 percent from foreign currency translation. Sales for the year ended July 31, 2021 were $1.14 billion compared to $1.08 billion in the same period last year. By segment, sales grew 7.2 percent in Identification Solutions and grew 2.2 percent in Workplace Safety, which consisted of organic sales growth of 3.7 percent in Identification Solutions and an organic sales decline of 3.8 percent in Workplace Safety.</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98" w:lineRule="exact"/>
        <w:rPr>
          <w:sz w:val="20"/>
          <w:szCs w:val="20"/>
          <w:color w:val="auto"/>
        </w:rPr>
      </w:pPr>
    </w:p>
    <w:p>
      <w:pPr>
        <w:jc w:val="both"/>
        <w:ind w:firstLine="432"/>
        <w:spacing w:after="0" w:line="403" w:lineRule="auto"/>
        <w:rPr>
          <w:sz w:val="20"/>
          <w:szCs w:val="20"/>
          <w:color w:val="auto"/>
        </w:rPr>
      </w:pPr>
      <w:r>
        <w:rPr>
          <w:rFonts w:ascii="Arial" w:cs="Arial" w:eastAsia="Arial" w:hAnsi="Arial"/>
          <w:sz w:val="13"/>
          <w:szCs w:val="13"/>
          <w:color w:val="auto"/>
        </w:rPr>
        <w:t>“Throughout the pandemic, we invested in sales and marketing as well as research and development. These investments, coupled with improved market conditions, helped us generate double-digit organic sales growth this quarter,” said Brady’s President and Chief Executive Officer, J. Michael Nauman. “This quarter, we also completed three acquisitions which position Brady extremely well for long-term sales and cash flow growth. Each</w:t>
      </w:r>
    </w:p>
    <w:p>
      <w:pPr>
        <w:sectPr>
          <w:pgSz w:w="11900" w:h="16838" w:orient="portrait"/>
          <w:cols w:equalWidth="0" w:num="1">
            <w:col w:w="11300"/>
          </w:cols>
          <w:pgMar w:left="300" w:top="678" w:right="299" w:bottom="1440" w:gutter="0" w:footer="0" w:header="0"/>
        </w:sectPr>
      </w:pPr>
    </w:p>
    <w:bookmarkStart w:id="5" w:name="page6"/>
    <w:bookmarkEnd w:id="5"/>
    <w:p>
      <w:pPr>
        <w:jc w:val="both"/>
        <w:spacing w:after="0" w:line="391" w:lineRule="auto"/>
        <w:rPr>
          <w:sz w:val="20"/>
          <w:szCs w:val="20"/>
          <w:color w:val="auto"/>
        </w:rPr>
      </w:pPr>
      <w:r>
        <w:rPr>
          <w:rFonts w:ascii="Arial" w:cs="Arial" w:eastAsia="Arial" w:hAnsi="Arial"/>
          <w:sz w:val="12"/>
          <w:szCs w:val="12"/>
          <w:color w:val="auto"/>
        </w:rPr>
        <w:t>of these acquisitions brings technology to Brady that further cements our leadership position in selected niche safety and identification markets. Our priorities for fiscal 2022 are to continue to accelerate organic sales growth by making the necessary investments in R&amp;D and sales and marketing, to continue to become a more efficient manufacturer through increased automation and the relentless push for sustainable efficiency actions, to ensure the smooth integration of our recent acquisitions, and finally to deploy our strong balance sheet to generate increased shareholder value.”</w:t>
      </w:r>
    </w:p>
    <w:p>
      <w:pPr>
        <w:spacing w:after="0" w:line="1" w:lineRule="exact"/>
        <w:rPr>
          <w:sz w:val="20"/>
          <w:szCs w:val="20"/>
          <w:color w:val="auto"/>
        </w:rPr>
      </w:pPr>
    </w:p>
    <w:p>
      <w:pPr>
        <w:jc w:val="both"/>
        <w:ind w:firstLine="432"/>
        <w:spacing w:after="0" w:line="389" w:lineRule="auto"/>
        <w:rPr>
          <w:sz w:val="20"/>
          <w:szCs w:val="20"/>
          <w:color w:val="auto"/>
        </w:rPr>
      </w:pPr>
      <w:r>
        <w:rPr>
          <w:rFonts w:ascii="Arial" w:cs="Arial" w:eastAsia="Arial" w:hAnsi="Arial"/>
          <w:sz w:val="13"/>
          <w:szCs w:val="13"/>
          <w:color w:val="auto"/>
        </w:rPr>
        <w:t>“This quarter, we had strong double-digit sales growth of 21.6 percent and generated non-GAAP EPS of $0.70, which represents another very strong quarter for Brady,” said Brady’s Chief Financial Officer, Aaron Pearce. “Brady continues to generate strong cash flow and has a very strong balance sheet. Even after investing $244 million in acquisitions in the fourth quarter, we are still in a net cash position of $109.3 million as of July 31, 2021. This year, we generated $205.7 million of cash flow from operating activities, which was an increase of 45.9 percent compared to last year. Brady’s strong balance sheet, recent organic and inorganic investments, and strong cash generation position us well for future financial success.”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Buyback Program:</w:t>
      </w:r>
    </w:p>
    <w:p>
      <w:pPr>
        <w:spacing w:after="0" w:line="80" w:lineRule="exact"/>
        <w:rPr>
          <w:sz w:val="20"/>
          <w:szCs w:val="20"/>
          <w:color w:val="auto"/>
        </w:rPr>
      </w:pPr>
    </w:p>
    <w:p>
      <w:pPr>
        <w:ind w:right="380" w:firstLine="432"/>
        <w:spacing w:after="0" w:line="388" w:lineRule="auto"/>
        <w:rPr>
          <w:sz w:val="20"/>
          <w:szCs w:val="20"/>
          <w:color w:val="auto"/>
        </w:rPr>
      </w:pPr>
      <w:r>
        <w:rPr>
          <w:rFonts w:ascii="Arial" w:cs="Arial" w:eastAsia="Arial" w:hAnsi="Arial"/>
          <w:sz w:val="13"/>
          <w:szCs w:val="13"/>
          <w:color w:val="auto"/>
        </w:rPr>
        <w:t>On September 1, 2021, Brady’s Board of Directors authorized an increase in the Company’s share buyback program, bringing the amount of the Company’s Class A Common Stock authorized for repurchase up to a total of two million shares, inclusive of the shares in the existing share buyback program. The share buyback plan may be implemented from time to time on the open market or in privately negotiated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2022 Guidance:</w:t>
      </w:r>
    </w:p>
    <w:p>
      <w:pPr>
        <w:spacing w:after="0" w:line="98" w:lineRule="exact"/>
        <w:rPr>
          <w:sz w:val="20"/>
          <w:szCs w:val="20"/>
          <w:color w:val="auto"/>
        </w:rPr>
      </w:pPr>
    </w:p>
    <w:p>
      <w:pPr>
        <w:jc w:val="both"/>
        <w:ind w:firstLine="432"/>
        <w:spacing w:after="0" w:line="368" w:lineRule="auto"/>
        <w:rPr>
          <w:sz w:val="20"/>
          <w:szCs w:val="20"/>
          <w:color w:val="auto"/>
        </w:rPr>
      </w:pPr>
      <w:r>
        <w:rPr>
          <w:rFonts w:ascii="Arial" w:cs="Arial" w:eastAsia="Arial" w:hAnsi="Arial"/>
          <w:sz w:val="13"/>
          <w:szCs w:val="13"/>
          <w:color w:val="auto"/>
        </w:rPr>
        <w:t>Brady expects earnings per diluted Class A Nonvoting Common Share, excluding after-tax amortization expense to range from $3.12 to $3.32 for the year ending July 31, 2022. Brady also expects GAAP earnings per diluted Class A Nonvoting Common Share to range from $2.90 to $3.10, which would be an increase of 17.4 percent to 25.5 percent over the GAAP earnings per diluted Class A Nonvoting Common Share of $2.47 for the year ended July 31, 2021. Included in our earnings-per-share guidance is an $8.1 million increase in amortization expense from $7.1 million in fiscal 2021 to $15.2 million for the year ending July 31, 2022, which equates to an after-tax year-over-year increase of approximately $0.12 per share.</w:t>
      </w:r>
    </w:p>
    <w:p>
      <w:pPr>
        <w:spacing w:after="0" w:line="1" w:lineRule="exact"/>
        <w:rPr>
          <w:sz w:val="20"/>
          <w:szCs w:val="20"/>
          <w:color w:val="auto"/>
        </w:rPr>
      </w:pPr>
    </w:p>
    <w:p>
      <w:pPr>
        <w:ind w:right="60" w:firstLine="432"/>
        <w:spacing w:after="0" w:line="388" w:lineRule="auto"/>
        <w:rPr>
          <w:sz w:val="20"/>
          <w:szCs w:val="20"/>
          <w:color w:val="auto"/>
        </w:rPr>
      </w:pPr>
      <w:r>
        <w:rPr>
          <w:rFonts w:ascii="Arial" w:cs="Arial" w:eastAsia="Arial" w:hAnsi="Arial"/>
          <w:sz w:val="13"/>
          <w:szCs w:val="13"/>
          <w:color w:val="auto"/>
        </w:rPr>
        <w:t>This guidance is based upon a full-year income tax rate of approximately 20 percent, depreciation and amortization expense of approximately $36 million, and sales growth in excess of 12 percent for the year ending July 31, 2022. Capital expenditures, exclusive of facility purchases are expected to be approximately $25 million during the year ending July 31, 2022. The Company’s fiscal 2022 guidance is based on foreign currency exchange rates as of July 31, 2021 and assumes a continued economic recovery.</w:t>
      </w:r>
    </w:p>
    <w:p>
      <w:pPr>
        <w:sectPr>
          <w:pgSz w:w="11900" w:h="16838" w:orient="portrait"/>
          <w:cols w:equalWidth="0" w:num="1">
            <w:col w:w="11300"/>
          </w:cols>
          <w:pgMar w:left="300" w:top="696"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3"/>
          <w:szCs w:val="13"/>
          <w:color w:val="auto"/>
        </w:rPr>
        <w:t xml:space="preserve">A webcast regarding Brady’s fiscal 2021 fourth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56" w:lineRule="exact"/>
        <w:rPr>
          <w:sz w:val="20"/>
          <w:szCs w:val="20"/>
          <w:color w:val="auto"/>
        </w:rPr>
      </w:pPr>
    </w:p>
    <w:p>
      <w:pPr>
        <w:jc w:val="both"/>
        <w:ind w:firstLine="432"/>
        <w:spacing w:after="0" w:line="38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Income Before Income Taxes Excluding Certain Items, Net Income Excluding Certain Items, and Diluted EPS Excluding Certain Items are non-GAAP measures. See appendix.</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Brady’s ability to develop technologically advanced products that meet customer demands; Brady’s ability to properly identify, integrate, and grow acquired companies, and to manage contingent liabilities from divested businesses; raw material and other cost increases including raw material shortages;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8"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1"/>
                <w:szCs w:val="1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color w:val="auto"/>
              </w:rPr>
              <w:t>Year ended July 31,</w:t>
            </w:r>
          </w:p>
        </w:tc>
        <w:tc>
          <w:tcPr>
            <w:tcW w:w="860" w:type="dxa"/>
            <w:vAlign w:val="bottom"/>
            <w:tcBorders>
              <w:bottom w:val="single" w:sz="8" w:color="auto"/>
            </w:tcBorders>
          </w:tcPr>
          <w:p>
            <w:pPr>
              <w:spacing w:after="0"/>
              <w:rPr>
                <w:sz w:val="12"/>
                <w:szCs w:val="12"/>
                <w:color w:val="auto"/>
              </w:rPr>
            </w:pPr>
          </w:p>
        </w:tc>
      </w:tr>
      <w:tr>
        <w:trPr>
          <w:trHeight w:val="133"/>
        </w:trPr>
        <w:tc>
          <w:tcPr>
            <w:tcW w:w="5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2020</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306,130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251,744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1,144,698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1,081,299</w:t>
            </w:r>
          </w:p>
        </w:tc>
      </w:tr>
      <w:tr>
        <w:trPr>
          <w:trHeight w:val="142"/>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158,481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133,238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583,252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552,734</w:t>
            </w:r>
          </w:p>
        </w:tc>
      </w:tr>
      <w:tr>
        <w:trPr>
          <w:trHeight w:val="135"/>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147,649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118,506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561,446</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528,565</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44,551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40,662</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93,680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75,923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349,768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336,059</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Impairment charges</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13,821</w:t>
            </w:r>
          </w:p>
        </w:tc>
      </w:tr>
      <w:tr>
        <w:trPr>
          <w:trHeight w:val="131"/>
        </w:trPr>
        <w:tc>
          <w:tcPr>
            <w:tcW w:w="5560" w:type="dxa"/>
            <w:vAlign w:val="bottom"/>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106,847</w:t>
            </w: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85,287</w:t>
            </w: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394,319</w:t>
            </w: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390,542</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Operating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40,802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33,219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167,127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138,023</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5,079</w:t>
            </w:r>
          </w:p>
        </w:tc>
      </w:tr>
      <w:tr>
        <w:trPr>
          <w:trHeight w:val="142"/>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(2,166)</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41,614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34,856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171,023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140,936</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8,593</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6,925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35,413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28,321</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33,021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27,931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135,610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112,615</w:t>
            </w: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(4,994)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(5,754)</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28,027</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27,685</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129,856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112,369</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0.54</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0.53</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2.49</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2.13</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0.88</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0.87</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0.53</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0.53</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2.10</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0.85</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52,065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51,983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52,039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52,763</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52,611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52,389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52,409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53,231</w:t>
            </w:r>
          </w:p>
        </w:tc>
      </w:tr>
    </w:tbl>
    <w:p>
      <w:pPr>
        <w:sectPr>
          <w:pgSz w:w="11900" w:h="16838" w:orient="portrait"/>
          <w:cols w:equalWidth="0" w:num="1">
            <w:col w:w="11240"/>
          </w:cols>
          <w:pgMar w:left="300" w:top="562" w:right="35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July 31, 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July 31, 2020</w:t>
            </w:r>
          </w:p>
        </w:tc>
      </w:tr>
      <w:tr>
        <w:trPr>
          <w:trHeight w:val="106"/>
        </w:trPr>
        <w:tc>
          <w:tcPr>
            <w:tcW w:w="28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w w:val="90"/>
              </w:rPr>
              <w:t>ASSETS</w:t>
            </w:r>
          </w:p>
        </w:tc>
        <w:tc>
          <w:tcPr>
            <w:tcW w:w="3820" w:type="dxa"/>
            <w:vAlign w:val="bottom"/>
            <w:tcBorders>
              <w:bottom w:val="single" w:sz="8" w:color="CCEEFF"/>
            </w:tcBorders>
            <w:gridSpan w:val="2"/>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Current assets:</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Accounts receivable, net of allowance for credit losses of $7,306 and $7,157,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170,579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146,181</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Inventories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136,107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135,662</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11,083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9,962</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current 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465,104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509,448</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121,741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115,068</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614,137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416,034</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92,334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22,334</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8,845</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41,880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41,899</w:t>
            </w:r>
          </w:p>
        </w:tc>
      </w:tr>
      <w:tr>
        <w:trPr>
          <w:trHeight w:val="144"/>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26,217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28,838</w:t>
            </w:r>
          </w:p>
        </w:tc>
      </w:tr>
      <w:tr>
        <w:trPr>
          <w:trHeight w:val="151"/>
        </w:trPr>
        <w:tc>
          <w:tcPr>
            <w:tcW w:w="804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1,377,756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106"/>
        </w:trPr>
        <w:tc>
          <w:tcPr>
            <w:tcW w:w="2840" w:type="dxa"/>
            <w:vAlign w:val="bottom"/>
            <w:shd w:val="clear" w:color="auto" w:fill="CCEEFF"/>
          </w:tcPr>
          <w:p>
            <w:pPr>
              <w:spacing w:after="0"/>
              <w:rPr>
                <w:sz w:val="9"/>
                <w:szCs w:val="9"/>
                <w:color w:val="auto"/>
              </w:rPr>
            </w:pPr>
          </w:p>
        </w:tc>
        <w:tc>
          <w:tcPr>
            <w:tcW w:w="5200" w:type="dxa"/>
            <w:vAlign w:val="bottom"/>
            <w:gridSpan w:val="4"/>
            <w:shd w:val="clear" w:color="auto" w:fill="CCEEFF"/>
          </w:tcPr>
          <w:p>
            <w:pPr>
              <w:jc w:val="center"/>
              <w:ind w:right="2860"/>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1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42"/>
        </w:trPr>
        <w:tc>
          <w:tcPr>
            <w:tcW w:w="2840" w:type="dxa"/>
            <w:vAlign w:val="bottom"/>
            <w:tcBorders>
              <w:top w:val="single" w:sz="8" w:color="CCEEFF"/>
            </w:tcBorders>
          </w:tcPr>
          <w:p>
            <w:pPr>
              <w:spacing w:after="0"/>
              <w:rPr>
                <w:sz w:val="20"/>
                <w:szCs w:val="20"/>
                <w:color w:val="auto"/>
              </w:rPr>
            </w:pPr>
            <w:r>
              <w:rPr>
                <w:rFonts w:ascii="Arial" w:cs="Arial" w:eastAsia="Arial" w:hAnsi="Arial"/>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Accounts payable</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82,152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62,547</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Accrued compensation and benefits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81,173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41,546</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Taxes, other than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8,057</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Accrued income taxes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8,652</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Current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15,304</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Arial" w:cs="Arial" w:eastAsia="Arial" w:hAnsi="Arial"/>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59,623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49,782</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257,584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185,888</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04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31,982</w:t>
            </w:r>
          </w:p>
        </w:tc>
      </w:tr>
      <w:tr>
        <w:trPr>
          <w:trHeight w:val="142"/>
        </w:trPr>
        <w:tc>
          <w:tcPr>
            <w:tcW w:w="804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90,797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61,524</w:t>
            </w:r>
          </w:p>
        </w:tc>
      </w:tr>
      <w:tr>
        <w:trPr>
          <w:trHeight w:val="135"/>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Total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414,728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279,394</w:t>
            </w:r>
          </w:p>
        </w:tc>
      </w:tr>
      <w:tr>
        <w:trPr>
          <w:trHeight w:val="142"/>
        </w:trPr>
        <w:tc>
          <w:tcPr>
            <w:tcW w:w="804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Common stock:</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8040" w:type="dxa"/>
            <w:vAlign w:val="bottom"/>
            <w:gridSpan w:val="5"/>
          </w:tcPr>
          <w:p>
            <w:pPr>
              <w:ind w:left="300"/>
              <w:spacing w:after="0"/>
              <w:rPr>
                <w:sz w:val="20"/>
                <w:szCs w:val="20"/>
                <w:color w:val="auto"/>
              </w:rPr>
            </w:pPr>
            <w:r>
              <w:rPr>
                <w:rFonts w:ascii="Arial" w:cs="Arial" w:eastAsia="Arial" w:hAnsi="Arial"/>
                <w:sz w:val="11"/>
                <w:szCs w:val="11"/>
                <w:color w:val="auto"/>
                <w:w w:val="91"/>
              </w:rPr>
              <w:t>Class A nonvoting common stock—Issued 51,261,487 shares, and outstanding 48,528,245 and 48,456,954 shares, respectively (aggregate liquidation preference of $42,716)</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040" w:type="dxa"/>
            <w:vAlign w:val="bottom"/>
            <w:gridSpan w:val="5"/>
            <w:shd w:val="clear" w:color="auto" w:fill="CCEEFF"/>
          </w:tcPr>
          <w:p>
            <w:pPr>
              <w:ind w:left="300"/>
              <w:spacing w:after="0"/>
              <w:rPr>
                <w:sz w:val="20"/>
                <w:szCs w:val="20"/>
                <w:color w:val="auto"/>
              </w:rPr>
            </w:pPr>
            <w:r>
              <w:rPr>
                <w:rFonts w:ascii="Arial" w:cs="Arial" w:eastAsia="Arial" w:hAnsi="Arial"/>
                <w:sz w:val="11"/>
                <w:szCs w:val="11"/>
                <w:color w:val="auto"/>
              </w:rPr>
              <w:t>Class B voting common stock—Issued and outstanding, 3,538,628 shares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Additional paid-in capital</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339,125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331,761</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Retained earnings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788,369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704,456</w:t>
            </w:r>
          </w:p>
        </w:tc>
      </w:tr>
      <w:tr>
        <w:trPr>
          <w:trHeight w:val="142"/>
        </w:trPr>
        <w:tc>
          <w:tcPr>
            <w:tcW w:w="8040" w:type="dxa"/>
            <w:vAlign w:val="bottom"/>
            <w:gridSpan w:val="5"/>
          </w:tcPr>
          <w:p>
            <w:pPr>
              <w:ind w:left="140"/>
              <w:spacing w:after="0"/>
              <w:rPr>
                <w:sz w:val="20"/>
                <w:szCs w:val="20"/>
                <w:color w:val="auto"/>
              </w:rPr>
            </w:pPr>
            <w:r>
              <w:rPr>
                <w:rFonts w:ascii="Arial" w:cs="Arial" w:eastAsia="Arial" w:hAnsi="Arial"/>
                <w:sz w:val="11"/>
                <w:szCs w:val="11"/>
                <w:color w:val="auto"/>
              </w:rPr>
              <w:t>Treasury stock—2,733,242 and 2,804,533 shares, respectively of Class A nonvoting common stock, at cost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(109,061)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(107,216)</w:t>
            </w:r>
          </w:p>
        </w:tc>
      </w:tr>
      <w:tr>
        <w:trPr>
          <w:trHeight w:val="146"/>
        </w:trPr>
        <w:tc>
          <w:tcPr>
            <w:tcW w:w="8040" w:type="dxa"/>
            <w:vAlign w:val="bottom"/>
            <w:gridSpan w:val="5"/>
            <w:shd w:val="clear" w:color="auto" w:fill="CCEEFF"/>
          </w:tcPr>
          <w:p>
            <w:pPr>
              <w:ind w:left="140"/>
              <w:spacing w:after="0"/>
              <w:rPr>
                <w:sz w:val="20"/>
                <w:szCs w:val="20"/>
                <w:color w:val="auto"/>
              </w:rPr>
            </w:pPr>
            <w:r>
              <w:rPr>
                <w:rFonts w:ascii="Arial" w:cs="Arial" w:eastAsia="Arial" w:hAnsi="Arial"/>
                <w:sz w:val="11"/>
                <w:szCs w:val="11"/>
                <w:color w:val="auto"/>
              </w:rPr>
              <w:t>Accumulated other comprehensive loss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(55,953)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(66,477)</w:t>
            </w:r>
          </w:p>
        </w:tc>
      </w:tr>
      <w:tr>
        <w:trPr>
          <w:trHeight w:val="131"/>
        </w:trPr>
        <w:tc>
          <w:tcPr>
            <w:tcW w:w="8040" w:type="dxa"/>
            <w:vAlign w:val="bottom"/>
            <w:tcBorders>
              <w:bottom w:val="single" w:sz="8" w:color="CCEEFF"/>
            </w:tcBorders>
            <w:gridSpan w:val="5"/>
          </w:tcPr>
          <w:p>
            <w:pPr>
              <w:ind w:left="300"/>
              <w:spacing w:after="0"/>
              <w:rPr>
                <w:sz w:val="20"/>
                <w:szCs w:val="20"/>
                <w:color w:val="auto"/>
              </w:rPr>
            </w:pPr>
            <w:r>
              <w:rPr>
                <w:rFonts w:ascii="Arial" w:cs="Arial" w:eastAsia="Arial" w:hAnsi="Arial"/>
                <w:sz w:val="11"/>
                <w:szCs w:val="11"/>
                <w:color w:val="auto"/>
              </w:rPr>
              <w:t>Total stockholders’ equity</w:t>
            </w:r>
          </w:p>
        </w:tc>
        <w:tc>
          <w:tcPr>
            <w:tcW w:w="1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963,028</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863,072</w:t>
            </w:r>
          </w:p>
        </w:tc>
      </w:tr>
      <w:tr>
        <w:trPr>
          <w:trHeight w:val="151"/>
        </w:trPr>
        <w:tc>
          <w:tcPr>
            <w:tcW w:w="8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11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1,377,756</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1,142,466</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1"/>
                <w:szCs w:val="11"/>
                <w:color w:val="auto"/>
              </w:rPr>
              <w:t>Year ended July 31,</w:t>
            </w:r>
          </w:p>
        </w:tc>
        <w:tc>
          <w:tcPr>
            <w:tcW w:w="1060" w:type="dxa"/>
            <w:vAlign w:val="bottom"/>
            <w:tcBorders>
              <w:bottom w:val="single" w:sz="8" w:color="auto"/>
            </w:tcBorders>
          </w:tcPr>
          <w:p>
            <w:pPr>
              <w:spacing w:after="0"/>
              <w:rPr>
                <w:sz w:val="12"/>
                <w:szCs w:val="12"/>
                <w:color w:val="auto"/>
              </w:rPr>
            </w:pPr>
          </w:p>
        </w:tc>
      </w:tr>
      <w:tr>
        <w:trPr>
          <w:trHeight w:val="133"/>
        </w:trPr>
        <w:tc>
          <w:tcPr>
            <w:tcW w:w="80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color w:val="auto"/>
              </w:rPr>
              <w:t>2020</w:t>
            </w:r>
          </w:p>
        </w:tc>
      </w:tr>
      <w:tr>
        <w:trPr>
          <w:trHeight w:val="126"/>
        </w:trPr>
        <w:tc>
          <w:tcPr>
            <w:tcW w:w="80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129,659</w:t>
            </w:r>
          </w:p>
        </w:tc>
        <w:tc>
          <w:tcPr>
            <w:tcW w:w="100" w:type="dxa"/>
            <w:vAlign w:val="bottom"/>
          </w:tcPr>
          <w:p>
            <w:pPr>
              <w:spacing w:after="0"/>
              <w:rPr>
                <w:sz w:val="12"/>
                <w:szCs w:val="12"/>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112,369</w:t>
            </w:r>
          </w:p>
        </w:tc>
      </w:tr>
      <w:tr>
        <w:trPr>
          <w:trHeight w:val="146"/>
        </w:trPr>
        <w:tc>
          <w:tcPr>
            <w:tcW w:w="80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25,483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23,437</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8,843</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(8,965)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(764)</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10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5,754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246</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2,611</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Changes in operating assets and liabilities (net of effects of business acquisitions):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receivable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(12,614)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13,902</w:t>
            </w:r>
          </w:p>
        </w:tc>
      </w:tr>
      <w:tr>
        <w:trPr>
          <w:trHeight w:val="142"/>
        </w:trPr>
        <w:tc>
          <w:tcPr>
            <w:tcW w:w="8060" w:type="dxa"/>
            <w:vAlign w:val="bottom"/>
          </w:tcPr>
          <w:p>
            <w:pPr>
              <w:ind w:left="740"/>
              <w:spacing w:after="0"/>
              <w:rPr>
                <w:sz w:val="20"/>
                <w:szCs w:val="20"/>
                <w:color w:val="auto"/>
              </w:rPr>
            </w:pPr>
            <w:r>
              <w:rPr>
                <w:rFonts w:ascii="Arial" w:cs="Arial" w:eastAsia="Arial" w:hAnsi="Arial"/>
                <w:sz w:val="11"/>
                <w:szCs w:val="11"/>
                <w:color w:val="auto"/>
              </w:rPr>
              <w:t>Inventories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7,298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(13,917)</w:t>
            </w:r>
          </w:p>
        </w:tc>
      </w:tr>
      <w:tr>
        <w:trPr>
          <w:trHeight w:val="146"/>
        </w:trPr>
        <w:tc>
          <w:tcPr>
            <w:tcW w:w="80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Prepaid expenses and other assets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4,477</w:t>
            </w:r>
          </w:p>
        </w:tc>
      </w:tr>
      <w:tr>
        <w:trPr>
          <w:trHeight w:val="142"/>
        </w:trPr>
        <w:tc>
          <w:tcPr>
            <w:tcW w:w="8060" w:type="dxa"/>
            <w:vAlign w:val="bottom"/>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58,283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(26,128)</w:t>
            </w:r>
          </w:p>
        </w:tc>
      </w:tr>
      <w:tr>
        <w:trPr>
          <w:trHeight w:val="146"/>
        </w:trPr>
        <w:tc>
          <w:tcPr>
            <w:tcW w:w="806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Income taxes</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(4,002)</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2,080</w:t>
            </w:r>
          </w:p>
        </w:tc>
      </w:tr>
      <w:tr>
        <w:trPr>
          <w:trHeight w:val="131"/>
        </w:trPr>
        <w:tc>
          <w:tcPr>
            <w:tcW w:w="8060" w:type="dxa"/>
            <w:vAlign w:val="bottom"/>
          </w:tcPr>
          <w:p>
            <w:pPr>
              <w:ind w:left="1000"/>
              <w:spacing w:after="0"/>
              <w:rPr>
                <w:sz w:val="20"/>
                <w:szCs w:val="20"/>
                <w:color w:val="auto"/>
              </w:rPr>
            </w:pPr>
            <w:r>
              <w:rPr>
                <w:rFonts w:ascii="Arial" w:cs="Arial" w:eastAsia="Arial" w:hAnsi="Arial"/>
                <w:sz w:val="11"/>
                <w:szCs w:val="11"/>
                <w:color w:val="auto"/>
              </w:rPr>
              <w:t>Net cash provided by operating activities</w:t>
            </w:r>
          </w:p>
        </w:tc>
        <w:tc>
          <w:tcPr>
            <w:tcW w:w="10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205,665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140,977</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1"/>
                <w:szCs w:val="11"/>
                <w:color w:val="auto"/>
              </w:rPr>
              <w:t>Investing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(27,189)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(27,277)</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Acquisition of businesses, net of cash acquired</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(243,983)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(8,842)</w:t>
            </w:r>
          </w:p>
        </w:tc>
      </w:tr>
      <w:tr>
        <w:trPr>
          <w:trHeight w:val="131"/>
        </w:trPr>
        <w:tc>
          <w:tcPr>
            <w:tcW w:w="8060" w:type="dxa"/>
            <w:vAlign w:val="bottom"/>
          </w:tcPr>
          <w:p>
            <w:pPr>
              <w:ind w:left="1000"/>
              <w:spacing w:after="0"/>
              <w:rPr>
                <w:sz w:val="20"/>
                <w:szCs w:val="20"/>
                <w:color w:val="auto"/>
              </w:rPr>
            </w:pPr>
            <w:r>
              <w:rPr>
                <w:rFonts w:ascii="Arial" w:cs="Arial" w:eastAsia="Arial" w:hAnsi="Arial"/>
                <w:sz w:val="11"/>
                <w:szCs w:val="11"/>
                <w:color w:val="auto"/>
              </w:rPr>
              <w:t>Net cash used in investing activities</w:t>
            </w:r>
          </w:p>
        </w:tc>
        <w:tc>
          <w:tcPr>
            <w:tcW w:w="10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(268,592)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(36,119)</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1"/>
                <w:szCs w:val="11"/>
                <w:color w:val="auto"/>
              </w:rPr>
              <w:t>Financing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(45,746)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(45,756)</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5,511</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(9,065)</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(3,593)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(64,514)</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101,957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20,697</w:t>
            </w: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(63,957)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(21,855)</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Principal payments on debt</w:t>
            </w:r>
          </w:p>
        </w:tc>
        <w:tc>
          <w:tcPr>
            <w:tcW w:w="10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(48,672)</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w:t>
            </w:r>
          </w:p>
        </w:tc>
      </w:tr>
      <w:tr>
        <w:trPr>
          <w:trHeight w:val="135"/>
        </w:trPr>
        <w:tc>
          <w:tcPr>
            <w:tcW w:w="806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Net cash used in financing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(12,324)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(163,520)</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(2,767)</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Net decrease in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(70,308)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(61,429)</w:t>
            </w:r>
          </w:p>
        </w:tc>
      </w:tr>
      <w:tr>
        <w:trPr>
          <w:trHeight w:val="142"/>
        </w:trPr>
        <w:tc>
          <w:tcPr>
            <w:tcW w:w="8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beginning of period</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217,643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279,072</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60"/>
        </w:trPr>
        <w:tc>
          <w:tcPr>
            <w:tcW w:w="8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end of period</w:t>
            </w: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147,335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217,643</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1"/>
                <w:szCs w:val="11"/>
                <w:color w:val="auto"/>
              </w:rPr>
              <w:t>Supplemental disclosures: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Cash paid during the period for: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Arial" w:cs="Arial" w:eastAsia="Arial" w:hAnsi="Arial"/>
                <w:sz w:val="11"/>
                <w:szCs w:val="11"/>
                <w:color w:val="auto"/>
              </w:rPr>
              <w:t>Interest</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373</w:t>
            </w:r>
          </w:p>
        </w:tc>
        <w:tc>
          <w:tcPr>
            <w:tcW w:w="100" w:type="dxa"/>
            <w:vAlign w:val="bottom"/>
          </w:tcPr>
          <w:p>
            <w:pPr>
              <w:spacing w:after="0"/>
              <w:rPr>
                <w:sz w:val="12"/>
                <w:szCs w:val="12"/>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2,401</w:t>
            </w:r>
          </w:p>
        </w:tc>
      </w:tr>
      <w:tr>
        <w:trPr>
          <w:trHeight w:val="146"/>
        </w:trPr>
        <w:tc>
          <w:tcPr>
            <w:tcW w:w="80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Income taxes</w:t>
            </w: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46,852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29,600</w:t>
            </w: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8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2021</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9"/>
              </w:rPr>
              <w:t>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2020</w:t>
            </w:r>
          </w:p>
        </w:tc>
      </w:tr>
      <w:tr>
        <w:trPr>
          <w:trHeight w:val="126"/>
        </w:trPr>
        <w:tc>
          <w:tcPr>
            <w:tcW w:w="53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ID Solutions</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231,024</w:t>
            </w:r>
          </w:p>
        </w:tc>
        <w:tc>
          <w:tcPr>
            <w:tcW w:w="100" w:type="dxa"/>
            <w:vAlign w:val="bottom"/>
          </w:tcPr>
          <w:p>
            <w:pPr>
              <w:spacing w:after="0"/>
              <w:rPr>
                <w:sz w:val="12"/>
                <w:szCs w:val="12"/>
                <w:color w:val="auto"/>
              </w:rPr>
            </w:pPr>
          </w:p>
        </w:tc>
        <w:tc>
          <w:tcPr>
            <w:tcW w:w="580" w:type="dxa"/>
            <w:vAlign w:val="bottom"/>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171,189</w:t>
            </w:r>
          </w:p>
        </w:tc>
        <w:tc>
          <w:tcPr>
            <w:tcW w:w="8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841,508</w:t>
            </w:r>
          </w:p>
        </w:tc>
        <w:tc>
          <w:tcPr>
            <w:tcW w:w="100" w:type="dxa"/>
            <w:vAlign w:val="bottom"/>
          </w:tcPr>
          <w:p>
            <w:pPr>
              <w:spacing w:after="0"/>
              <w:rPr>
                <w:sz w:val="12"/>
                <w:szCs w:val="12"/>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784,707</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Workplace Safety</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75,106</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80,555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303,190</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296,592</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306,130</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251,744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1,144,698</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1,081,299</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536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24.5 %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3.7 %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(8.0)%</w:t>
            </w: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Acquisition</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55"/>
        </w:trPr>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w:t>
            </w:r>
          </w:p>
        </w:tc>
      </w:tr>
      <w:tr>
        <w:trPr>
          <w:trHeight w:val="120"/>
        </w:trPr>
        <w:tc>
          <w:tcPr>
            <w:tcW w:w="536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Workplace Safety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r>
      <w:tr>
        <w:trPr>
          <w:trHeight w:val="120"/>
        </w:trPr>
        <w:tc>
          <w:tcPr>
            <w:tcW w:w="536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r>
      <w:tr>
        <w:trPr>
          <w:trHeight w:val="142"/>
        </w:trPr>
        <w:tc>
          <w:tcPr>
            <w:tcW w:w="5360" w:type="dxa"/>
            <w:vAlign w:val="bottom"/>
          </w:tcPr>
          <w:p>
            <w:pPr>
              <w:ind w:left="140"/>
              <w:spacing w:after="0"/>
              <w:rPr>
                <w:sz w:val="20"/>
                <w:szCs w:val="20"/>
                <w:color w:val="auto"/>
              </w:rPr>
            </w:pPr>
            <w:r>
              <w:rPr>
                <w:rFonts w:ascii="Arial" w:cs="Arial" w:eastAsia="Arial" w:hAnsi="Arial"/>
                <w:sz w:val="11"/>
                <w:szCs w:val="11"/>
                <w:color w:val="auto"/>
              </w:rPr>
              <w:t>Currency</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44"/>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Acquisition</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21.6 %</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5.9 %</w:t>
            </w:r>
          </w:p>
        </w:tc>
        <w:tc>
          <w:tcPr>
            <w:tcW w:w="1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ID Solutions</w:t>
            </w:r>
          </w:p>
        </w:tc>
        <w:tc>
          <w:tcPr>
            <w:tcW w:w="820" w:type="dxa"/>
            <w:vAlign w:val="bottom"/>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42,420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31,140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169,238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150,639</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Workplace Safety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5,647</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6,028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22,754</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21,019</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48,067</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37,168</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191,992</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171,658</w:t>
            </w:r>
          </w:p>
        </w:tc>
      </w:tr>
      <w:tr>
        <w:trPr>
          <w:trHeight w:val="120"/>
        </w:trPr>
        <w:tc>
          <w:tcPr>
            <w:tcW w:w="536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6"/>
        </w:trPr>
        <w:tc>
          <w:tcPr>
            <w:tcW w:w="5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ID Solutions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Workplace Safety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7.1 %</w:t>
            </w:r>
          </w:p>
        </w:tc>
      </w:tr>
      <w:tr>
        <w:trPr>
          <w:trHeight w:val="162"/>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15.7 %</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16.8 %</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15.9 %</w:t>
            </w:r>
          </w:p>
        </w:tc>
      </w:tr>
      <w:tr>
        <w:trPr>
          <w:trHeight w:val="115"/>
        </w:trPr>
        <w:tc>
          <w:tcPr>
            <w:tcW w:w="53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144"/>
        </w:trPr>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8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5"/>
        </w:trPr>
        <w:tc>
          <w:tcPr>
            <w:tcW w:w="53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5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w w:val="89"/>
              </w:rPr>
              <w:t>2020</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rPr>
              <w:t>2021</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rPr>
              <w:t>2020</w:t>
            </w:r>
          </w:p>
        </w:tc>
      </w:tr>
      <w:tr>
        <w:trPr>
          <w:trHeight w:val="131"/>
        </w:trPr>
        <w:tc>
          <w:tcPr>
            <w:tcW w:w="5360" w:type="dxa"/>
            <w:vAlign w:val="bottom"/>
          </w:tcPr>
          <w:p>
            <w:pPr>
              <w:spacing w:after="0"/>
              <w:rPr>
                <w:sz w:val="20"/>
                <w:szCs w:val="20"/>
                <w:color w:val="auto"/>
              </w:rPr>
            </w:pPr>
            <w:r>
              <w:rPr>
                <w:rFonts w:ascii="Arial" w:cs="Arial" w:eastAsia="Arial" w:hAnsi="Arial"/>
                <w:sz w:val="11"/>
                <w:szCs w:val="11"/>
                <w:color w:val="auto"/>
              </w:rPr>
              <w:t>Total segment profit</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48,067</w:t>
            </w:r>
          </w:p>
        </w:tc>
        <w:tc>
          <w:tcPr>
            <w:tcW w:w="100" w:type="dxa"/>
            <w:vAlign w:val="bottom"/>
          </w:tcPr>
          <w:p>
            <w:pPr>
              <w:spacing w:after="0"/>
              <w:rPr>
                <w:sz w:val="11"/>
                <w:szCs w:val="11"/>
                <w:color w:val="auto"/>
              </w:rPr>
            </w:pPr>
          </w:p>
        </w:tc>
        <w:tc>
          <w:tcPr>
            <w:tcW w:w="580" w:type="dxa"/>
            <w:vAlign w:val="bottom"/>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37,168</w:t>
            </w:r>
          </w:p>
        </w:tc>
        <w:tc>
          <w:tcPr>
            <w:tcW w:w="8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191,992</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171,658</w:t>
            </w:r>
          </w:p>
        </w:tc>
      </w:tr>
      <w:tr>
        <w:trPr>
          <w:trHeight w:val="146"/>
        </w:trPr>
        <w:tc>
          <w:tcPr>
            <w:tcW w:w="5360" w:type="dxa"/>
            <w:vAlign w:val="bottom"/>
            <w:shd w:val="clear" w:color="auto" w:fill="CCEEFF"/>
          </w:tcPr>
          <w:p>
            <w:pPr>
              <w:spacing w:after="0"/>
              <w:rPr>
                <w:sz w:val="20"/>
                <w:szCs w:val="20"/>
                <w:color w:val="auto"/>
              </w:rPr>
            </w:pPr>
            <w:r>
              <w:rPr>
                <w:rFonts w:ascii="Arial" w:cs="Arial" w:eastAsia="Arial" w:hAnsi="Arial"/>
                <w:sz w:val="11"/>
                <w:szCs w:val="11"/>
                <w:color w:val="auto"/>
              </w:rPr>
              <w:t>Unallocated amounts: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Arial" w:cs="Arial" w:eastAsia="Arial" w:hAnsi="Arial"/>
                <w:sz w:val="11"/>
                <w:szCs w:val="11"/>
                <w:color w:val="auto"/>
              </w:rPr>
              <w:t>Administrative costs</w:t>
            </w:r>
          </w:p>
        </w:tc>
        <w:tc>
          <w:tcPr>
            <w:tcW w:w="8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(7,265)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(3,949)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(24,865)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(19,814)</w:t>
            </w:r>
          </w:p>
        </w:tc>
      </w:tr>
      <w:tr>
        <w:trPr>
          <w:trHeight w:val="146"/>
        </w:trPr>
        <w:tc>
          <w:tcPr>
            <w:tcW w:w="5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Impairment charges</w:t>
            </w:r>
          </w:p>
        </w:tc>
        <w:tc>
          <w:tcPr>
            <w:tcW w:w="8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(13,821)</w:t>
            </w:r>
          </w:p>
        </w:tc>
      </w:tr>
      <w:tr>
        <w:trPr>
          <w:trHeight w:val="142"/>
        </w:trPr>
        <w:tc>
          <w:tcPr>
            <w:tcW w:w="5360" w:type="dxa"/>
            <w:vAlign w:val="bottom"/>
          </w:tcPr>
          <w:p>
            <w:pPr>
              <w:ind w:left="220"/>
              <w:spacing w:after="0"/>
              <w:rPr>
                <w:sz w:val="20"/>
                <w:szCs w:val="20"/>
                <w:color w:val="auto"/>
              </w:rPr>
            </w:pPr>
            <w:r>
              <w:rPr>
                <w:rFonts w:ascii="Arial" w:cs="Arial" w:eastAsia="Arial" w:hAnsi="Arial"/>
                <w:sz w:val="11"/>
                <w:szCs w:val="11"/>
                <w:color w:val="auto"/>
              </w:rPr>
              <w:t>Investment and other income</w:t>
            </w:r>
          </w:p>
        </w:tc>
        <w:tc>
          <w:tcPr>
            <w:tcW w:w="8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961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1,827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4,333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86"/>
              <w:spacing w:after="0"/>
              <w:rPr>
                <w:sz w:val="20"/>
                <w:szCs w:val="20"/>
                <w:color w:val="auto"/>
              </w:rPr>
            </w:pPr>
            <w:r>
              <w:rPr>
                <w:rFonts w:ascii="Arial" w:cs="Arial" w:eastAsia="Arial" w:hAnsi="Arial"/>
                <w:sz w:val="11"/>
                <w:szCs w:val="11"/>
                <w:color w:val="auto"/>
              </w:rPr>
              <w:t>5,079</w:t>
            </w:r>
          </w:p>
        </w:tc>
      </w:tr>
      <w:tr>
        <w:trPr>
          <w:trHeight w:val="144"/>
        </w:trPr>
        <w:tc>
          <w:tcPr>
            <w:tcW w:w="5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(437)</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(2,166)</w:t>
            </w:r>
          </w:p>
        </w:tc>
      </w:tr>
      <w:tr>
        <w:trPr>
          <w:trHeight w:val="135"/>
        </w:trPr>
        <w:tc>
          <w:tcPr>
            <w:tcW w:w="536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41,614</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34,856</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171,023</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140,936</w:t>
            </w: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1"/>
                <w:szCs w:val="11"/>
                <w:b w:val="1"/>
                <w:bCs w:val="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w w:val="93"/>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2020</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and losses of unconsolidated affiliate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41,614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34,856</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171,023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140,936</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Non-recurring acquisition transaction fees and other expenses</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3,742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3,742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45,356</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34,856</w:t>
            </w:r>
          </w:p>
        </w:tc>
        <w:tc>
          <w:tcPr>
            <w:tcW w:w="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174,765</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154,757</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b w:val="1"/>
                <w:bCs w:val="1"/>
                <w:color w:val="auto"/>
              </w:rPr>
              <w:t>Three months ended July 31,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w w:val="93"/>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2020</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6,925</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35,610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28,321</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Non-recurring acquisition transaction fees and other expenses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689</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9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2,757</w:t>
            </w:r>
          </w:p>
        </w:tc>
      </w:tr>
      <w:tr>
        <w:trPr>
          <w:trHeight w:val="140"/>
        </w:trPr>
        <w:tc>
          <w:tcPr>
            <w:tcW w:w="5580" w:type="dxa"/>
            <w:vAlign w:val="bottom"/>
          </w:tcPr>
          <w:p>
            <w:pPr>
              <w:ind w:left="440"/>
              <w:spacing w:after="0"/>
              <w:rPr>
                <w:sz w:val="20"/>
                <w:szCs w:val="20"/>
                <w:color w:val="auto"/>
              </w:rPr>
            </w:pPr>
            <w:r>
              <w:rPr>
                <w:rFonts w:ascii="Arial" w:cs="Arial" w:eastAsia="Arial" w:hAnsi="Arial"/>
                <w:sz w:val="11"/>
                <w:szCs w:val="11"/>
                <w:color w:val="auto"/>
              </w:rPr>
              <w:t>Acquisition-related tax charges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5580" w:type="dxa"/>
            <w:vAlign w:val="bottom"/>
          </w:tcPr>
          <w:p>
            <w:pPr>
              <w:spacing w:after="0" w:line="124"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4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8,340</w:t>
            </w:r>
          </w:p>
        </w:tc>
        <w:tc>
          <w:tcPr>
            <w:tcW w:w="10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6,925</w:t>
            </w:r>
          </w:p>
        </w:tc>
        <w:tc>
          <w:tcPr>
            <w:tcW w:w="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35,357</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31,078</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40"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1"/>
                <w:szCs w:val="11"/>
                <w:b w:val="1"/>
                <w:bCs w:val="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2020</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28,027</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27,685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129,659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112,369</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Non-recurring acquisition transaction fees and other expenses</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3,053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3,053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11,064</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Acquisition-related tax charges</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Other-than-temporary impairment of unconsolidated affiliate</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4,994</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37,016</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27,685</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138,648</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123,433</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1"/>
                <w:szCs w:val="11"/>
                <w:b w:val="1"/>
                <w:bCs w:val="1"/>
                <w:color w:val="auto"/>
              </w:rPr>
              <w:t>Three months ended July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2020</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Non-recurring acquisition transaction fees and other expenses</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Acquisition-related tax charges</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Other-than-temporary impairment of unconsolidated affiliate</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0.70</w:t>
            </w:r>
          </w:p>
        </w:tc>
        <w:tc>
          <w:tcPr>
            <w:tcW w:w="1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0.53</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2.65</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2.32</w:t>
            </w: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748"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b w:val="1"/>
          <w:bCs w:val="1"/>
          <w:u w:val="single" w:color="auto"/>
          <w:color w:val="auto"/>
        </w:rPr>
        <w:t>EXHIBIT 99.2</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 Contact: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increases its dividend to shareholders for the 36th consecutive year</w:t>
      </w:r>
    </w:p>
    <w:p>
      <w:pPr>
        <w:spacing w:after="0" w:line="206" w:lineRule="exact"/>
        <w:rPr>
          <w:sz w:val="20"/>
          <w:szCs w:val="20"/>
          <w:color w:val="auto"/>
        </w:rPr>
      </w:pPr>
    </w:p>
    <w:p>
      <w:pPr>
        <w:jc w:val="both"/>
        <w:ind w:right="20"/>
        <w:spacing w:after="0" w:line="371" w:lineRule="auto"/>
        <w:rPr>
          <w:sz w:val="20"/>
          <w:szCs w:val="20"/>
          <w:color w:val="auto"/>
        </w:rPr>
      </w:pPr>
      <w:r>
        <w:rPr>
          <w:rFonts w:ascii="Arial" w:cs="Arial" w:eastAsia="Arial" w:hAnsi="Arial"/>
          <w:sz w:val="13"/>
          <w:szCs w:val="13"/>
          <w:color w:val="auto"/>
        </w:rPr>
        <w:t>MILWAUKEE (September 1, 2021) -- On August 31, 2021, Brady Corporation’s (NYSE: BRC) Board of Directors approved an increase in the annual dividend to shareholders of the Company’s Class A Common Stock from $0.88 per share to $0.90 per share. A quarterly dividend to shareholders of the Company’s Class A Common Stock of $0.225 per share will be paid on October 29, 2021, to shareholders of record at the close of business on October 8, 2021. This dividend represents the 36</w:t>
      </w:r>
      <w:r>
        <w:rPr>
          <w:rFonts w:ascii="Arial" w:cs="Arial" w:eastAsia="Arial" w:hAnsi="Arial"/>
          <w:sz w:val="15"/>
          <w:szCs w:val="15"/>
          <w:color w:val="auto"/>
          <w:vertAlign w:val="superscript"/>
        </w:rPr>
        <w:t>th</w:t>
      </w:r>
      <w:r>
        <w:rPr>
          <w:rFonts w:ascii="Arial" w:cs="Arial" w:eastAsia="Arial" w:hAnsi="Arial"/>
          <w:sz w:val="13"/>
          <w:szCs w:val="13"/>
          <w:color w:val="auto"/>
        </w:rPr>
        <w:t xml:space="preserve"> consecutive annual increase in dividends.</w:t>
      </w:r>
    </w:p>
    <w:p>
      <w:pPr>
        <w:jc w:val="both"/>
        <w:ind w:firstLine="432"/>
        <w:spacing w:after="0" w:line="38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r>
        <w:rPr>
          <w:rFonts w:ascii="Arial" w:cs="Arial" w:eastAsia="Arial" w:hAnsi="Arial"/>
          <w:sz w:val="13"/>
          <w:szCs w:val="13"/>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11300"/>
          </w:cols>
          <w:pgMar w:left="300" w:top="638"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2021-09-02T06:13:40Z</dcterms:created>
  <dcterms:modified xsi:type="dcterms:W3CDTF">2021-09-02T06:13:40Z</dcterms:modified>
</cp:coreProperties>
</file>