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36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0.4295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56,797.8421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0.4295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440.7676 shares acquired on May 6,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2019-12-18T13:09:25Z</dcterms:created>
  <dcterms:modified xsi:type="dcterms:W3CDTF">2019-12-18T13:09:25Z</dcterms:modified>
</cp:coreProperties>
</file>