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36195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45085</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May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46355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BRADY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8" w:lineRule="exact"/>
        <w:rPr>
          <w:sz w:val="24"/>
          <w:szCs w:val="24"/>
          <w:color w:val="auto"/>
        </w:rPr>
      </w:pPr>
    </w:p>
    <w:tbl>
      <w:tblPr>
        <w:tblLayout w:type="fixed"/>
        <w:tblInd w:w="1520" w:type="dxa"/>
        <w:tblCellMar>
          <w:top w:w="0" w:type="dxa"/>
          <w:left w:w="0" w:type="dxa"/>
          <w:bottom w:w="0" w:type="dxa"/>
          <w:right w:w="0" w:type="dxa"/>
        </w:tblCellMar>
      </w:tblPr>
      <w:tr>
        <w:trPr>
          <w:trHeight w:val="157"/>
        </w:trPr>
        <w:tc>
          <w:tcPr>
            <w:tcW w:w="2840" w:type="dxa"/>
            <w:vAlign w:val="bottom"/>
          </w:tcPr>
          <w:p>
            <w:pPr>
              <w:spacing w:after="0"/>
              <w:rPr>
                <w:sz w:val="13"/>
                <w:szCs w:val="13"/>
                <w:color w:val="auto"/>
              </w:rPr>
            </w:pPr>
          </w:p>
        </w:tc>
        <w:tc>
          <w:tcPr>
            <w:tcW w:w="4920" w:type="dxa"/>
            <w:vAlign w:val="bottom"/>
            <w:gridSpan w:val="2"/>
          </w:tcPr>
          <w:p>
            <w:pPr>
              <w:jc w:val="center"/>
              <w:ind w:right="2292"/>
              <w:spacing w:after="0"/>
              <w:rPr>
                <w:sz w:val="20"/>
                <w:szCs w:val="20"/>
                <w:color w:val="auto"/>
              </w:rPr>
            </w:pPr>
            <w:r>
              <w:rPr>
                <w:rFonts w:ascii="Arial" w:cs="Arial" w:eastAsia="Arial" w:hAnsi="Arial"/>
                <w:sz w:val="12"/>
                <w:szCs w:val="12"/>
                <w:b w:val="1"/>
                <w:bCs w:val="1"/>
                <w:color w:val="auto"/>
                <w:w w:val="90"/>
              </w:rPr>
              <w:t>Commission File Number 1-14959</w:t>
            </w:r>
          </w:p>
        </w:tc>
      </w:tr>
      <w:tr>
        <w:trPr>
          <w:trHeight w:val="265"/>
        </w:trPr>
        <w:tc>
          <w:tcPr>
            <w:tcW w:w="2840" w:type="dxa"/>
            <w:vAlign w:val="bottom"/>
          </w:tcPr>
          <w:p>
            <w:pPr>
              <w:jc w:val="center"/>
              <w:ind w:right="306"/>
              <w:spacing w:after="0"/>
              <w:rPr>
                <w:sz w:val="20"/>
                <w:szCs w:val="20"/>
                <w:color w:val="auto"/>
              </w:rPr>
            </w:pPr>
            <w:r>
              <w:rPr>
                <w:rFonts w:ascii="Arial" w:cs="Arial" w:eastAsia="Arial" w:hAnsi="Arial"/>
                <w:sz w:val="12"/>
                <w:szCs w:val="12"/>
                <w:b w:val="1"/>
                <w:bCs w:val="1"/>
                <w:color w:val="auto"/>
                <w:w w:val="86"/>
              </w:rPr>
              <w:t>Wisconsin</w:t>
            </w:r>
          </w:p>
        </w:tc>
        <w:tc>
          <w:tcPr>
            <w:tcW w:w="4920" w:type="dxa"/>
            <w:vAlign w:val="bottom"/>
            <w:gridSpan w:val="2"/>
          </w:tcPr>
          <w:p>
            <w:pPr>
              <w:jc w:val="right"/>
              <w:ind w:right="372"/>
              <w:spacing w:after="0"/>
              <w:rPr>
                <w:sz w:val="20"/>
                <w:szCs w:val="20"/>
                <w:color w:val="auto"/>
              </w:rPr>
            </w:pPr>
            <w:r>
              <w:rPr>
                <w:rFonts w:ascii="Arial" w:cs="Arial" w:eastAsia="Arial" w:hAnsi="Arial"/>
                <w:sz w:val="12"/>
                <w:szCs w:val="12"/>
                <w:b w:val="1"/>
                <w:bCs w:val="1"/>
                <w:color w:val="auto"/>
              </w:rPr>
              <w:t>39-0178960</w:t>
            </w:r>
          </w:p>
        </w:tc>
      </w:tr>
      <w:tr>
        <w:trPr>
          <w:trHeight w:val="123"/>
        </w:trPr>
        <w:tc>
          <w:tcPr>
            <w:tcW w:w="2840" w:type="dxa"/>
            <w:vAlign w:val="bottom"/>
          </w:tcPr>
          <w:p>
            <w:pPr>
              <w:jc w:val="center"/>
              <w:ind w:right="306"/>
              <w:spacing w:after="0"/>
              <w:rPr>
                <w:sz w:val="20"/>
                <w:szCs w:val="20"/>
                <w:color w:val="auto"/>
              </w:rPr>
            </w:pPr>
            <w:r>
              <w:rPr>
                <w:rFonts w:ascii="Arial" w:cs="Arial" w:eastAsia="Arial" w:hAnsi="Arial"/>
                <w:sz w:val="10"/>
                <w:szCs w:val="10"/>
                <w:b w:val="1"/>
                <w:bCs w:val="1"/>
                <w:color w:val="auto"/>
                <w:w w:val="87"/>
              </w:rPr>
              <w:t>(State or other jurisdiction of incorporation or organization)</w:t>
            </w:r>
          </w:p>
        </w:tc>
        <w:tc>
          <w:tcPr>
            <w:tcW w:w="2520" w:type="dxa"/>
            <w:vAlign w:val="bottom"/>
          </w:tcPr>
          <w:p>
            <w:pPr>
              <w:spacing w:after="0"/>
              <w:rPr>
                <w:sz w:val="10"/>
                <w:szCs w:val="10"/>
                <w:color w:val="auto"/>
              </w:rPr>
            </w:pPr>
          </w:p>
        </w:tc>
        <w:tc>
          <w:tcPr>
            <w:tcW w:w="2400" w:type="dxa"/>
            <w:vAlign w:val="bottom"/>
          </w:tcPr>
          <w:p>
            <w:pPr>
              <w:jc w:val="center"/>
              <w:ind w:left="952"/>
              <w:spacing w:after="0"/>
              <w:rPr>
                <w:sz w:val="20"/>
                <w:szCs w:val="20"/>
                <w:color w:val="auto"/>
              </w:rPr>
            </w:pPr>
            <w:r>
              <w:rPr>
                <w:rFonts w:ascii="Arial" w:cs="Arial" w:eastAsia="Arial" w:hAnsi="Arial"/>
                <w:sz w:val="10"/>
                <w:szCs w:val="10"/>
                <w:b w:val="1"/>
                <w:bCs w:val="1"/>
                <w:color w:val="auto"/>
                <w:w w:val="89"/>
              </w:rPr>
              <w:t>(IRS Employer Identification No.)</w:t>
            </w:r>
          </w:p>
        </w:tc>
      </w:tr>
      <w:tr>
        <w:trPr>
          <w:trHeight w:val="274"/>
        </w:trPr>
        <w:tc>
          <w:tcPr>
            <w:tcW w:w="2840" w:type="dxa"/>
            <w:vAlign w:val="bottom"/>
          </w:tcPr>
          <w:p>
            <w:pPr>
              <w:spacing w:after="0"/>
              <w:rPr>
                <w:sz w:val="23"/>
                <w:szCs w:val="23"/>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89"/>
              </w:rPr>
              <w:t>6555 West Good Hope Road</w:t>
            </w:r>
          </w:p>
        </w:tc>
      </w:tr>
      <w:tr>
        <w:trPr>
          <w:trHeight w:val="142"/>
        </w:trPr>
        <w:tc>
          <w:tcPr>
            <w:tcW w:w="2840" w:type="dxa"/>
            <w:vAlign w:val="bottom"/>
          </w:tcPr>
          <w:p>
            <w:pPr>
              <w:spacing w:after="0"/>
              <w:rPr>
                <w:sz w:val="12"/>
                <w:szCs w:val="12"/>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90"/>
              </w:rPr>
              <w:t>Milwaukee, Wisconsin 53223</w:t>
            </w:r>
          </w:p>
        </w:tc>
      </w:tr>
      <w:tr>
        <w:trPr>
          <w:trHeight w:val="123"/>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5"/>
              </w:rPr>
              <w:t>(Address of principal executive offices and Zip Code)</w:t>
            </w:r>
          </w:p>
        </w:tc>
      </w:tr>
      <w:tr>
        <w:trPr>
          <w:trHeight w:val="237"/>
        </w:trPr>
        <w:tc>
          <w:tcPr>
            <w:tcW w:w="284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auto"/>
                <w:w w:val="92"/>
              </w:rPr>
              <w:t>(414) 358-6600</w:t>
            </w:r>
          </w:p>
        </w:tc>
        <w:tc>
          <w:tcPr>
            <w:tcW w:w="2400" w:type="dxa"/>
            <w:vAlign w:val="bottom"/>
          </w:tcPr>
          <w:p>
            <w:pPr>
              <w:spacing w:after="0"/>
              <w:rPr>
                <w:sz w:val="20"/>
                <w:szCs w:val="20"/>
                <w:color w:val="auto"/>
              </w:rPr>
            </w:pPr>
          </w:p>
        </w:tc>
      </w:tr>
      <w:tr>
        <w:trPr>
          <w:trHeight w:val="123"/>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6"/>
              </w:rPr>
              <w:t>(Registrant’s Telephone Number)</w:t>
            </w:r>
          </w:p>
        </w:tc>
      </w:tr>
      <w:tr>
        <w:trPr>
          <w:trHeight w:val="53"/>
        </w:trPr>
        <w:tc>
          <w:tcPr>
            <w:tcW w:w="2840" w:type="dxa"/>
            <w:vAlign w:val="bottom"/>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400" w:type="dxa"/>
            <w:vAlign w:val="bottom"/>
          </w:tcPr>
          <w:p>
            <w:pPr>
              <w:spacing w:after="0"/>
              <w:rPr>
                <w:sz w:val="4"/>
                <w:szCs w:val="4"/>
                <w:color w:val="auto"/>
              </w:rPr>
            </w:pPr>
          </w:p>
        </w:tc>
      </w:tr>
    </w:tbl>
    <w:p>
      <w:pPr>
        <w:spacing w:after="0" w:line="153"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Written communications pursuant to Rule 425 under the Securities Act (17 CFR 230.425)</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Soliciting material pursuant to Rule 14a-12 under the Exchange Act (17 CFR 240.14a-12)</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14d-2(b) under the Exchange Act (17 CFR 240.14d-2(b))</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w:t>
      </w:r>
    </w:p>
    <w:p>
      <w:pPr>
        <w:spacing w:after="0" w:line="196"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126"/>
        </w:trPr>
        <w:tc>
          <w:tcPr>
            <w:tcW w:w="61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660" w:type="dxa"/>
            <w:vAlign w:val="bottom"/>
            <w:tcBorders>
              <w:top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0"/>
              </w:rPr>
              <w:t>Trading</w:t>
            </w:r>
          </w:p>
        </w:tc>
        <w:tc>
          <w:tcPr>
            <w:tcW w:w="3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c>
          <w:tcPr>
            <w:tcW w:w="0" w:type="dxa"/>
            <w:vAlign w:val="bottom"/>
          </w:tcPr>
          <w:p>
            <w:pPr>
              <w:spacing w:after="0"/>
              <w:rPr>
                <w:sz w:val="1"/>
                <w:szCs w:val="1"/>
                <w:color w:val="auto"/>
              </w:rPr>
            </w:pPr>
          </w:p>
        </w:tc>
      </w:tr>
      <w:tr>
        <w:trPr>
          <w:trHeight w:val="153"/>
        </w:trPr>
        <w:tc>
          <w:tcPr>
            <w:tcW w:w="614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Symbol</w:t>
            </w:r>
          </w:p>
        </w:tc>
        <w:tc>
          <w:tcPr>
            <w:tcW w:w="34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BRC</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New York Stock Exchange</w:t>
            </w:r>
          </w:p>
        </w:tc>
        <w:tc>
          <w:tcPr>
            <w:tcW w:w="0" w:type="dxa"/>
            <w:vAlign w:val="bottom"/>
          </w:tcPr>
          <w:p>
            <w:pPr>
              <w:spacing w:after="0"/>
              <w:rPr>
                <w:sz w:val="1"/>
                <w:szCs w:val="1"/>
                <w:color w:val="auto"/>
              </w:rPr>
            </w:pPr>
          </w:p>
        </w:tc>
      </w:tr>
    </w:tbl>
    <w:p>
      <w:pPr>
        <w:spacing w:after="0" w:line="162" w:lineRule="exact"/>
        <w:rPr>
          <w:sz w:val="24"/>
          <w:szCs w:val="24"/>
          <w:color w:val="auto"/>
        </w:rPr>
      </w:pPr>
    </w:p>
    <w:p>
      <w:pPr>
        <w:ind w:right="440"/>
        <w:spacing w:after="0" w:line="227"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4"/>
          <w:szCs w:val="14"/>
          <w:color w:val="auto"/>
        </w:rPr>
        <w:t>☐</w:t>
      </w:r>
    </w:p>
    <w:p>
      <w:pPr>
        <w:spacing w:after="0" w:line="78" w:lineRule="exact"/>
        <w:rPr>
          <w:sz w:val="24"/>
          <w:szCs w:val="24"/>
          <w:color w:val="auto"/>
        </w:rPr>
      </w:pPr>
    </w:p>
    <w:p>
      <w:pPr>
        <w:spacing w:after="0" w:line="17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345440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2"/>
          <w:szCs w:val="12"/>
          <w:color w:val="auto"/>
        </w:rPr>
        <w:t>Item 2.02</w:t>
      </w:r>
      <w:r>
        <w:rPr>
          <w:sz w:val="20"/>
          <w:szCs w:val="20"/>
          <w:color w:val="auto"/>
        </w:rPr>
        <w:tab/>
      </w:r>
      <w:r>
        <w:rPr>
          <w:rFonts w:ascii="Arial" w:cs="Arial" w:eastAsia="Arial" w:hAnsi="Arial"/>
          <w:sz w:val="11"/>
          <w:szCs w:val="11"/>
          <w:color w:val="auto"/>
        </w:rPr>
        <w:t>RESULTS OF OPERATIONS AND FINANCIAL CONDITION</w:t>
      </w:r>
    </w:p>
    <w:p>
      <w:pPr>
        <w:spacing w:after="0" w:line="23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May 26, 2022, Brady Corporation (the “Company”) issued a press release announcing its fiscal 2022 third quarter financial results. A copy of the press release is being furnished to the Securities and Exchange Commission as Exhibit 99.1 attached hereto and is incorporated herein by reference.</w:t>
      </w:r>
    </w:p>
    <w:p>
      <w:pPr>
        <w:spacing w:after="0" w:line="268"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Item 7.01</w:t>
      </w:r>
      <w:r>
        <w:rPr>
          <w:sz w:val="20"/>
          <w:szCs w:val="20"/>
          <w:color w:val="auto"/>
        </w:rPr>
        <w:tab/>
      </w:r>
      <w:r>
        <w:rPr>
          <w:rFonts w:ascii="Arial" w:cs="Arial" w:eastAsia="Arial" w:hAnsi="Arial"/>
          <w:sz w:val="11"/>
          <w:szCs w:val="11"/>
          <w:color w:val="auto"/>
        </w:rPr>
        <w:t>REGULATION FD DISCLOSURE</w:t>
      </w:r>
    </w:p>
    <w:p>
      <w:pPr>
        <w:spacing w:after="0" w:line="2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May 26, 2022, the Company hosted a conference call related to its fiscal 2022 third quarter financial results. A copy of the slides referenced in the conference call, which is also posted on the Company’s website, is being furnished to the Securities and Exchange Commission as Exhibit 99.2 attached hereto and is incorporated herein by reference.</w:t>
      </w:r>
    </w:p>
    <w:p>
      <w:pPr>
        <w:spacing w:after="0" w:line="322"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Item 8.01</w:t>
      </w:r>
      <w:r>
        <w:rPr>
          <w:sz w:val="20"/>
          <w:szCs w:val="20"/>
          <w:color w:val="auto"/>
        </w:rPr>
        <w:tab/>
      </w:r>
      <w:r>
        <w:rPr>
          <w:rFonts w:ascii="Arial" w:cs="Arial" w:eastAsia="Arial" w:hAnsi="Arial"/>
          <w:sz w:val="11"/>
          <w:szCs w:val="11"/>
          <w:color w:val="auto"/>
        </w:rPr>
        <w:t>OTHER EVENTS</w:t>
      </w:r>
    </w:p>
    <w:p>
      <w:pPr>
        <w:spacing w:after="0" w:line="23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On May 24, 2022, the Company's Board of Directors authorized an increase in the Company's share repurchase program, authorizing the repurchase of up to $100 million of the Company's Class A Nonvoting Common Stock. The share repurchase program may be implemented from time to time on the open market or in privately negotiated transactions and has no expiration date. The repurchased shares will be available for use in connection with the Company's stock-based plans and for other corporate purposes. The share repurchase program was described in a press release issued by the Company in connection with its fiscal 2022 third quarter financial results, which is attached hereto as Exhibit 99.1 and is incorporated by reference.</w:t>
      </w:r>
    </w:p>
    <w:p>
      <w:pPr>
        <w:spacing w:after="0" w:line="277" w:lineRule="exact"/>
        <w:rPr>
          <w:sz w:val="20"/>
          <w:szCs w:val="20"/>
          <w:color w:val="auto"/>
        </w:rPr>
      </w:pPr>
    </w:p>
    <w:p>
      <w:pPr>
        <w:spacing w:after="0"/>
        <w:tabs>
          <w:tab w:leader="none" w:pos="960" w:val="left"/>
        </w:tabs>
        <w:rPr>
          <w:sz w:val="20"/>
          <w:szCs w:val="20"/>
          <w:color w:val="auto"/>
        </w:rPr>
      </w:pPr>
      <w:r>
        <w:rPr>
          <w:rFonts w:ascii="Arial" w:cs="Arial" w:eastAsia="Arial" w:hAnsi="Arial"/>
          <w:sz w:val="12"/>
          <w:szCs w:val="12"/>
          <w:color w:val="auto"/>
        </w:rPr>
        <w:t>Item 9.01</w:t>
      </w:r>
      <w:r>
        <w:rPr>
          <w:sz w:val="20"/>
          <w:szCs w:val="20"/>
          <w:color w:val="auto"/>
        </w:rPr>
        <w:tab/>
      </w:r>
      <w:r>
        <w:rPr>
          <w:rFonts w:ascii="Arial" w:cs="Arial" w:eastAsia="Arial" w:hAnsi="Arial"/>
          <w:sz w:val="11"/>
          <w:szCs w:val="11"/>
          <w:color w:val="auto"/>
        </w:rPr>
        <w:t>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80" w:type="dxa"/>
            <w:vAlign w:val="bottom"/>
          </w:tcPr>
          <w:p>
            <w:pPr>
              <w:spacing w:after="0"/>
              <w:rPr>
                <w:sz w:val="20"/>
                <w:szCs w:val="20"/>
                <w:color w:val="auto"/>
              </w:rPr>
            </w:pPr>
            <w:r>
              <w:rPr>
                <w:rFonts w:ascii="Arial" w:cs="Arial" w:eastAsia="Arial" w:hAnsi="Arial"/>
                <w:sz w:val="12"/>
                <w:szCs w:val="12"/>
                <w:color w:val="auto"/>
              </w:rPr>
              <w:t>(d) Exhibits</w:t>
            </w:r>
          </w:p>
        </w:tc>
        <w:tc>
          <w:tcPr>
            <w:tcW w:w="5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40" w:type="dxa"/>
            <w:vAlign w:val="bottom"/>
          </w:tcPr>
          <w:p>
            <w:pPr>
              <w:spacing w:after="0"/>
              <w:rPr>
                <w:sz w:val="13"/>
                <w:szCs w:val="13"/>
                <w:color w:val="auto"/>
              </w:rPr>
            </w:pPr>
          </w:p>
        </w:tc>
      </w:tr>
      <w:tr>
        <w:trPr>
          <w:trHeight w:val="279"/>
        </w:trPr>
        <w:tc>
          <w:tcPr>
            <w:tcW w:w="1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EXHIBIT NUMBER</w:t>
            </w:r>
          </w:p>
        </w:tc>
        <w:tc>
          <w:tcPr>
            <w:tcW w:w="1012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DESCRIPTION</w:t>
            </w:r>
          </w:p>
        </w:tc>
      </w:tr>
      <w:tr>
        <w:trPr>
          <w:trHeight w:val="169"/>
        </w:trPr>
        <w:tc>
          <w:tcPr>
            <w:tcW w:w="1180" w:type="dxa"/>
            <w:vAlign w:val="bottom"/>
          </w:tcPr>
          <w:p>
            <w:pPr>
              <w:spacing w:after="0"/>
              <w:rPr>
                <w:sz w:val="20"/>
                <w:szCs w:val="20"/>
                <w:color w:val="auto"/>
              </w:rPr>
            </w:pPr>
            <w:r>
              <w:rPr>
                <w:rFonts w:ascii="Arial" w:cs="Arial" w:eastAsia="Arial" w:hAnsi="Arial"/>
                <w:sz w:val="12"/>
                <w:szCs w:val="12"/>
                <w:color w:val="auto"/>
              </w:rPr>
              <w:t>99.1</w:t>
            </w:r>
          </w:p>
        </w:tc>
        <w:tc>
          <w:tcPr>
            <w:tcW w:w="5300" w:type="dxa"/>
            <w:vAlign w:val="bottom"/>
            <w:tcBorders>
              <w:bottom w:val="single" w:sz="8" w:color="0000FF"/>
            </w:tcBorders>
          </w:tcPr>
          <w:p>
            <w:pPr>
              <w:spacing w:after="0"/>
              <w:rPr>
                <w:rFonts w:ascii="Arial" w:cs="Arial" w:eastAsia="Arial" w:hAnsi="Arial"/>
                <w:sz w:val="12"/>
                <w:szCs w:val="12"/>
                <w:color w:val="0000FF"/>
                <w:w w:val="90"/>
              </w:rPr>
            </w:pPr>
            <w:hyperlink w:anchor="page3">
              <w:r>
                <w:rPr>
                  <w:rFonts w:ascii="Arial" w:cs="Arial" w:eastAsia="Arial" w:hAnsi="Arial"/>
                  <w:sz w:val="12"/>
                  <w:szCs w:val="12"/>
                  <w:color w:val="0000FF"/>
                  <w:w w:val="90"/>
                </w:rPr>
                <w:t>Press Release of Brady Corporation, dated May 26, 2022, relating to fiscal 2022 third quarter financial results.</w:t>
              </w:r>
            </w:hyperlink>
          </w:p>
        </w:tc>
        <w:tc>
          <w:tcPr>
            <w:tcW w:w="4820" w:type="dxa"/>
            <w:vAlign w:val="bottom"/>
            <w:gridSpan w:val="2"/>
          </w:tcPr>
          <w:p>
            <w:pPr>
              <w:spacing w:after="0"/>
              <w:rPr>
                <w:sz w:val="14"/>
                <w:szCs w:val="14"/>
                <w:color w:val="auto"/>
              </w:rPr>
            </w:pPr>
          </w:p>
        </w:tc>
      </w:tr>
      <w:tr>
        <w:trPr>
          <w:trHeight w:val="196"/>
        </w:trPr>
        <w:tc>
          <w:tcPr>
            <w:tcW w:w="1180" w:type="dxa"/>
            <w:vAlign w:val="bottom"/>
          </w:tcPr>
          <w:p>
            <w:pPr>
              <w:spacing w:after="0"/>
              <w:rPr>
                <w:sz w:val="20"/>
                <w:szCs w:val="20"/>
                <w:color w:val="auto"/>
              </w:rPr>
            </w:pPr>
            <w:r>
              <w:rPr>
                <w:rFonts w:ascii="Arial" w:cs="Arial" w:eastAsia="Arial" w:hAnsi="Arial"/>
                <w:sz w:val="12"/>
                <w:szCs w:val="12"/>
                <w:color w:val="auto"/>
              </w:rPr>
              <w:t>99.2</w:t>
            </w:r>
          </w:p>
        </w:tc>
        <w:tc>
          <w:tcPr>
            <w:tcW w:w="6080" w:type="dxa"/>
            <w:vAlign w:val="bottom"/>
            <w:tcBorders>
              <w:bottom w:val="single" w:sz="8" w:color="0000FF"/>
            </w:tcBorders>
            <w:gridSpan w:val="2"/>
          </w:tcPr>
          <w:p>
            <w:pPr>
              <w:spacing w:after="0"/>
              <w:rPr>
                <w:rFonts w:ascii="Arial" w:cs="Arial" w:eastAsia="Arial" w:hAnsi="Arial"/>
                <w:sz w:val="12"/>
                <w:szCs w:val="12"/>
                <w:color w:val="0000FF"/>
                <w:w w:val="91"/>
              </w:rPr>
            </w:pPr>
            <w:hyperlink w:anchor="page13">
              <w:r>
                <w:rPr>
                  <w:rFonts w:ascii="Arial" w:cs="Arial" w:eastAsia="Arial" w:hAnsi="Arial"/>
                  <w:sz w:val="12"/>
                  <w:szCs w:val="12"/>
                  <w:color w:val="0000FF"/>
                  <w:w w:val="91"/>
                </w:rPr>
                <w:t>Informational slides provided by Brady Corporation, dated May 26, 2022, relating to fiscal 2022 third quarter financial results.</w:t>
              </w:r>
            </w:hyperlink>
          </w:p>
        </w:tc>
        <w:tc>
          <w:tcPr>
            <w:tcW w:w="4040" w:type="dxa"/>
            <w:vAlign w:val="bottom"/>
          </w:tcPr>
          <w:p>
            <w:pPr>
              <w:spacing w:after="0"/>
              <w:rPr>
                <w:sz w:val="17"/>
                <w:szCs w:val="17"/>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2"/>
                <w:szCs w:val="12"/>
                <w:color w:val="auto"/>
              </w:rPr>
              <w:t>104</w:t>
            </w:r>
          </w:p>
        </w:tc>
        <w:tc>
          <w:tcPr>
            <w:tcW w:w="1012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Inline XBRL document).</w:t>
            </w:r>
          </w:p>
        </w:tc>
      </w:tr>
    </w:tbl>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Date: May 26, 2022</w:t>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9525</wp:posOffset>
            </wp:positionV>
            <wp:extent cx="345186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4"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Aaron J. Pearce</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Chief Financial Officer and Treasurer</w:t>
      </w:r>
    </w:p>
    <w:p>
      <w:pPr>
        <w:sectPr>
          <w:pgSz w:w="11900" w:h="16838" w:orient="portrait"/>
          <w:cols w:equalWidth="0" w:num="1">
            <w:col w:w="11300"/>
          </w:cols>
          <w:pgMar w:left="300" w:top="671"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3"/>
          <w:szCs w:val="13"/>
          <w:b w:val="1"/>
          <w:bCs w:val="1"/>
          <w:u w:val="single" w:color="auto"/>
          <w:color w:val="auto"/>
        </w:rPr>
        <w:t>EXHIBIT 99.1</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Reports Record EPS in its Fiscal 2022 Third Quarter, Raises its non-GAAP EPS Guidance and Expands its Share Buyback Program</w:t>
      </w:r>
    </w:p>
    <w:p>
      <w:pPr>
        <w:spacing w:after="0" w:line="197"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Sales for the quarter increased 14.6 percent. Organic sales increased 9.0 percent.</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Gross profit margin improved from 47.0 percent in the second quarter of F’22 to 48.4 percent in the third quarter of F’22.</w:t>
      </w:r>
    </w:p>
    <w:p>
      <w:pPr>
        <w:spacing w:after="0" w:line="55" w:lineRule="exact"/>
        <w:rPr>
          <w:rFonts w:ascii="Arial" w:cs="Arial" w:eastAsia="Arial" w:hAnsi="Arial"/>
          <w:sz w:val="14"/>
          <w:szCs w:val="14"/>
          <w:color w:val="auto"/>
        </w:rPr>
      </w:pPr>
    </w:p>
    <w:p>
      <w:pPr>
        <w:ind w:left="420" w:hanging="212"/>
        <w:spacing w:after="0" w:line="317"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3"/>
          <w:szCs w:val="13"/>
          <w:color w:val="auto"/>
        </w:rPr>
        <w:t>Diluted EPS increased 9.9 percent to an all-time record high of $0.78 in the third quarter of fiscal 2022 compared to $0.71 in the same quarter of the prior year. Diluted EPS Excluding Certain Items* increased 17.8 percent to an all-time record high of $0.86 in the third quarter of fiscal 2022 compared to $0.73 in the same quarter of the prior year.</w:t>
      </w:r>
    </w:p>
    <w:p>
      <w:pPr>
        <w:spacing w:after="0" w:line="3" w:lineRule="exact"/>
        <w:rPr>
          <w:rFonts w:ascii="Arial" w:cs="Arial" w:eastAsia="Arial" w:hAnsi="Arial"/>
          <w:sz w:val="14"/>
          <w:szCs w:val="14"/>
          <w:color w:val="auto"/>
        </w:rPr>
      </w:pPr>
    </w:p>
    <w:p>
      <w:pPr>
        <w:ind w:left="420" w:hanging="212"/>
        <w:spacing w:after="0" w:line="317"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3"/>
          <w:szCs w:val="13"/>
          <w:color w:val="auto"/>
        </w:rPr>
        <w:t>During the third quarter of fiscal 2022, we returned $63.2 million to our shareholders in the form of share repurchases. On May 24, 2022, Brady’s Board of Directors authorized an additional $100 million of shares for repurchase, which based on current share prices equates to approximately 2.2 million shares and just under 4.5 percent of total outstanding shares.</w:t>
      </w:r>
    </w:p>
    <w:p>
      <w:pPr>
        <w:spacing w:after="0" w:line="3"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2"/>
          <w:szCs w:val="12"/>
          <w:color w:val="auto"/>
        </w:rPr>
        <w:t>Earnings per diluted Class A Common Share guidance for the full year ending July 31, 2022 adjusted to a range of $2.83 to $2.92 on a GAAP basis and raised to $3.08 to $3.17 on a non-GAAP basis.</w:t>
      </w:r>
    </w:p>
    <w:p>
      <w:pPr>
        <w:spacing w:after="0" w:line="220" w:lineRule="exact"/>
        <w:rPr>
          <w:sz w:val="20"/>
          <w:szCs w:val="20"/>
          <w:color w:val="auto"/>
        </w:rPr>
      </w:pPr>
    </w:p>
    <w:p>
      <w:pPr>
        <w:jc w:val="both"/>
        <w:ind w:right="20"/>
        <w:spacing w:after="0" w:line="343" w:lineRule="auto"/>
        <w:rPr>
          <w:sz w:val="20"/>
          <w:szCs w:val="20"/>
          <w:color w:val="auto"/>
        </w:rPr>
      </w:pPr>
      <w:r>
        <w:rPr>
          <w:rFonts w:ascii="Arial" w:cs="Arial" w:eastAsia="Arial" w:hAnsi="Arial"/>
          <w:sz w:val="13"/>
          <w:szCs w:val="13"/>
          <w:color w:val="auto"/>
        </w:rPr>
        <w:t>MILWAUKEE (May 26, 2022) -- Brady Corporation (NYSE: BRC) (“Brady” or “Company”), a world leader in identification solutions, today reported its financial results for its fiscal 2022 third quarter ended April 30, 2022.</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 Ended April 30, 2022 Financial Results:</w:t>
      </w:r>
    </w:p>
    <w:p>
      <w:pPr>
        <w:spacing w:after="0" w:line="53" w:lineRule="exact"/>
        <w:rPr>
          <w:sz w:val="20"/>
          <w:szCs w:val="20"/>
          <w:color w:val="auto"/>
        </w:rPr>
      </w:pPr>
    </w:p>
    <w:p>
      <w:pPr>
        <w:jc w:val="both"/>
        <w:ind w:firstLine="432"/>
        <w:spacing w:after="0" w:line="354" w:lineRule="auto"/>
        <w:rPr>
          <w:sz w:val="20"/>
          <w:szCs w:val="20"/>
          <w:color w:val="auto"/>
        </w:rPr>
      </w:pPr>
      <w:r>
        <w:rPr>
          <w:rFonts w:ascii="Arial" w:cs="Arial" w:eastAsia="Arial" w:hAnsi="Arial"/>
          <w:sz w:val="12"/>
          <w:szCs w:val="12"/>
          <w:color w:val="auto"/>
        </w:rPr>
        <w:t>Sales for the quarter ended April 30, 2022 increased 14.6 percent, which consisted of an organic sales increase of 9.0 percent, an increase of 8.6 percent from acquisitions and a decrease of 3.0 percent from foreign currency translation. Sales for the quarter ended April 30, 2022 were $338.6 million compared to $295.5 million in the same quarter last year. By segment, sales increased 21.1 percent in Identification Solutions and decreased 3.9 percent in Workplace Safety, which consisted of an organic sales increase of 11.8 percent in Identification Solutions and an organic sales increase of 0.9 percent in Workplace Safety.</w:t>
      </w:r>
    </w:p>
    <w:p>
      <w:pPr>
        <w:spacing w:after="0" w:line="1" w:lineRule="exact"/>
        <w:rPr>
          <w:sz w:val="20"/>
          <w:szCs w:val="20"/>
          <w:color w:val="auto"/>
        </w:rPr>
      </w:pPr>
    </w:p>
    <w:p>
      <w:pPr>
        <w:jc w:val="both"/>
        <w:ind w:firstLine="432"/>
        <w:spacing w:after="0" w:line="336" w:lineRule="auto"/>
        <w:rPr>
          <w:sz w:val="20"/>
          <w:szCs w:val="20"/>
          <w:color w:val="auto"/>
        </w:rPr>
      </w:pPr>
      <w:r>
        <w:rPr>
          <w:rFonts w:ascii="Arial" w:cs="Arial" w:eastAsia="Arial" w:hAnsi="Arial"/>
          <w:sz w:val="13"/>
          <w:szCs w:val="13"/>
          <w:color w:val="auto"/>
        </w:rPr>
        <w:t>Income before income taxes and losses of unconsolidated affiliate increased 7.3 percent to $51.3 million for the quarter ended April 30, 2022, compared to $47.8 million in the same quarter last year. Income Before Income Taxes Excluding Certain Items* for the quarter ended April 30, 2022, which was adjusted for non-recurring charges primarily to streamline the cost structure of our Workplace Safety business of $1.8 million and amortization expense of $3.7 million, was $56.8 million, an increase of 15.7 percent compared to the third quarter of last year. Income Before Income Taxes Excluding Certain Items* for the quarter ended April 30, 2021 was adjusted for amortization expense of $1.4 million.</w:t>
      </w:r>
    </w:p>
    <w:p>
      <w:pPr>
        <w:sectPr>
          <w:pgSz w:w="11900" w:h="16838" w:orient="portrait"/>
          <w:cols w:equalWidth="0" w:num="1">
            <w:col w:w="11300"/>
          </w:cols>
          <w:pgMar w:left="300" w:top="638" w:right="299" w:bottom="1440" w:gutter="0" w:footer="0" w:header="0"/>
        </w:sectPr>
      </w:pPr>
    </w:p>
    <w:bookmarkStart w:id="3" w:name="page4"/>
    <w:bookmarkEnd w:id="3"/>
    <w:p>
      <w:pPr>
        <w:jc w:val="both"/>
        <w:ind w:firstLine="432"/>
        <w:spacing w:after="0" w:line="340" w:lineRule="auto"/>
        <w:rPr>
          <w:sz w:val="20"/>
          <w:szCs w:val="20"/>
          <w:color w:val="auto"/>
        </w:rPr>
      </w:pPr>
      <w:r>
        <w:rPr>
          <w:rFonts w:ascii="Arial" w:cs="Arial" w:eastAsia="Arial" w:hAnsi="Arial"/>
          <w:sz w:val="13"/>
          <w:szCs w:val="13"/>
          <w:color w:val="auto"/>
        </w:rPr>
        <w:t>Net income for the quarter ended April 30, 2022 was $40.1 million compared to $37.3 million in the same quarter last year. Earnings per diluted Class A Nonvoting Common Share were $0.78 for the third quarter of fiscal 2022, compared to $0.71 in the same quarter last year. Net Income Excluding Certain Items* for the quarter ended April 30, 2022 was $44.2 million and Diluted EPS Excluding Certain Items* for the quarter ended April 30, 2022 was $0.86. Net Income Excluding Certain Items* for the quarter ended April 30, 2021 was $38.3 million and was adjusted for amortization expense of $1.0 million, and Diluted EPS Excluding Certain Items* for the quarter ended April 30, 2021 was $0.73 and was adjusted for amortization expense of $0.02.</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Nine-Month Period Ended April 30, 2022 Financial Results:</w:t>
      </w:r>
    </w:p>
    <w:p>
      <w:pPr>
        <w:spacing w:after="0" w:line="53" w:lineRule="exact"/>
        <w:rPr>
          <w:sz w:val="20"/>
          <w:szCs w:val="20"/>
          <w:color w:val="auto"/>
        </w:rPr>
      </w:pPr>
    </w:p>
    <w:p>
      <w:pPr>
        <w:jc w:val="both"/>
        <w:ind w:firstLine="432"/>
        <w:spacing w:after="0" w:line="325" w:lineRule="auto"/>
        <w:rPr>
          <w:sz w:val="20"/>
          <w:szCs w:val="20"/>
          <w:color w:val="auto"/>
        </w:rPr>
      </w:pPr>
      <w:r>
        <w:rPr>
          <w:rFonts w:ascii="Arial" w:cs="Arial" w:eastAsia="Arial" w:hAnsi="Arial"/>
          <w:sz w:val="13"/>
          <w:szCs w:val="13"/>
          <w:color w:val="auto"/>
        </w:rPr>
        <w:t>Sales for the nine-month period ended April 30, 2022 increased 16.6 percent, which consisted of an organic sales increase of 9.6 percent, an increase of 8.5 percent from acquisitions and a decrease of 1.5 percent from foreign currency translation. Sales for the nine months ended April 30, 2022 were $978.1 million compared to $838.6 million in the same period last year. By segment, sales increased 24.1 percent in Identification Solutions and decreased 3.4 percent in Workplace Safety, which consisted of an organic sales increase of 13.6 percent in Identification Solutions and an organic sales decline of 1.1 percent in Workplace Safety.</w:t>
      </w:r>
    </w:p>
    <w:p>
      <w:pPr>
        <w:jc w:val="both"/>
        <w:ind w:firstLine="432"/>
        <w:spacing w:after="0" w:line="356" w:lineRule="auto"/>
        <w:rPr>
          <w:sz w:val="20"/>
          <w:szCs w:val="20"/>
          <w:color w:val="auto"/>
        </w:rPr>
      </w:pPr>
      <w:r>
        <w:rPr>
          <w:rFonts w:ascii="Arial" w:cs="Arial" w:eastAsia="Arial" w:hAnsi="Arial"/>
          <w:sz w:val="12"/>
          <w:szCs w:val="12"/>
          <w:color w:val="auto"/>
        </w:rPr>
        <w:t>Income before income taxes and losses of unconsolidated affiliate increased 6.6 percent to $138.0 million for the nine months ended April 30, 2022, compared to $129.4 million in the same period last year. Income Before Income Taxes Excluding Certain Items* for the nine months ended April 30, 2022 was $151.1 million, an increase of 13.2 percent compared to the same period of last year. Income Before Income Taxes Excluding Certain Items* was adjusted for non-recurring charges primarily to streamline the cost structure of our Workplace Safety business of $1.8 million and amortization expense of $11.3 million. Income Before Income Taxes Excluding Certain Items* for the prior year nine-month period ended April 30, 2021 was $133.5 million and was adjusted for amortization expense of $4.1 million.</w:t>
      </w:r>
    </w:p>
    <w:p>
      <w:pPr>
        <w:jc w:val="both"/>
        <w:ind w:firstLine="432"/>
        <w:spacing w:after="0" w:line="386" w:lineRule="auto"/>
        <w:rPr>
          <w:sz w:val="20"/>
          <w:szCs w:val="20"/>
          <w:color w:val="auto"/>
        </w:rPr>
      </w:pPr>
      <w:r>
        <w:rPr>
          <w:rFonts w:ascii="Arial" w:cs="Arial" w:eastAsia="Arial" w:hAnsi="Arial"/>
          <w:sz w:val="12"/>
          <w:szCs w:val="12"/>
          <w:color w:val="auto"/>
        </w:rPr>
        <w:t>Net income for the nine-month period ended April 30, 2022 was $108.9 million compared to $101.6 million in the same period last year. Earnings per diluted Class A Nonvoting Common Share were $2.09 for the nine months ended April 30, 2022, compared to $1.94 in the same period last year. Net Income Excluding Certain Items* for the nine months ended April 30, 2022 was $118.9 million and Diluted EPS Excluding Certain Items* for the nine-month period ended April 30, 2022 was $2.28. Net Income Excluding Certain Items* for the nine months ended April 30, 2021 was $104.7 million and was adjusted for amortization expense of $3.0 million, and Diluted EPS Excluding Certain Items* for the nine-month period ended April 30, 2021 was $2.00 and was adjusted for amortization expense of $0.06.</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Commentary:</w:t>
      </w:r>
    </w:p>
    <w:p>
      <w:pPr>
        <w:spacing w:after="0" w:line="62" w:lineRule="exact"/>
        <w:rPr>
          <w:sz w:val="20"/>
          <w:szCs w:val="20"/>
          <w:color w:val="auto"/>
        </w:rPr>
      </w:pPr>
    </w:p>
    <w:p>
      <w:pPr>
        <w:jc w:val="both"/>
        <w:ind w:firstLine="432"/>
        <w:spacing w:after="0" w:line="349" w:lineRule="auto"/>
        <w:rPr>
          <w:sz w:val="20"/>
          <w:szCs w:val="20"/>
          <w:color w:val="auto"/>
        </w:rPr>
      </w:pPr>
      <w:r>
        <w:rPr>
          <w:rFonts w:ascii="Arial" w:cs="Arial" w:eastAsia="Arial" w:hAnsi="Arial"/>
          <w:sz w:val="13"/>
          <w:szCs w:val="13"/>
          <w:color w:val="auto"/>
        </w:rPr>
        <w:t>“We generated strong revenue growth of 14.6 percent and record non-GAAP EPS of $0.86 this quarter. Our strong sales growth was primarily driven by our Identification Solutions division which had total sales growth of 21.1 percent this quarter. We’ve been working to enhance our product offering and the three acquisitions we completed last year are contributing to this, while also helping shift Brady into faster-growing end markets,” said Brady’s President and Chief Executive Officer, Russell R. Shaller. “In our Workplace Safety division, we took actions to reposition our product offering, to deemphasize certain under-performing businesses, and to streamline our cost structure. These actions have been very positive resulting in the increase in Workplace Safety segment profit this quarter. As a result of our ongoing efficiency activities and pricing actions, we experienced a sequential</w:t>
      </w:r>
    </w:p>
    <w:p>
      <w:pPr>
        <w:sectPr>
          <w:pgSz w:w="11900" w:h="16838" w:orient="portrait"/>
          <w:cols w:equalWidth="0" w:num="1">
            <w:col w:w="11300"/>
          </w:cols>
          <w:pgMar w:left="300" w:top="678" w:right="299" w:bottom="1440" w:gutter="0" w:footer="0" w:header="0"/>
        </w:sectPr>
      </w:pPr>
    </w:p>
    <w:bookmarkStart w:id="4" w:name="page5"/>
    <w:bookmarkEnd w:id="4"/>
    <w:p>
      <w:pPr>
        <w:jc w:val="both"/>
        <w:ind w:right="20"/>
        <w:spacing w:after="0" w:line="325" w:lineRule="auto"/>
        <w:rPr>
          <w:sz w:val="20"/>
          <w:szCs w:val="20"/>
          <w:color w:val="auto"/>
        </w:rPr>
      </w:pPr>
      <w:r>
        <w:rPr>
          <w:rFonts w:ascii="Arial" w:cs="Arial" w:eastAsia="Arial" w:hAnsi="Arial"/>
          <w:sz w:val="13"/>
          <w:szCs w:val="13"/>
          <w:color w:val="auto"/>
        </w:rPr>
        <w:t>improvement in our gross profit margin of 140 basis points from 47.0 percent for the quarter ended January 31, 2022, to 48.4 percent for the quarter ended April 30, 2022. Overall, Brady is performing at a high level with strong sales growth, record EPS and a strong foundation, which we believe sets the stage for positive future results.”</w:t>
      </w:r>
    </w:p>
    <w:p>
      <w:pPr>
        <w:jc w:val="both"/>
        <w:ind w:firstLine="432"/>
        <w:spacing w:after="0" w:line="338" w:lineRule="auto"/>
        <w:rPr>
          <w:sz w:val="20"/>
          <w:szCs w:val="20"/>
          <w:color w:val="auto"/>
        </w:rPr>
      </w:pPr>
      <w:r>
        <w:rPr>
          <w:rFonts w:ascii="Arial" w:cs="Arial" w:eastAsia="Arial" w:hAnsi="Arial"/>
          <w:sz w:val="13"/>
          <w:szCs w:val="13"/>
          <w:color w:val="auto"/>
        </w:rPr>
        <w:t>“Not only did we have strong revenue growth and record EPS this quarter, we also used our strong cash generation to return funds to our shareholders in the form of share repurchases and continuing dividends. This quarter, we repurchased 1.4 million shares for $63.2 million and subsequent to quarter end, we repurchased another 0.2 million shares for $9.3 million,” said Brady’s Chief Financial Officer, Aaron Pearce. “Even after returning nearly $75 million to our shareholders in the form of dividends and buybacks, we still reduced our external borrowing this quarter and are in a net cash position. The macro environment continues to be highly uncertain, but we believe that we are well-positioned as we have built up inventory levels to ensure a steady supply of products to our customers and we are in a net cash position of $26.1 million at April 30, 2022, which provides many strategic alternatives to drive future shareholder value.”</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Buyback Program:</w:t>
      </w:r>
    </w:p>
    <w:p>
      <w:pPr>
        <w:spacing w:after="0" w:line="62" w:lineRule="exact"/>
        <w:rPr>
          <w:sz w:val="20"/>
          <w:szCs w:val="20"/>
          <w:color w:val="auto"/>
        </w:rPr>
      </w:pPr>
    </w:p>
    <w:p>
      <w:pPr>
        <w:jc w:val="both"/>
        <w:ind w:firstLine="432"/>
        <w:spacing w:after="0" w:line="337" w:lineRule="auto"/>
        <w:rPr>
          <w:sz w:val="20"/>
          <w:szCs w:val="20"/>
          <w:color w:val="auto"/>
        </w:rPr>
      </w:pPr>
      <w:r>
        <w:rPr>
          <w:rFonts w:ascii="Arial" w:cs="Arial" w:eastAsia="Arial" w:hAnsi="Arial"/>
          <w:sz w:val="13"/>
          <w:szCs w:val="13"/>
          <w:color w:val="auto"/>
        </w:rPr>
        <w:t>Prior to May 24, 2022, the Company completed its previously authorized share repurchase program. On May 24, 2022, Brady’s Board of Directors authorized an additional $100 million of Class A Common Stock for repurchase under the Company’s share buyback program. The share buyback plan may be implemented from time to time in the open market or in privately negotiated transactions and has no expiration date.</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2022 Guidance:</w:t>
      </w:r>
    </w:p>
    <w:p>
      <w:pPr>
        <w:spacing w:after="0" w:line="53" w:lineRule="exact"/>
        <w:rPr>
          <w:sz w:val="20"/>
          <w:szCs w:val="20"/>
          <w:color w:val="auto"/>
        </w:rPr>
      </w:pPr>
    </w:p>
    <w:p>
      <w:pPr>
        <w:jc w:val="both"/>
        <w:ind w:firstLine="432"/>
        <w:spacing w:after="0" w:line="383" w:lineRule="auto"/>
        <w:rPr>
          <w:sz w:val="20"/>
          <w:szCs w:val="20"/>
          <w:color w:val="auto"/>
        </w:rPr>
      </w:pPr>
      <w:r>
        <w:rPr>
          <w:rFonts w:ascii="Arial" w:cs="Arial" w:eastAsia="Arial" w:hAnsi="Arial"/>
          <w:sz w:val="12"/>
          <w:szCs w:val="12"/>
          <w:color w:val="auto"/>
        </w:rPr>
        <w:t>The Company’s earnings per diluted Class A Nonvoting Common Share on a GAAP basis was adjusted to a range of $2.83 to $2.92 per share, and earnings per diluted Class A Nonvoting Common Share, Excluding Certain Items* guidance was increased to a range of $3.08 to $3.17 per share, for the year ending July 31, 2022. This implies that we expect Diluted EPS Excluding Certain Items* to improve by 12% to 15% for the full year ending July 31, 2022 when compared to the adjusted fiscal 2021 diluted earnings per share of $2.75. Also included in our full-year fiscal 2022 guidance are a full-year income tax rate of approximately 21 percent and depreciation and amortization expense ranging from $34 million to $36 million. Capital expenditures, excluding facility purchases are expected to range from $20 million to $25 million during the year ending July 31, 2022. The Company’s fiscal 2022 guidance is based on foreign currency exchange rates as of April 30, 2022 and assumes continued economic growth.</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A webcast regarding Brady’s fiscal 2022 third quarter financial results will be available at </w:t>
      </w:r>
      <w:r>
        <w:rPr>
          <w:rFonts w:ascii="Arial" w:cs="Arial" w:eastAsia="Arial" w:hAnsi="Arial"/>
          <w:sz w:val="13"/>
          <w:szCs w:val="13"/>
          <w:u w:val="single" w:color="auto"/>
          <w:color w:val="0000FF"/>
        </w:rPr>
        <w:t>www.bradycorp.com/investors</w:t>
      </w:r>
      <w:r>
        <w:rPr>
          <w:rFonts w:ascii="Arial" w:cs="Arial" w:eastAsia="Arial" w:hAnsi="Arial"/>
          <w:sz w:val="13"/>
          <w:szCs w:val="13"/>
          <w:color w:val="auto"/>
        </w:rPr>
        <w:t xml:space="preserve"> beginning at 9:30 a.m. central time today.</w:t>
      </w:r>
    </w:p>
    <w:p>
      <w:pPr>
        <w:spacing w:after="0" w:line="220" w:lineRule="exact"/>
        <w:rPr>
          <w:sz w:val="20"/>
          <w:szCs w:val="20"/>
          <w:color w:val="auto"/>
        </w:rPr>
      </w:pPr>
    </w:p>
    <w:p>
      <w:pPr>
        <w:jc w:val="both"/>
        <w:ind w:firstLine="432"/>
        <w:spacing w:after="0" w:line="355" w:lineRule="auto"/>
        <w:rPr>
          <w:sz w:val="20"/>
          <w:szCs w:val="20"/>
          <w:color w:val="auto"/>
        </w:rPr>
      </w:pPr>
      <w:r>
        <w:rPr>
          <w:rFonts w:ascii="Arial" w:cs="Arial" w:eastAsia="Arial" w:hAnsi="Arial"/>
          <w:sz w:val="13"/>
          <w:szCs w:val="13"/>
          <w:color w:val="auto"/>
        </w:rPr>
        <w:t>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2021, employed approximately 5,700 people in its worldwide businesses. Brady’s fiscal 2021</w:t>
      </w:r>
    </w:p>
    <w:p>
      <w:pPr>
        <w:sectPr>
          <w:pgSz w:w="11900" w:h="16838" w:orient="portrait"/>
          <w:cols w:equalWidth="0" w:num="1">
            <w:col w:w="11300"/>
          </w:cols>
          <w:pgMar w:left="300" w:top="678" w:right="299" w:bottom="1440" w:gutter="0" w:footer="0" w:header="0"/>
        </w:sectPr>
      </w:pPr>
    </w:p>
    <w:bookmarkStart w:id="5" w:name="page6"/>
    <w:bookmarkEnd w:id="5"/>
    <w:p>
      <w:pPr>
        <w:spacing w:after="0"/>
        <w:rPr>
          <w:sz w:val="20"/>
          <w:szCs w:val="20"/>
          <w:color w:val="auto"/>
        </w:rPr>
      </w:pPr>
      <w:r>
        <w:rPr>
          <w:rFonts w:ascii="Arial" w:cs="Arial" w:eastAsia="Arial" w:hAnsi="Arial"/>
          <w:sz w:val="13"/>
          <w:szCs w:val="13"/>
          <w:color w:val="auto"/>
        </w:rPr>
        <w:t xml:space="preserve">sales were approximately $1.14 billion. Brady stock trades on the New York Stock Exchange under the symbol BRC. More information is available on the Internet at </w:t>
      </w:r>
      <w:r>
        <w:rPr>
          <w:rFonts w:ascii="Arial" w:cs="Arial" w:eastAsia="Arial" w:hAnsi="Arial"/>
          <w:sz w:val="13"/>
          <w:szCs w:val="13"/>
          <w:u w:val="single" w:color="auto"/>
          <w:color w:val="0000FF"/>
        </w:rPr>
        <w:t>www.bradyid.com</w:t>
      </w:r>
      <w:r>
        <w:rPr>
          <w:rFonts w:ascii="Arial" w:cs="Arial" w:eastAsia="Arial" w:hAnsi="Arial"/>
          <w:sz w:val="13"/>
          <w:szCs w:val="13"/>
          <w:color w:val="auto"/>
        </w:rPr>
        <w:t>.</w:t>
      </w:r>
    </w:p>
    <w:p>
      <w:pPr>
        <w:spacing w:after="0" w:line="229" w:lineRule="exact"/>
        <w:rPr>
          <w:sz w:val="20"/>
          <w:szCs w:val="20"/>
          <w:color w:val="auto"/>
        </w:rPr>
      </w:pPr>
    </w:p>
    <w:p>
      <w:pPr>
        <w:ind w:firstLine="424"/>
        <w:spacing w:after="0" w:line="358" w:lineRule="auto"/>
        <w:tabs>
          <w:tab w:leader="none" w:pos="537"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Income Before Income Taxes Excluding Certain Items, Net Income Excluding Certain Items, and Diluted EPS Excluding Certain Items are non-GAAP measures. See appendix for more information on these measures, including reconciliations to the most directly comparable GAAP measures.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94"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1"/>
          <w:szCs w:val="11"/>
          <w:color w:val="auto"/>
        </w:rPr>
        <w:t>differ materially from those expressed or implied by such forward-looking statements. For Brady, uncertainties arise from: adverse impacts of the novel coronavirus (“COVID-19”) pandemic or other pandemics; decreased demand for our products; our ability to compete effectively or to successfully execute our strategy; increased cost of raw materials, labor and freight as well as raw material shortages and supply chain disruptions; increased cost of raw materials, labor and freight as well as raw material shortages; Brady’s ability to properly identify, integrate, and grow acquired companies, and to manage contingent liabilities from divested businesses; difficulties in protecting our websites, networks, and systems against security breaches; risks associated with the loss of key employees; extensive regulations by U.S. and non-U.S. governmental and self-regulatory entities; litigation, including product liability claims; foreign currency fluctuations; potential write-offs of goodwill and other intangible assets; changes in tax legislation and tax rates; differing interests of voting and non-voting shareholders;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2021 and in any subsequent filings on Form 10-Q.</w:t>
      </w:r>
    </w:p>
    <w:p>
      <w:pPr>
        <w:spacing w:after="0" w:line="133" w:lineRule="exact"/>
        <w:rPr>
          <w:sz w:val="20"/>
          <w:szCs w:val="20"/>
          <w:color w:val="auto"/>
        </w:rPr>
      </w:pPr>
    </w:p>
    <w:p>
      <w:pPr>
        <w:spacing w:after="0"/>
        <w:rPr>
          <w:sz w:val="20"/>
          <w:szCs w:val="20"/>
          <w:color w:val="auto"/>
        </w:rPr>
      </w:pPr>
      <w:r>
        <w:rPr>
          <w:rFonts w:ascii="Arial" w:cs="Arial" w:eastAsia="Arial" w:hAnsi="Arial"/>
          <w:sz w:val="10"/>
          <w:szCs w:val="10"/>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78" w:right="29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INCOME</w:t>
      </w:r>
    </w:p>
    <w:p>
      <w:pPr>
        <w:spacing w:after="0"/>
        <w:rPr>
          <w:sz w:val="20"/>
          <w:szCs w:val="20"/>
          <w:color w:val="auto"/>
        </w:rPr>
      </w:pPr>
      <w:r>
        <w:rPr>
          <w:rFonts w:ascii="Arial" w:cs="Arial" w:eastAsia="Arial" w:hAnsi="Arial"/>
          <w:sz w:val="11"/>
          <w:szCs w:val="11"/>
          <w:b w:val="1"/>
          <w:bCs w:val="1"/>
          <w:color w:val="auto"/>
        </w:rPr>
        <w:t>(Unaudited; Dollars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1"/>
                <w:szCs w:val="11"/>
                <w:color w:val="auto"/>
              </w:rPr>
              <w:t>Three months ended April 30,</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2022</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color w:val="auto"/>
              </w:rPr>
              <w:t>2021</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2021</w:t>
            </w:r>
          </w:p>
        </w:tc>
      </w:tr>
      <w:tr>
        <w:trPr>
          <w:trHeight w:val="135"/>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338,551</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295,503</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978,081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838,568</w:t>
            </w:r>
          </w:p>
        </w:tc>
      </w:tr>
      <w:tr>
        <w:trPr>
          <w:trHeight w:val="142"/>
        </w:trPr>
        <w:tc>
          <w:tcPr>
            <w:tcW w:w="55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174,525</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146,656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509,705</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424,771</w:t>
            </w:r>
          </w:p>
        </w:tc>
      </w:tr>
      <w:tr>
        <w:trPr>
          <w:trHeight w:val="135"/>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164,026</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148,847</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468,376</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413,797</w:t>
            </w: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14,923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11,305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42,795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31,384</w:t>
            </w:r>
          </w:p>
        </w:tc>
      </w:tr>
      <w:tr>
        <w:trPr>
          <w:trHeight w:val="142"/>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96,214</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90,817</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285,485</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256,088</w:t>
            </w:r>
          </w:p>
        </w:tc>
      </w:tr>
      <w:tr>
        <w:trPr>
          <w:trHeight w:val="135"/>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111,137</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102,122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328,280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287,472</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52,889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46,725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140,096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126,325</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Other (expense)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Arial" w:cs="Arial" w:eastAsia="Arial" w:hAnsi="Arial"/>
                <w:sz w:val="11"/>
                <w:szCs w:val="11"/>
                <w:color w:val="auto"/>
              </w:rPr>
              <w:t>Investment and other (expense)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(1,308)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1,181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(1,343)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3,372</w:t>
            </w:r>
          </w:p>
        </w:tc>
      </w:tr>
      <w:tr>
        <w:trPr>
          <w:trHeight w:val="144"/>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(329)</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(763)</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(288)</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Income before income taxes and losses of unconsolidated affiliate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51,252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47,775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137,990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129,409</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2"/>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11,198</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10,229</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29,075</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27,017</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Income before losses of unconsolidated affiliate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40,054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37,546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108,915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102,392</w:t>
            </w: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Equity in losses of unconsolidated affiliate</w:t>
            </w:r>
          </w:p>
        </w:tc>
        <w:tc>
          <w:tcPr>
            <w:tcW w:w="8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(760)</w:t>
            </w:r>
          </w:p>
        </w:tc>
      </w:tr>
      <w:tr>
        <w:trPr>
          <w:trHeight w:val="153"/>
        </w:trPr>
        <w:tc>
          <w:tcPr>
            <w:tcW w:w="55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60"/>
        </w:trPr>
        <w:tc>
          <w:tcPr>
            <w:tcW w:w="55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income</w:t>
            </w:r>
          </w:p>
        </w:tc>
        <w:tc>
          <w:tcPr>
            <w:tcW w:w="88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40,054</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37,291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108,915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101,632</w:t>
            </w:r>
          </w:p>
        </w:tc>
      </w:tr>
      <w:tr>
        <w:trPr>
          <w:trHeight w:val="153"/>
        </w:trPr>
        <w:tc>
          <w:tcPr>
            <w:tcW w:w="55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Net income per Class A Nonvoting Common Share: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w:t>
            </w:r>
          </w:p>
        </w:tc>
      </w:tr>
      <w:tr>
        <w:trPr>
          <w:trHeight w:val="142"/>
        </w:trPr>
        <w:tc>
          <w:tcPr>
            <w:tcW w:w="5580" w:type="dxa"/>
            <w:vAlign w:val="bottom"/>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0.78</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0.71</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2.09</w:t>
            </w:r>
          </w:p>
        </w:tc>
        <w:tc>
          <w:tcPr>
            <w:tcW w:w="10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1.94</w:t>
            </w:r>
          </w:p>
        </w:tc>
      </w:tr>
      <w:tr>
        <w:trPr>
          <w:trHeight w:val="173"/>
        </w:trPr>
        <w:tc>
          <w:tcPr>
            <w:tcW w:w="5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Net income per Class B Voting Common Share: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w:t>
            </w:r>
          </w:p>
        </w:tc>
      </w:tr>
      <w:tr>
        <w:trPr>
          <w:trHeight w:val="142"/>
        </w:trPr>
        <w:tc>
          <w:tcPr>
            <w:tcW w:w="5580" w:type="dxa"/>
            <w:vAlign w:val="bottom"/>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0.78</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0.71</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2.08</w:t>
            </w:r>
          </w:p>
        </w:tc>
        <w:tc>
          <w:tcPr>
            <w:tcW w:w="10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1.93</w:t>
            </w:r>
          </w:p>
        </w:tc>
      </w:tr>
      <w:tr>
        <w:trPr>
          <w:trHeight w:val="173"/>
        </w:trPr>
        <w:tc>
          <w:tcPr>
            <w:tcW w:w="5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Weighted average common shares outstanding:</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51,326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52,050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51,700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52,030</w:t>
            </w:r>
          </w:p>
        </w:tc>
      </w:tr>
      <w:tr>
        <w:trPr>
          <w:trHeight w:val="140"/>
        </w:trPr>
        <w:tc>
          <w:tcPr>
            <w:tcW w:w="5580" w:type="dxa"/>
            <w:vAlign w:val="bottom"/>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51,568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52,449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52,055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52,341</w:t>
            </w:r>
          </w:p>
        </w:tc>
      </w:tr>
    </w:tbl>
    <w:p>
      <w:pPr>
        <w:sectPr>
          <w:pgSz w:w="11900" w:h="16838" w:orient="portrait"/>
          <w:cols w:equalWidth="0" w:num="1">
            <w:col w:w="11300"/>
          </w:cols>
          <w:pgMar w:left="300" w:top="562" w:right="299"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BALANCE SHEETS</w:t>
      </w:r>
    </w:p>
    <w:p>
      <w:pPr>
        <w:spacing w:after="0"/>
        <w:rPr>
          <w:sz w:val="20"/>
          <w:szCs w:val="20"/>
          <w:color w:val="auto"/>
        </w:rPr>
      </w:pPr>
      <w:r>
        <w:rPr>
          <w:rFonts w:ascii="Arial" w:cs="Arial" w:eastAsia="Arial" w:hAnsi="Arial"/>
          <w:sz w:val="11"/>
          <w:szCs w:val="11"/>
          <w:b w:val="1"/>
          <w:bCs w:val="1"/>
          <w:color w:val="auto"/>
        </w:rPr>
        <w:t>(Dollars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color w:val="auto"/>
                <w:w w:val="91"/>
              </w:rPr>
              <w:t>April 30, 2022</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July 31, 2021</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1"/>
                <w:szCs w:val="11"/>
                <w:color w:val="auto"/>
                <w:w w:val="90"/>
              </w:rPr>
              <w:t>(Unaudited)</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Arial" w:cs="Arial" w:eastAsia="Arial" w:hAnsi="Arial"/>
                <w:sz w:val="11"/>
                <w:szCs w:val="11"/>
                <w:b w:val="1"/>
                <w:bCs w:val="1"/>
                <w:color w:val="auto"/>
                <w:w w:val="90"/>
              </w:rPr>
              <w:t>ASSETS</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Arial" w:cs="Arial" w:eastAsia="Arial" w:hAnsi="Arial"/>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Cash and cash equivalents</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103,068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147,335</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Accounts receivable, net of allowance for credit losses of $7,891 and $7,306, respectively</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186,843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170,579</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Inventories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177,156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136,107</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Prepaid expenses and other current assets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12,550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11,083</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assets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479,617</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465,104</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Property, plant and equipment—net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125,014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121,741</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Goodwill</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591,780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614,137</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Other intangible assets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78,238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92,334</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Deferred income taxes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14,804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16,343</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Operating lease assets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30,466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41,880</w:t>
            </w:r>
          </w:p>
        </w:tc>
      </w:tr>
      <w:tr>
        <w:trPr>
          <w:trHeight w:val="144"/>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Other assets</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24,325</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26,217</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Total</w:t>
            </w: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1,344,244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1,377,756</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Arial" w:cs="Arial" w:eastAsia="Arial" w:hAnsi="Arial"/>
                <w:sz w:val="11"/>
                <w:szCs w:val="11"/>
                <w:b w:val="1"/>
                <w:bCs w:val="1"/>
                <w:color w:val="auto"/>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Current liabilities:</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Accounts payable</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79,567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82,152</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Accrued compensation and benefits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70,195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81,173</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Taxes, other than income taxes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12,910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13,054</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Accrued income taxes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4,264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3,915</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Current operating lease liabilities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15,619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17,667</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Other current liabilities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61,215</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59,623</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liabilities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243,770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257,584</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Long-term debt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77,000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38,000</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Long-term operating lease liabilities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17,591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28,347</w:t>
            </w:r>
          </w:p>
        </w:tc>
      </w:tr>
      <w:tr>
        <w:trPr>
          <w:trHeight w:val="142"/>
        </w:trPr>
        <w:tc>
          <w:tcPr>
            <w:tcW w:w="848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Other liabilities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91,645</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90,797</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liabilities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430,006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414,728</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Stockholders’ equity:</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Common stock:</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360"/>
              <w:spacing w:after="0"/>
              <w:rPr>
                <w:sz w:val="20"/>
                <w:szCs w:val="20"/>
                <w:color w:val="auto"/>
              </w:rPr>
            </w:pPr>
            <w:r>
              <w:rPr>
                <w:rFonts w:ascii="Arial" w:cs="Arial" w:eastAsia="Arial" w:hAnsi="Arial"/>
                <w:sz w:val="11"/>
                <w:szCs w:val="11"/>
                <w:color w:val="auto"/>
              </w:rPr>
              <w:t>Class A nonvoting common stock—Issued 51,261,487 shares, and outstanding 46,890,714 and 48,528,245 shares, respectively</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513</w:t>
            </w:r>
          </w:p>
        </w:tc>
      </w:tr>
      <w:tr>
        <w:trPr>
          <w:trHeight w:val="146"/>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Class B voting common stock—Issued and outstanding, 3,538,628 shares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Additional paid-in capital</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343,854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339,125</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Retained earnings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862,583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788,369</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Treasury stock—4,370,773 and 2,733,242 shares, respectively of Class A nonvoting common stock, at cost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(193,859)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(109,061)</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Accumulated other comprehensive loss</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(98,888)</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(55,953)</w:t>
            </w:r>
          </w:p>
        </w:tc>
      </w:tr>
      <w:tr>
        <w:trPr>
          <w:trHeight w:val="131"/>
        </w:trPr>
        <w:tc>
          <w:tcPr>
            <w:tcW w:w="8480" w:type="dxa"/>
            <w:vAlign w:val="bottom"/>
            <w:tcBorders>
              <w:bottom w:val="single" w:sz="8" w:color="CCEEFF"/>
            </w:tcBorders>
            <w:gridSpan w:val="5"/>
          </w:tcPr>
          <w:p>
            <w:pPr>
              <w:ind w:left="360"/>
              <w:spacing w:after="0"/>
              <w:rPr>
                <w:sz w:val="20"/>
                <w:szCs w:val="20"/>
                <w:color w:val="auto"/>
              </w:rPr>
            </w:pPr>
            <w:r>
              <w:rPr>
                <w:rFonts w:ascii="Arial" w:cs="Arial" w:eastAsia="Arial" w:hAnsi="Arial"/>
                <w:sz w:val="11"/>
                <w:szCs w:val="11"/>
                <w:color w:val="auto"/>
              </w:rPr>
              <w:t>Total stockholders’ equity</w:t>
            </w: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914,238</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963,028</w:t>
            </w:r>
          </w:p>
        </w:tc>
      </w:tr>
      <w:tr>
        <w:trPr>
          <w:trHeight w:val="151"/>
        </w:trPr>
        <w:tc>
          <w:tcPr>
            <w:tcW w:w="84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1"/>
                <w:szCs w:val="11"/>
                <w:color w:val="auto"/>
              </w:rPr>
              <w:t>Total</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1,344,244</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1,377,756</w:t>
            </w:r>
          </w:p>
        </w:tc>
      </w:tr>
    </w:tbl>
    <w:p>
      <w:pPr>
        <w:sectPr>
          <w:pgSz w:w="11900" w:h="16838" w:orient="portrait"/>
          <w:cols w:equalWidth="0" w:num="1">
            <w:col w:w="11300"/>
          </w:cols>
          <w:pgMar w:left="300" w:top="562" w:right="29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CASH FLOWS</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1"/>
                <w:szCs w:val="11"/>
                <w:color w:val="auto"/>
              </w:rPr>
              <w:t>Nine months ended April 30,</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2022</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color w:val="auto"/>
              </w:rPr>
              <w:t>2021</w:t>
            </w:r>
          </w:p>
        </w:tc>
        <w:tc>
          <w:tcPr>
            <w:tcW w:w="48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Operating activities:</w:t>
            </w:r>
          </w:p>
        </w:tc>
        <w:tc>
          <w:tcPr>
            <w:tcW w:w="8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Arial" w:cs="Arial" w:eastAsia="Arial" w:hAnsi="Arial"/>
                <w:sz w:val="11"/>
                <w:szCs w:val="11"/>
                <w:color w:val="auto"/>
              </w:rPr>
              <w:t>Net income</w:t>
            </w:r>
          </w:p>
        </w:tc>
        <w:tc>
          <w:tcPr>
            <w:tcW w:w="860" w:type="dxa"/>
            <w:vAlign w:val="bottom"/>
          </w:tcPr>
          <w:p>
            <w:pPr>
              <w:jc w:val="right"/>
              <w:ind w:right="72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108,915</w:t>
            </w:r>
          </w:p>
        </w:tc>
        <w:tc>
          <w:tcPr>
            <w:tcW w:w="100" w:type="dxa"/>
            <w:vAlign w:val="bottom"/>
          </w:tcPr>
          <w:p>
            <w:pPr>
              <w:spacing w:after="0"/>
              <w:rPr>
                <w:sz w:val="12"/>
                <w:szCs w:val="12"/>
                <w:color w:val="auto"/>
              </w:rPr>
            </w:pP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101,632</w:t>
            </w:r>
          </w:p>
        </w:tc>
      </w:tr>
      <w:tr>
        <w:trPr>
          <w:trHeight w:val="146"/>
        </w:trPr>
        <w:tc>
          <w:tcPr>
            <w:tcW w:w="8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Depreciation and amortization</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25,448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17,240</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Stock-based compensation expense</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9,153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8,003</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Deferred income taxes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2,858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(3,957)</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Equity in losses of unconsolidated affiliate</w:t>
            </w:r>
          </w:p>
        </w:tc>
        <w:tc>
          <w:tcPr>
            <w:tcW w:w="8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760</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Other</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(1,080)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(1,186)</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Changes in operating assets and liabilities: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740"/>
              <w:spacing w:after="0"/>
              <w:rPr>
                <w:sz w:val="20"/>
                <w:szCs w:val="20"/>
                <w:color w:val="auto"/>
              </w:rPr>
            </w:pPr>
            <w:r>
              <w:rPr>
                <w:rFonts w:ascii="Arial" w:cs="Arial" w:eastAsia="Arial" w:hAnsi="Arial"/>
                <w:sz w:val="11"/>
                <w:szCs w:val="11"/>
                <w:color w:val="auto"/>
              </w:rPr>
              <w:t>Accounts receivable</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(26,438)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(13,247)</w:t>
            </w: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Inventories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(47,784)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15,210</w:t>
            </w:r>
          </w:p>
        </w:tc>
      </w:tr>
      <w:tr>
        <w:trPr>
          <w:trHeight w:val="142"/>
        </w:trPr>
        <w:tc>
          <w:tcPr>
            <w:tcW w:w="8480" w:type="dxa"/>
            <w:vAlign w:val="bottom"/>
          </w:tcPr>
          <w:p>
            <w:pPr>
              <w:ind w:left="740"/>
              <w:spacing w:after="0"/>
              <w:rPr>
                <w:sz w:val="20"/>
                <w:szCs w:val="20"/>
                <w:color w:val="auto"/>
              </w:rPr>
            </w:pPr>
            <w:r>
              <w:rPr>
                <w:rFonts w:ascii="Arial" w:cs="Arial" w:eastAsia="Arial" w:hAnsi="Arial"/>
                <w:sz w:val="11"/>
                <w:szCs w:val="11"/>
                <w:color w:val="auto"/>
              </w:rPr>
              <w:t>Prepaid expenses and other assets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(932)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(2,584)</w:t>
            </w: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Accounts payable and accrued liabilities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39,244</w:t>
            </w:r>
          </w:p>
        </w:tc>
      </w:tr>
      <w:tr>
        <w:trPr>
          <w:trHeight w:val="142"/>
        </w:trPr>
        <w:tc>
          <w:tcPr>
            <w:tcW w:w="8480" w:type="dxa"/>
            <w:vAlign w:val="bottom"/>
            <w:tcBorders>
              <w:bottom w:val="single" w:sz="8" w:color="CCEEFF"/>
            </w:tcBorders>
          </w:tcPr>
          <w:p>
            <w:pPr>
              <w:ind w:left="740"/>
              <w:spacing w:after="0"/>
              <w:rPr>
                <w:sz w:val="20"/>
                <w:szCs w:val="20"/>
                <w:color w:val="auto"/>
              </w:rPr>
            </w:pPr>
            <w:r>
              <w:rPr>
                <w:rFonts w:ascii="Arial" w:cs="Arial" w:eastAsia="Arial" w:hAnsi="Arial"/>
                <w:sz w:val="11"/>
                <w:szCs w:val="11"/>
                <w:color w:val="auto"/>
              </w:rPr>
              <w:t>Income taxes</w:t>
            </w: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680</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(6,207)</w:t>
            </w:r>
          </w:p>
        </w:tc>
      </w:tr>
      <w:tr>
        <w:trPr>
          <w:trHeight w:val="135"/>
        </w:trPr>
        <w:tc>
          <w:tcPr>
            <w:tcW w:w="8480" w:type="dxa"/>
            <w:vAlign w:val="bottom"/>
            <w:shd w:val="clear" w:color="auto" w:fill="CCEEFF"/>
          </w:tcPr>
          <w:p>
            <w:pPr>
              <w:ind w:left="1000"/>
              <w:spacing w:after="0" w:line="122" w:lineRule="exact"/>
              <w:rPr>
                <w:sz w:val="20"/>
                <w:szCs w:val="20"/>
                <w:color w:val="auto"/>
              </w:rPr>
            </w:pPr>
            <w:r>
              <w:rPr>
                <w:rFonts w:ascii="Arial" w:cs="Arial" w:eastAsia="Arial" w:hAnsi="Arial"/>
                <w:sz w:val="11"/>
                <w:szCs w:val="11"/>
                <w:color w:val="auto"/>
              </w:rPr>
              <w:t>Net cash provided by operating activities</w:t>
            </w: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65,236</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154,908</w:t>
            </w:r>
          </w:p>
        </w:tc>
      </w:tr>
      <w:tr>
        <w:trPr>
          <w:trHeight w:val="171"/>
        </w:trPr>
        <w:tc>
          <w:tcPr>
            <w:tcW w:w="8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Investing activities: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Purchases of property, plant and equipment</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(22,130)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(21,411)</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2,567</w:t>
            </w:r>
          </w:p>
        </w:tc>
      </w:tr>
      <w:tr>
        <w:trPr>
          <w:trHeight w:val="131"/>
        </w:trPr>
        <w:tc>
          <w:tcPr>
            <w:tcW w:w="8480" w:type="dxa"/>
            <w:vAlign w:val="bottom"/>
          </w:tcPr>
          <w:p>
            <w:pPr>
              <w:ind w:left="1000"/>
              <w:spacing w:after="0" w:line="120" w:lineRule="exact"/>
              <w:rPr>
                <w:sz w:val="20"/>
                <w:szCs w:val="20"/>
                <w:color w:val="auto"/>
              </w:rPr>
            </w:pPr>
            <w:r>
              <w:rPr>
                <w:rFonts w:ascii="Arial" w:cs="Arial" w:eastAsia="Arial" w:hAnsi="Arial"/>
                <w:sz w:val="11"/>
                <w:szCs w:val="11"/>
                <w:color w:val="auto"/>
              </w:rPr>
              <w:t>Net cash used in investing activities</w:t>
            </w:r>
          </w:p>
        </w:tc>
        <w:tc>
          <w:tcPr>
            <w:tcW w:w="8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(22,071)</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(18,844)</w:t>
            </w:r>
          </w:p>
        </w:tc>
      </w:tr>
      <w:tr>
        <w:trPr>
          <w:trHeight w:val="173"/>
        </w:trPr>
        <w:tc>
          <w:tcPr>
            <w:tcW w:w="8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Financing activities: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 of dividends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(34,701)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(34,290)</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Proceeds from exercise of stock options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663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1,612</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Payments for employee taxes withheld from stock-based awards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(5,070)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(2,772)</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Purchase of treasury stock</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(84,930)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(3,593)</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Proceeds from borrowing on credit facilities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155,216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19,957</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Repayment of borrowing on credit facilities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97"/>
              </w:rPr>
              <w:t>(116,216)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(20,220)</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3,276</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w:t>
            </w:r>
          </w:p>
        </w:tc>
      </w:tr>
      <w:tr>
        <w:trPr>
          <w:trHeight w:val="131"/>
        </w:trPr>
        <w:tc>
          <w:tcPr>
            <w:tcW w:w="8480" w:type="dxa"/>
            <w:vAlign w:val="bottom"/>
          </w:tcPr>
          <w:p>
            <w:pPr>
              <w:ind w:left="1000"/>
              <w:spacing w:after="0" w:line="120" w:lineRule="exact"/>
              <w:rPr>
                <w:sz w:val="20"/>
                <w:szCs w:val="20"/>
                <w:color w:val="auto"/>
              </w:rPr>
            </w:pPr>
            <w:r>
              <w:rPr>
                <w:rFonts w:ascii="Arial" w:cs="Arial" w:eastAsia="Arial" w:hAnsi="Arial"/>
                <w:sz w:val="11"/>
                <w:szCs w:val="11"/>
                <w:color w:val="auto"/>
              </w:rPr>
              <w:t>Net cash used in financing activities</w:t>
            </w:r>
          </w:p>
        </w:tc>
        <w:tc>
          <w:tcPr>
            <w:tcW w:w="8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(81,762)</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(39,274)</w:t>
            </w:r>
          </w:p>
        </w:tc>
      </w:tr>
      <w:tr>
        <w:trPr>
          <w:trHeight w:val="173"/>
        </w:trPr>
        <w:tc>
          <w:tcPr>
            <w:tcW w:w="8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Effect of exchange rate changes on cash</w:t>
            </w: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(5,670)</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7,368</w:t>
            </w:r>
          </w:p>
        </w:tc>
      </w:tr>
      <w:tr>
        <w:trPr>
          <w:trHeight w:val="153"/>
        </w:trPr>
        <w:tc>
          <w:tcPr>
            <w:tcW w:w="8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Net (decrease) increase in cash and cash equivalents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(44,267)</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104,158</w:t>
            </w: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beginning of period</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147,335</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217,643</w:t>
            </w:r>
          </w:p>
        </w:tc>
      </w:tr>
      <w:tr>
        <w:trPr>
          <w:trHeight w:val="153"/>
        </w:trPr>
        <w:tc>
          <w:tcPr>
            <w:tcW w:w="8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and cash equivalents, end of period</w:t>
            </w:r>
          </w:p>
        </w:tc>
        <w:tc>
          <w:tcPr>
            <w:tcW w:w="860" w:type="dxa"/>
            <w:vAlign w:val="bottom"/>
            <w:tcBorders>
              <w:bottom w:val="single" w:sz="8" w:color="auto"/>
            </w:tcBorders>
            <w:shd w:val="clear" w:color="auto" w:fill="CCEEFF"/>
          </w:tcPr>
          <w:p>
            <w:pPr>
              <w:jc w:val="right"/>
              <w:ind w:right="7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103,068</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321,801</w:t>
            </w:r>
          </w:p>
        </w:tc>
      </w:tr>
    </w:tbl>
    <w:p>
      <w:pPr>
        <w:sectPr>
          <w:pgSz w:w="11900" w:h="16838" w:orient="portrait"/>
          <w:cols w:equalWidth="0" w:num="1">
            <w:col w:w="11300"/>
          </w:cols>
          <w:pgMar w:left="300" w:top="562" w:right="299" w:bottom="1440" w:gutter="0" w:footer="0" w:header="0"/>
        </w:sectPr>
      </w:pPr>
    </w:p>
    <w:bookmarkStart w:id="9" w:name="page10"/>
    <w:bookmarkEnd w:id="9"/>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SEGMENT INFORMATION</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1"/>
                <w:szCs w:val="11"/>
                <w:color w:val="auto"/>
              </w:rPr>
              <w:t>Three months ended April 30,</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Nine months ended April 30,</w:t>
            </w:r>
          </w:p>
        </w:tc>
        <w:tc>
          <w:tcPr>
            <w:tcW w:w="820" w:type="dxa"/>
            <w:vAlign w:val="bottom"/>
            <w:tcBorders>
              <w:bottom w:val="single" w:sz="8" w:color="auto"/>
            </w:tcBorders>
          </w:tcPr>
          <w:p>
            <w:pPr>
              <w:spacing w:after="0"/>
              <w:rPr>
                <w:sz w:val="12"/>
                <w:szCs w:val="12"/>
                <w:color w:val="auto"/>
              </w:rPr>
            </w:pPr>
          </w:p>
        </w:tc>
      </w:tr>
      <w:tr>
        <w:trPr>
          <w:trHeight w:val="151"/>
        </w:trPr>
        <w:tc>
          <w:tcPr>
            <w:tcW w:w="53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w w:val="81"/>
              </w:rPr>
              <w:t>2021</w:t>
            </w:r>
          </w:p>
        </w:tc>
      </w:tr>
      <w:tr>
        <w:trPr>
          <w:trHeight w:val="126"/>
        </w:trPr>
        <w:tc>
          <w:tcPr>
            <w:tcW w:w="53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SALES</w:t>
            </w: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ID Solutions</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264,124</w:t>
            </w:r>
          </w:p>
        </w:tc>
        <w:tc>
          <w:tcPr>
            <w:tcW w:w="100" w:type="dxa"/>
            <w:vAlign w:val="bottom"/>
          </w:tcPr>
          <w:p>
            <w:pPr>
              <w:spacing w:after="0"/>
              <w:rPr>
                <w:sz w:val="12"/>
                <w:szCs w:val="12"/>
                <w:color w:val="auto"/>
              </w:rPr>
            </w:pP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218,065</w:t>
            </w:r>
          </w:p>
        </w:tc>
        <w:tc>
          <w:tcPr>
            <w:tcW w:w="10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757,727</w:t>
            </w:r>
          </w:p>
        </w:tc>
        <w:tc>
          <w:tcPr>
            <w:tcW w:w="80" w:type="dxa"/>
            <w:vAlign w:val="bottom"/>
          </w:tcPr>
          <w:p>
            <w:pPr>
              <w:spacing w:after="0"/>
              <w:rPr>
                <w:sz w:val="12"/>
                <w:szCs w:val="12"/>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610,484</w:t>
            </w:r>
          </w:p>
        </w:tc>
      </w:tr>
      <w:tr>
        <w:trPr>
          <w:trHeight w:val="144"/>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Workplace Safety</w:t>
            </w: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74,427</w:t>
            </w:r>
          </w:p>
        </w:tc>
        <w:tc>
          <w:tcPr>
            <w:tcW w:w="1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77,438</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220,354</w:t>
            </w: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228,084</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w:t>
            </w:r>
          </w:p>
        </w:tc>
        <w:tc>
          <w:tcPr>
            <w:tcW w:w="860" w:type="dxa"/>
            <w:vAlign w:val="bottom"/>
            <w:tcBorders>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338,551</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75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295,503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978,081</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838,568</w:t>
            </w:r>
          </w:p>
        </w:tc>
      </w:tr>
      <w:tr>
        <w:trPr>
          <w:trHeight w:val="153"/>
        </w:trPr>
        <w:tc>
          <w:tcPr>
            <w:tcW w:w="5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80" w:type="dxa"/>
            <w:vAlign w:val="bottom"/>
          </w:tcPr>
          <w:p>
            <w:pPr>
              <w:spacing w:after="0"/>
              <w:rPr>
                <w:sz w:val="20"/>
                <w:szCs w:val="20"/>
                <w:color w:val="auto"/>
              </w:rPr>
            </w:pPr>
            <w:r>
              <w:rPr>
                <w:rFonts w:ascii="Arial" w:cs="Arial" w:eastAsia="Arial" w:hAnsi="Arial"/>
                <w:sz w:val="11"/>
                <w:szCs w:val="11"/>
                <w:b w:val="1"/>
                <w:bCs w:val="1"/>
                <w:color w:val="auto"/>
              </w:rPr>
              <w:t>SALES INFORMATION</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6"/>
        </w:trPr>
        <w:tc>
          <w:tcPr>
            <w:tcW w:w="538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ID Solutions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Organic</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11.8 %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9.8 %</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13.6 %</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w:t>
            </w: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Acquisition</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11.8 %</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Currency</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3.1 %</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1.6 %</w:t>
            </w:r>
          </w:p>
        </w:tc>
      </w:tr>
      <w:tr>
        <w:trPr>
          <w:trHeight w:val="155"/>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21.1 %</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12.9 %</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24.1 %</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(0.5)%</w:t>
            </w:r>
          </w:p>
        </w:tc>
      </w:tr>
      <w:tr>
        <w:trPr>
          <w:trHeight w:val="120"/>
        </w:trPr>
        <w:tc>
          <w:tcPr>
            <w:tcW w:w="5380" w:type="dxa"/>
            <w:vAlign w:val="bottom"/>
          </w:tcPr>
          <w:p>
            <w:pPr>
              <w:spacing w:after="0" w:line="118" w:lineRule="exact"/>
              <w:rPr>
                <w:sz w:val="20"/>
                <w:szCs w:val="20"/>
                <w:color w:val="auto"/>
              </w:rPr>
            </w:pPr>
            <w:r>
              <w:rPr>
                <w:rFonts w:ascii="Arial" w:cs="Arial" w:eastAsia="Arial" w:hAnsi="Arial"/>
                <w:sz w:val="11"/>
                <w:szCs w:val="11"/>
                <w:b w:val="1"/>
                <w:bCs w:val="1"/>
                <w:i w:val="1"/>
                <w:iCs w:val="1"/>
                <w:color w:val="auto"/>
              </w:rPr>
              <w:t>Workplace Safety</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Organic</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Currency</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8.6 %</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6.1 %</w:t>
            </w:r>
          </w:p>
        </w:tc>
      </w:tr>
      <w:tr>
        <w:trPr>
          <w:trHeight w:val="155"/>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6.4 %</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5.6 %</w:t>
            </w:r>
          </w:p>
        </w:tc>
      </w:tr>
      <w:tr>
        <w:trPr>
          <w:trHeight w:val="120"/>
        </w:trPr>
        <w:tc>
          <w:tcPr>
            <w:tcW w:w="5380" w:type="dxa"/>
            <w:vAlign w:val="bottom"/>
          </w:tcPr>
          <w:p>
            <w:pPr>
              <w:spacing w:after="0" w:line="118" w:lineRule="exact"/>
              <w:rPr>
                <w:sz w:val="20"/>
                <w:szCs w:val="20"/>
                <w:color w:val="auto"/>
              </w:rPr>
            </w:pPr>
            <w:r>
              <w:rPr>
                <w:rFonts w:ascii="Arial" w:cs="Arial" w:eastAsia="Arial" w:hAnsi="Arial"/>
                <w:sz w:val="11"/>
                <w:szCs w:val="11"/>
                <w:b w:val="1"/>
                <w:bCs w:val="1"/>
                <w:i w:val="1"/>
                <w:iCs w:val="1"/>
                <w:color w:val="auto"/>
              </w:rPr>
              <w:t>Total Company</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Organic</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9.6 %</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Acquisition</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8.6 %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8.5 %</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44"/>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Currency</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4.6 %</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2.8 %</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14.6 %</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11.1 %</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16.6 %</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1.1 %</w:t>
            </w:r>
          </w:p>
        </w:tc>
      </w:tr>
      <w:tr>
        <w:trPr>
          <w:trHeight w:val="153"/>
        </w:trPr>
        <w:tc>
          <w:tcPr>
            <w:tcW w:w="5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42"/>
        </w:trPr>
        <w:tc>
          <w:tcPr>
            <w:tcW w:w="5380" w:type="dxa"/>
            <w:vAlign w:val="bottom"/>
          </w:tcPr>
          <w:p>
            <w:pPr>
              <w:spacing w:after="0"/>
              <w:rPr>
                <w:sz w:val="20"/>
                <w:szCs w:val="20"/>
                <w:color w:val="auto"/>
              </w:rPr>
            </w:pPr>
            <w:r>
              <w:rPr>
                <w:rFonts w:ascii="Arial" w:cs="Arial" w:eastAsia="Arial" w:hAnsi="Arial"/>
                <w:sz w:val="11"/>
                <w:szCs w:val="11"/>
                <w:b w:val="1"/>
                <w:bCs w:val="1"/>
                <w:color w:val="auto"/>
              </w:rPr>
              <w:t>SEGMENT PROFIT</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ID Solutions</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53,962</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47,539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146,907</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126,818</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Workplace Safety</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7,109</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5,656</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13,917</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17,107</w:t>
            </w:r>
          </w:p>
        </w:tc>
      </w:tr>
      <w:tr>
        <w:trPr>
          <w:trHeight w:val="155"/>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61,071</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53,195</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160,824</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143,925</w:t>
            </w:r>
          </w:p>
        </w:tc>
      </w:tr>
      <w:tr>
        <w:trPr>
          <w:trHeight w:val="120"/>
        </w:trPr>
        <w:tc>
          <w:tcPr>
            <w:tcW w:w="5380" w:type="dxa"/>
            <w:vAlign w:val="bottom"/>
          </w:tcPr>
          <w:p>
            <w:pPr>
              <w:spacing w:after="0" w:line="120" w:lineRule="exact"/>
              <w:rPr>
                <w:sz w:val="20"/>
                <w:szCs w:val="20"/>
                <w:color w:val="auto"/>
              </w:rPr>
            </w:pPr>
            <w:r>
              <w:rPr>
                <w:rFonts w:ascii="Arial" w:cs="Arial" w:eastAsia="Arial" w:hAnsi="Arial"/>
                <w:sz w:val="11"/>
                <w:szCs w:val="11"/>
                <w:b w:val="1"/>
                <w:bCs w:val="1"/>
                <w:color w:val="auto"/>
              </w:rPr>
              <w:t>SEGMENT PROFIT AS A PERCENT OF NET SALES</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ID Solutions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19.4 %</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20.8 %</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Workplace Safety</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9.6 %</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7.3 %</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6.3 %</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7.5 %</w:t>
            </w:r>
          </w:p>
        </w:tc>
      </w:tr>
      <w:tr>
        <w:trPr>
          <w:trHeight w:val="151"/>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18.0 %</w:t>
            </w: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18.0 %</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16.4 %</w:t>
            </w: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17.2 %</w:t>
            </w:r>
          </w:p>
        </w:tc>
      </w:tr>
      <w:tr>
        <w:trPr>
          <w:trHeight w:val="493"/>
        </w:trPr>
        <w:tc>
          <w:tcPr>
            <w:tcW w:w="5380" w:type="dxa"/>
            <w:vAlign w:val="bottom"/>
          </w:tcPr>
          <w:p>
            <w:pPr>
              <w:spacing w:after="0"/>
              <w:rPr>
                <w:sz w:val="24"/>
                <w:szCs w:val="24"/>
                <w:color w:val="auto"/>
              </w:rPr>
            </w:pPr>
          </w:p>
        </w:tc>
        <w:tc>
          <w:tcPr>
            <w:tcW w:w="24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1"/>
                <w:szCs w:val="11"/>
                <w:color w:val="auto"/>
              </w:rPr>
              <w:t>Three months ended April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Nine months ended April 30,</w:t>
            </w:r>
          </w:p>
        </w:tc>
        <w:tc>
          <w:tcPr>
            <w:tcW w:w="820" w:type="dxa"/>
            <w:vAlign w:val="bottom"/>
            <w:tcBorders>
              <w:bottom w:val="single" w:sz="8" w:color="auto"/>
            </w:tcBorders>
          </w:tcPr>
          <w:p>
            <w:pPr>
              <w:spacing w:after="0"/>
              <w:rPr>
                <w:sz w:val="24"/>
                <w:szCs w:val="24"/>
                <w:color w:val="auto"/>
              </w:rPr>
            </w:pPr>
          </w:p>
        </w:tc>
      </w:tr>
      <w:tr>
        <w:trPr>
          <w:trHeight w:val="151"/>
        </w:trPr>
        <w:tc>
          <w:tcPr>
            <w:tcW w:w="53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color w:val="auto"/>
              </w:rPr>
              <w:t>2022</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color w:val="auto"/>
              </w:rPr>
              <w:t>2021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2022</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w w:val="81"/>
              </w:rPr>
              <w:t>2021</w:t>
            </w:r>
          </w:p>
        </w:tc>
      </w:tr>
      <w:tr>
        <w:trPr>
          <w:trHeight w:val="135"/>
        </w:trPr>
        <w:tc>
          <w:tcPr>
            <w:tcW w:w="5380" w:type="dxa"/>
            <w:vAlign w:val="bottom"/>
            <w:shd w:val="clear" w:color="auto" w:fill="CCEEFF"/>
          </w:tcPr>
          <w:p>
            <w:pPr>
              <w:spacing w:after="0"/>
              <w:rPr>
                <w:sz w:val="20"/>
                <w:szCs w:val="20"/>
                <w:color w:val="auto"/>
              </w:rPr>
            </w:pPr>
            <w:r>
              <w:rPr>
                <w:rFonts w:ascii="Arial" w:cs="Arial" w:eastAsia="Arial" w:hAnsi="Arial"/>
                <w:sz w:val="11"/>
                <w:szCs w:val="11"/>
                <w:color w:val="auto"/>
              </w:rPr>
              <w:t>Total segment profit</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61,071</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53,195</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160,824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143,925</w:t>
            </w:r>
          </w:p>
        </w:tc>
      </w:tr>
      <w:tr>
        <w:trPr>
          <w:trHeight w:val="142"/>
        </w:trPr>
        <w:tc>
          <w:tcPr>
            <w:tcW w:w="5380" w:type="dxa"/>
            <w:vAlign w:val="bottom"/>
          </w:tcPr>
          <w:p>
            <w:pPr>
              <w:spacing w:after="0"/>
              <w:rPr>
                <w:sz w:val="20"/>
                <w:szCs w:val="20"/>
                <w:color w:val="auto"/>
              </w:rPr>
            </w:pPr>
            <w:r>
              <w:rPr>
                <w:rFonts w:ascii="Arial" w:cs="Arial" w:eastAsia="Arial" w:hAnsi="Arial"/>
                <w:sz w:val="11"/>
                <w:szCs w:val="11"/>
                <w:color w:val="auto"/>
              </w:rPr>
              <w:t>Unallocated amounts: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Administrative costs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(8,182)</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(6,470)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(20,728)</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(17,600)</w:t>
            </w: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Investment and other (expense) income</w:t>
            </w:r>
          </w:p>
        </w:tc>
        <w:tc>
          <w:tcPr>
            <w:tcW w:w="90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(1,308)</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1,181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(1,343)</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3,372</w:t>
            </w:r>
          </w:p>
        </w:tc>
      </w:tr>
      <w:tr>
        <w:trPr>
          <w:trHeight w:val="144"/>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Interest expense</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(329)</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(131)</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(763)</w:t>
            </w: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(288)</w:t>
            </w:r>
          </w:p>
        </w:tc>
      </w:tr>
      <w:tr>
        <w:trPr>
          <w:trHeight w:val="135"/>
        </w:trPr>
        <w:tc>
          <w:tcPr>
            <w:tcW w:w="5380" w:type="dxa"/>
            <w:vAlign w:val="bottom"/>
          </w:tcPr>
          <w:p>
            <w:pPr>
              <w:spacing w:after="0"/>
              <w:rPr>
                <w:sz w:val="20"/>
                <w:szCs w:val="20"/>
                <w:color w:val="auto"/>
              </w:rPr>
            </w:pPr>
            <w:r>
              <w:rPr>
                <w:rFonts w:ascii="Arial" w:cs="Arial" w:eastAsia="Arial" w:hAnsi="Arial"/>
                <w:sz w:val="11"/>
                <w:szCs w:val="11"/>
                <w:color w:val="auto"/>
              </w:rPr>
              <w:t>Income before income taxes and losses of unconsolidated affiliate</w:t>
            </w:r>
          </w:p>
        </w:tc>
        <w:tc>
          <w:tcPr>
            <w:tcW w:w="900" w:type="dxa"/>
            <w:vAlign w:val="bottom"/>
            <w:tcBorders>
              <w:bottom w:val="single" w:sz="8" w:color="auto"/>
            </w:tcBorders>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51,252</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47,775</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137,990</w:t>
            </w:r>
          </w:p>
        </w:tc>
        <w:tc>
          <w:tcPr>
            <w:tcW w:w="80" w:type="dxa"/>
            <w:vAlign w:val="bottom"/>
          </w:tcPr>
          <w:p>
            <w:pPr>
              <w:spacing w:after="0"/>
              <w:rPr>
                <w:sz w:val="11"/>
                <w:szCs w:val="11"/>
                <w:color w:val="auto"/>
              </w:rPr>
            </w:pPr>
          </w:p>
        </w:tc>
        <w:tc>
          <w:tcPr>
            <w:tcW w:w="60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129,409</w:t>
            </w: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2"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GAAP to NON-GAAP MEASURES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(Unaudited; Dollars in Thousands, Except Per Share Amounts)</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Before Income Taxes Excluding Certain Items:</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Brady is presenting the non-GAAP measure, "Income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and losses of unconsolidated affiliate to the non-GAAP measure of Income Before Income Taxes Excluding Certain Items: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1"/>
                <w:szCs w:val="11"/>
                <w:color w:val="auto"/>
              </w:rPr>
              <w:t>Three months ended April 30,</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rPr>
              <w:t>2021</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2021</w:t>
            </w:r>
          </w:p>
        </w:tc>
      </w:tr>
      <w:tr>
        <w:trPr>
          <w:trHeight w:val="135"/>
        </w:trPr>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before income taxes and losses of unconsolidated affiliate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51,252</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47,775</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137,990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129,409</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3,735</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1,352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11,291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4,056</w:t>
            </w:r>
          </w:p>
        </w:tc>
      </w:tr>
      <w:tr>
        <w:trPr>
          <w:trHeight w:val="146"/>
        </w:trPr>
        <w:tc>
          <w:tcPr>
            <w:tcW w:w="55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 non-routine charges</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1,841</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1"/>
        </w:trPr>
        <w:tc>
          <w:tcPr>
            <w:tcW w:w="5580" w:type="dxa"/>
            <w:vAlign w:val="bottom"/>
          </w:tcPr>
          <w:p>
            <w:pPr>
              <w:spacing w:after="0" w:line="121" w:lineRule="exact"/>
              <w:rPr>
                <w:sz w:val="20"/>
                <w:szCs w:val="20"/>
                <w:color w:val="auto"/>
              </w:rPr>
            </w:pPr>
            <w:r>
              <w:rPr>
                <w:rFonts w:ascii="Arial" w:cs="Arial" w:eastAsia="Arial" w:hAnsi="Arial"/>
                <w:sz w:val="11"/>
                <w:szCs w:val="11"/>
                <w:b w:val="1"/>
                <w:bCs w:val="1"/>
                <w:color w:val="auto"/>
              </w:rPr>
              <w:t>Income Before Income Taxes Excluding Certain Items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56,828</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49,127</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151,122</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133,465</w:t>
            </w:r>
          </w:p>
        </w:tc>
      </w:tr>
      <w:tr>
        <w:trPr>
          <w:trHeight w:val="20"/>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"Income Tax Expense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Income Tax Expense Excluding Certain Items: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1"/>
                <w:szCs w:val="11"/>
                <w:color w:val="auto"/>
              </w:rPr>
              <w:t>Three months ended April 30,</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rPr>
              <w:t>2021</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2021</w:t>
            </w:r>
          </w:p>
        </w:tc>
      </w:tr>
      <w:tr>
        <w:trPr>
          <w:trHeight w:val="135"/>
        </w:trPr>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11,198</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10,229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29,075</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27,017</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885</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338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2,672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1,014</w:t>
            </w:r>
          </w:p>
        </w:tc>
      </w:tr>
      <w:tr>
        <w:trPr>
          <w:trHeight w:val="146"/>
        </w:trPr>
        <w:tc>
          <w:tcPr>
            <w:tcW w:w="55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 non-routine charges</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1"/>
        </w:trPr>
        <w:tc>
          <w:tcPr>
            <w:tcW w:w="5580" w:type="dxa"/>
            <w:vAlign w:val="bottom"/>
          </w:tcPr>
          <w:p>
            <w:pPr>
              <w:spacing w:after="0" w:line="121" w:lineRule="exact"/>
              <w:rPr>
                <w:sz w:val="20"/>
                <w:szCs w:val="20"/>
                <w:color w:val="auto"/>
              </w:rPr>
            </w:pPr>
            <w:r>
              <w:rPr>
                <w:rFonts w:ascii="Arial" w:cs="Arial" w:eastAsia="Arial" w:hAnsi="Arial"/>
                <w:sz w:val="11"/>
                <w:szCs w:val="11"/>
                <w:b w:val="1"/>
                <w:bCs w:val="1"/>
                <w:color w:val="auto"/>
              </w:rPr>
              <w:t>Income Tax Expense Excluding Certain Items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12,579</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10,567</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32,243</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28,031</w:t>
            </w:r>
          </w:p>
        </w:tc>
      </w:tr>
      <w:tr>
        <w:trPr>
          <w:trHeight w:val="20"/>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Income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"Net Income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Net Income Excluding Certain Items: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1"/>
                <w:szCs w:val="11"/>
                <w:color w:val="auto"/>
              </w:rPr>
              <w:t>Three months ended April 30,</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rPr>
              <w:t>2021</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2021</w:t>
            </w:r>
          </w:p>
        </w:tc>
      </w:tr>
      <w:tr>
        <w:trPr>
          <w:trHeight w:val="135"/>
        </w:trPr>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40,054</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37,291</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108,915</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101,632</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2,850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1,014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8,619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3,042</w:t>
            </w:r>
          </w:p>
        </w:tc>
      </w:tr>
      <w:tr>
        <w:trPr>
          <w:trHeight w:val="146"/>
        </w:trPr>
        <w:tc>
          <w:tcPr>
            <w:tcW w:w="55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 non-routine charges</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1,345</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1"/>
        </w:trPr>
        <w:tc>
          <w:tcPr>
            <w:tcW w:w="5580" w:type="dxa"/>
            <w:vAlign w:val="bottom"/>
          </w:tcPr>
          <w:p>
            <w:pPr>
              <w:spacing w:after="0" w:line="121" w:lineRule="exact"/>
              <w:rPr>
                <w:sz w:val="20"/>
                <w:szCs w:val="20"/>
                <w:color w:val="auto"/>
              </w:rPr>
            </w:pPr>
            <w:r>
              <w:rPr>
                <w:rFonts w:ascii="Arial" w:cs="Arial" w:eastAsia="Arial" w:hAnsi="Arial"/>
                <w:sz w:val="11"/>
                <w:szCs w:val="11"/>
                <w:b w:val="1"/>
                <w:bCs w:val="1"/>
                <w:color w:val="auto"/>
              </w:rPr>
              <w:t>Net Income Excluding Certain Items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44,249</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38,305</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118,879</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104,674</w:t>
            </w:r>
          </w:p>
        </w:tc>
      </w:tr>
      <w:tr>
        <w:trPr>
          <w:trHeight w:val="20"/>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59"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Diluted EPS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"Diluted EPS Excluding Certain Items."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Diluted EPS Excluding Certain Items: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1"/>
                <w:szCs w:val="11"/>
                <w:color w:val="auto"/>
              </w:rPr>
              <w:t>Three months ended April 30,</w:t>
            </w:r>
          </w:p>
        </w:tc>
        <w:tc>
          <w:tcPr>
            <w:tcW w:w="4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1"/>
                <w:szCs w:val="11"/>
                <w:color w:val="auto"/>
              </w:rPr>
              <w:t>Nine months ended April 30,</w:t>
            </w:r>
          </w:p>
        </w:tc>
      </w:tr>
      <w:tr>
        <w:trPr>
          <w:trHeight w:val="133"/>
        </w:trPr>
        <w:tc>
          <w:tcPr>
            <w:tcW w:w="558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2022</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130"/>
              <w:spacing w:after="0"/>
              <w:rPr>
                <w:sz w:val="20"/>
                <w:szCs w:val="20"/>
                <w:color w:val="auto"/>
              </w:rPr>
            </w:pPr>
            <w:r>
              <w:rPr>
                <w:rFonts w:ascii="Arial" w:cs="Arial" w:eastAsia="Arial" w:hAnsi="Arial"/>
                <w:sz w:val="11"/>
                <w:szCs w:val="11"/>
                <w:color w:val="auto"/>
              </w:rPr>
              <w:t>2021</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06"/>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26"/>
              <w:spacing w:after="0"/>
              <w:rPr>
                <w:sz w:val="20"/>
                <w:szCs w:val="20"/>
                <w:color w:val="auto"/>
              </w:rPr>
            </w:pPr>
            <w:r>
              <w:rPr>
                <w:rFonts w:ascii="Arial" w:cs="Arial" w:eastAsia="Arial" w:hAnsi="Arial"/>
                <w:sz w:val="11"/>
                <w:szCs w:val="11"/>
                <w:color w:val="auto"/>
              </w:rPr>
              <w:t>2021</w:t>
            </w:r>
          </w:p>
        </w:tc>
      </w:tr>
      <w:tr>
        <w:trPr>
          <w:trHeight w:val="146"/>
        </w:trPr>
        <w:tc>
          <w:tcPr>
            <w:tcW w:w="55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0.78</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5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0.71</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w:t>
            </w:r>
          </w:p>
        </w:tc>
      </w:tr>
      <w:tr>
        <w:trPr>
          <w:trHeight w:val="142"/>
        </w:trPr>
        <w:tc>
          <w:tcPr>
            <w:tcW w:w="5580" w:type="dxa"/>
            <w:vAlign w:val="bottom"/>
          </w:tcPr>
          <w:p>
            <w:pPr>
              <w:ind w:left="440"/>
              <w:spacing w:after="0"/>
              <w:rPr>
                <w:sz w:val="20"/>
                <w:szCs w:val="20"/>
                <w:color w:val="auto"/>
              </w:rPr>
            </w:pPr>
            <w:r>
              <w:rPr>
                <w:rFonts w:ascii="Arial" w:cs="Arial" w:eastAsia="Arial" w:hAnsi="Arial"/>
                <w:sz w:val="11"/>
                <w:szCs w:val="11"/>
                <w:color w:val="auto"/>
              </w:rPr>
              <w:t>Amortization expense</w:t>
            </w: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0.06</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0.02</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0.17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0.06</w:t>
            </w:r>
          </w:p>
        </w:tc>
      </w:tr>
      <w:tr>
        <w:trPr>
          <w:trHeight w:val="146"/>
        </w:trPr>
        <w:tc>
          <w:tcPr>
            <w:tcW w:w="55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 non-routine charges</w:t>
            </w: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0.03</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1"/>
        </w:trPr>
        <w:tc>
          <w:tcPr>
            <w:tcW w:w="5580" w:type="dxa"/>
            <w:vAlign w:val="bottom"/>
          </w:tcPr>
          <w:p>
            <w:pPr>
              <w:spacing w:after="0" w:line="121" w:lineRule="exact"/>
              <w:rPr>
                <w:sz w:val="20"/>
                <w:szCs w:val="20"/>
                <w:color w:val="auto"/>
              </w:rPr>
            </w:pPr>
            <w:r>
              <w:rPr>
                <w:rFonts w:ascii="Arial" w:cs="Arial" w:eastAsia="Arial" w:hAnsi="Arial"/>
                <w:sz w:val="11"/>
                <w:szCs w:val="11"/>
                <w:b w:val="1"/>
                <w:bCs w:val="1"/>
                <w:color w:val="auto"/>
              </w:rPr>
              <w:t>Diluted EPS Excluding Certain Items (non-GAAP measure)</w:t>
            </w:r>
          </w:p>
        </w:tc>
        <w:tc>
          <w:tcPr>
            <w:tcW w:w="960" w:type="dxa"/>
            <w:vAlign w:val="bottom"/>
            <w:tcBorders>
              <w:top w:val="single" w:sz="8" w:color="auto"/>
              <w:bottom w:val="single" w:sz="8" w:color="auto"/>
            </w:tcBorders>
          </w:tcPr>
          <w:p>
            <w:pPr>
              <w:jc w:val="right"/>
              <w:ind w:right="826"/>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0.86</w:t>
            </w:r>
          </w:p>
        </w:tc>
        <w:tc>
          <w:tcPr>
            <w:tcW w:w="10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0.73</w:t>
            </w:r>
          </w:p>
        </w:tc>
        <w:tc>
          <w:tcPr>
            <w:tcW w:w="6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2.28</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w:t>
            </w:r>
          </w:p>
        </w:tc>
      </w:tr>
      <w:tr>
        <w:trPr>
          <w:trHeight w:val="20"/>
        </w:trPr>
        <w:tc>
          <w:tcPr>
            <w:tcW w:w="5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Diluted EPS Excluding Certain Items Guidance: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w w:val="91"/>
              </w:rPr>
              <w:t>Fiscal 2022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w w:val="97"/>
              </w:rPr>
              <w:t>High</w:t>
            </w:r>
          </w:p>
        </w:tc>
      </w:tr>
      <w:tr>
        <w:trPr>
          <w:trHeight w:val="135"/>
        </w:trPr>
        <w:tc>
          <w:tcPr>
            <w:tcW w:w="84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2.92</w:t>
            </w:r>
          </w:p>
        </w:tc>
      </w:tr>
      <w:tr>
        <w:trPr>
          <w:trHeight w:val="142"/>
        </w:trPr>
        <w:tc>
          <w:tcPr>
            <w:tcW w:w="8460" w:type="dxa"/>
            <w:vAlign w:val="bottom"/>
          </w:tcPr>
          <w:p>
            <w:pPr>
              <w:ind w:left="440"/>
              <w:spacing w:after="0"/>
              <w:rPr>
                <w:sz w:val="20"/>
                <w:szCs w:val="20"/>
                <w:color w:val="auto"/>
              </w:rPr>
            </w:pPr>
            <w:r>
              <w:rPr>
                <w:rFonts w:ascii="Arial" w:cs="Arial" w:eastAsia="Arial" w:hAnsi="Arial"/>
                <w:sz w:val="11"/>
                <w:szCs w:val="11"/>
                <w:color w:val="auto"/>
              </w:rPr>
              <w:t>Amortization expense</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0.22</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0.22</w:t>
            </w:r>
          </w:p>
        </w:tc>
      </w:tr>
      <w:tr>
        <w:trPr>
          <w:trHeight w:val="146"/>
        </w:trPr>
        <w:tc>
          <w:tcPr>
            <w:tcW w:w="84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 non-routine charges</w:t>
            </w:r>
          </w:p>
        </w:tc>
        <w:tc>
          <w:tcPr>
            <w:tcW w:w="8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0.03</w:t>
            </w:r>
          </w:p>
        </w:tc>
        <w:tc>
          <w:tcPr>
            <w:tcW w:w="1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0.03</w:t>
            </w:r>
          </w:p>
        </w:tc>
      </w:tr>
      <w:tr>
        <w:trPr>
          <w:trHeight w:val="131"/>
        </w:trPr>
        <w:tc>
          <w:tcPr>
            <w:tcW w:w="8460" w:type="dxa"/>
            <w:vAlign w:val="bottom"/>
          </w:tcPr>
          <w:p>
            <w:pPr>
              <w:spacing w:after="0" w:line="121" w:lineRule="exact"/>
              <w:rPr>
                <w:sz w:val="20"/>
                <w:szCs w:val="20"/>
                <w:color w:val="auto"/>
              </w:rPr>
            </w:pPr>
            <w:r>
              <w:rPr>
                <w:rFonts w:ascii="Arial" w:cs="Arial" w:eastAsia="Arial" w:hAnsi="Arial"/>
                <w:sz w:val="11"/>
                <w:szCs w:val="11"/>
                <w:b w:val="1"/>
                <w:bCs w:val="1"/>
                <w:color w:val="auto"/>
              </w:rPr>
              <w:t>Diluted EPS Excluding Certain Items (non-GAAP measure)</w:t>
            </w:r>
          </w:p>
        </w:tc>
        <w:tc>
          <w:tcPr>
            <w:tcW w:w="820" w:type="dxa"/>
            <w:vAlign w:val="bottom"/>
            <w:tcBorders>
              <w:bottom w:val="single" w:sz="8" w:color="auto"/>
            </w:tcBorders>
          </w:tcPr>
          <w:p>
            <w:pPr>
              <w:jc w:val="right"/>
              <w:ind w:right="68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3.08</w:t>
            </w:r>
          </w:p>
        </w:tc>
        <w:tc>
          <w:tcPr>
            <w:tcW w:w="100" w:type="dxa"/>
            <w:vAlign w:val="bottom"/>
          </w:tcPr>
          <w:p>
            <w:pPr>
              <w:spacing w:after="0"/>
              <w:rPr>
                <w:sz w:val="11"/>
                <w:szCs w:val="11"/>
                <w:color w:val="auto"/>
              </w:rPr>
            </w:pPr>
          </w:p>
        </w:tc>
        <w:tc>
          <w:tcPr>
            <w:tcW w:w="54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3.17</w:t>
            </w:r>
          </w:p>
        </w:tc>
      </w:tr>
      <w:tr>
        <w:trPr>
          <w:trHeight w:val="20"/>
        </w:trPr>
        <w:tc>
          <w:tcPr>
            <w:tcW w:w="8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829" w:right="29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2022-05-26T07:09:03Z</dcterms:created>
  <dcterms:modified xsi:type="dcterms:W3CDTF">2022-05-26T07:09:03Z</dcterms:modified>
</cp:coreProperties>
</file>