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38" w:lineRule="exact"/>
        <w:rPr>
          <w:sz w:val="24"/>
          <w:szCs w:val="24"/>
          <w:color w:val="auto"/>
        </w:rPr>
      </w:pPr>
    </w:p>
    <w:p>
      <w:pPr>
        <w:jc w:val="center"/>
        <w:ind w:right="1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51"/>
        <w:spacing w:after="0"/>
        <w:rPr>
          <w:sz w:val="20"/>
          <w:szCs w:val="20"/>
          <w:color w:val="auto"/>
        </w:rPr>
      </w:pPr>
      <w:r>
        <w:rPr>
          <w:rFonts w:ascii="Arial" w:cs="Arial" w:eastAsia="Arial" w:hAnsi="Arial"/>
          <w:sz w:val="18"/>
          <w:szCs w:val="18"/>
          <w:b w:val="1"/>
          <w:bCs w:val="1"/>
          <w:color w:val="auto"/>
        </w:rPr>
        <w:t>Date of Report (Date of earliest event reported): May 18, 2011</w:t>
      </w:r>
    </w:p>
    <w:p>
      <w:pPr>
        <w:spacing w:after="0" w:line="200" w:lineRule="exact"/>
        <w:rPr>
          <w:sz w:val="24"/>
          <w:szCs w:val="24"/>
          <w:color w:val="auto"/>
        </w:rPr>
      </w:pPr>
    </w:p>
    <w:p>
      <w:pPr>
        <w:jc w:val="center"/>
        <w:ind w:right="151"/>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84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86"/>
              </w:rPr>
              <w:t>Wisconsin</w:t>
            </w:r>
          </w:p>
        </w:tc>
        <w:tc>
          <w:tcPr>
            <w:tcW w:w="258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1-14959</w:t>
            </w:r>
          </w:p>
        </w:tc>
        <w:tc>
          <w:tcPr>
            <w:tcW w:w="330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39-0971239</w:t>
            </w:r>
          </w:p>
        </w:tc>
      </w:tr>
      <w:tr>
        <w:trPr>
          <w:trHeight w:val="209"/>
        </w:trPr>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312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3840" w:type="dxa"/>
            <w:vAlign w:val="bottom"/>
            <w:gridSpan w:val="3"/>
          </w:tcPr>
          <w:p>
            <w:pPr>
              <w:jc w:val="center"/>
              <w:ind w:right="740"/>
              <w:spacing w:after="0"/>
              <w:rPr>
                <w:sz w:val="20"/>
                <w:szCs w:val="20"/>
                <w:color w:val="auto"/>
              </w:rPr>
            </w:pPr>
            <w:r>
              <w:rPr>
                <w:rFonts w:ascii="Arial" w:cs="Arial" w:eastAsia="Arial" w:hAnsi="Arial"/>
                <w:sz w:val="18"/>
                <w:szCs w:val="18"/>
                <w:color w:val="auto"/>
                <w:w w:val="93"/>
              </w:rPr>
              <w:t>of incorporation)</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14"/>
        </w:trPr>
        <w:tc>
          <w:tcPr>
            <w:tcW w:w="384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9"/>
              </w:rPr>
              <w:t>6555 West Good Hope Road</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34"/>
        </w:trPr>
        <w:tc>
          <w:tcPr>
            <w:tcW w:w="38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1"/>
              </w:rPr>
              <w:t>Milwaukee, Wisconsin</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jc w:val="right"/>
              <w:ind w:right="2070"/>
              <w:spacing w:after="0"/>
              <w:rPr>
                <w:sz w:val="20"/>
                <w:szCs w:val="20"/>
                <w:color w:val="auto"/>
              </w:rPr>
            </w:pPr>
            <w:r>
              <w:rPr>
                <w:rFonts w:ascii="Arial" w:cs="Arial" w:eastAsia="Arial" w:hAnsi="Arial"/>
                <w:sz w:val="18"/>
                <w:szCs w:val="18"/>
                <w:b w:val="1"/>
                <w:bCs w:val="1"/>
                <w:color w:val="auto"/>
              </w:rPr>
              <w:t>53223</w:t>
            </w:r>
          </w:p>
        </w:tc>
      </w:tr>
      <w:tr>
        <w:trPr>
          <w:trHeight w:val="224"/>
        </w:trPr>
        <w:tc>
          <w:tcPr>
            <w:tcW w:w="384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tcPr>
          <w:p>
            <w:pPr>
              <w:ind w:left="320"/>
              <w:spacing w:after="0"/>
              <w:rPr>
                <w:sz w:val="20"/>
                <w:szCs w:val="20"/>
                <w:color w:val="auto"/>
              </w:rPr>
            </w:pPr>
            <w:r>
              <w:rPr>
                <w:rFonts w:ascii="Arial" w:cs="Arial" w:eastAsia="Arial" w:hAnsi="Arial"/>
                <w:sz w:val="18"/>
                <w:szCs w:val="18"/>
                <w:color w:val="auto"/>
              </w:rPr>
              <w:t>(Zip Code)</w:t>
            </w:r>
          </w:p>
        </w:tc>
      </w:tr>
    </w:tbl>
    <w:p>
      <w:pPr>
        <w:spacing w:after="0" w:line="197"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121" w:lineRule="exact"/>
        <w:rPr>
          <w:sz w:val="24"/>
          <w:szCs w:val="24"/>
          <w:color w:val="auto"/>
        </w:rPr>
      </w:pPr>
    </w:p>
    <w:p>
      <w:pPr>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61747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819150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ind w:left="340"/>
        <w:spacing w:after="0"/>
        <w:rPr>
          <w:sz w:val="20"/>
          <w:szCs w:val="20"/>
          <w:color w:val="auto"/>
        </w:rPr>
      </w:pPr>
      <w:r>
        <w:rPr>
          <w:rFonts w:ascii="Arial" w:cs="Arial" w:eastAsia="Arial" w:hAnsi="Arial"/>
          <w:sz w:val="18"/>
          <w:szCs w:val="18"/>
          <w:color w:val="auto"/>
        </w:rPr>
        <w:t>Item 2.02 RESULTS OF OPERATIONS AND FINANCIAL CONDITION</w:t>
      </w:r>
    </w:p>
    <w:p>
      <w:pPr>
        <w:spacing w:after="0" w:line="198" w:lineRule="exact"/>
        <w:rPr>
          <w:sz w:val="20"/>
          <w:szCs w:val="20"/>
          <w:color w:val="auto"/>
        </w:rPr>
      </w:pPr>
    </w:p>
    <w:p>
      <w:pPr>
        <w:jc w:val="both"/>
        <w:ind w:left="340" w:right="1400" w:firstLine="389"/>
        <w:spacing w:after="0" w:line="264" w:lineRule="auto"/>
        <w:rPr>
          <w:sz w:val="20"/>
          <w:szCs w:val="20"/>
          <w:color w:val="auto"/>
        </w:rPr>
      </w:pPr>
      <w:r>
        <w:rPr>
          <w:rFonts w:ascii="Arial" w:cs="Arial" w:eastAsia="Arial" w:hAnsi="Arial"/>
          <w:sz w:val="18"/>
          <w:szCs w:val="18"/>
          <w:color w:val="auto"/>
        </w:rPr>
        <w:t>On May 18, 2011, Brady Corporation (the “Corporation”) issued a press release announcing its fiscal 2011 third quarter financial results. A copy of the press release is being furnished to the Securities and Exchange Commission as Exhibit 99.1 attached hereto and is incorporated herein by reference.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9.01 FINANCIAL STATEMENTS AND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filed as an Exhibit to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280" w:type="dxa"/>
            <w:vAlign w:val="bottom"/>
          </w:tcPr>
          <w:p>
            <w:pPr>
              <w:spacing w:after="0"/>
              <w:rPr>
                <w:sz w:val="20"/>
                <w:szCs w:val="20"/>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c>
          <w:tcPr>
            <w:tcW w:w="1360" w:type="dxa"/>
            <w:vAlign w:val="bottom"/>
          </w:tcPr>
          <w:p>
            <w:pPr>
              <w:spacing w:after="0"/>
              <w:rPr>
                <w:sz w:val="20"/>
                <w:szCs w:val="20"/>
                <w:color w:val="auto"/>
              </w:rPr>
            </w:pPr>
          </w:p>
        </w:tc>
      </w:tr>
      <w:tr>
        <w:trPr>
          <w:trHeight w:val="426"/>
        </w:trPr>
        <w:tc>
          <w:tcPr>
            <w:tcW w:w="340" w:type="dxa"/>
            <w:vAlign w:val="bottom"/>
          </w:tcPr>
          <w:p>
            <w:pPr>
              <w:spacing w:after="0"/>
              <w:rPr>
                <w:sz w:val="24"/>
                <w:szCs w:val="24"/>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3"/>
              </w:rPr>
              <w:t>Press Release of Brady Corporation, dated May 18, 2011, relating to third quarter fiscal 2011 financial results.</w:t>
            </w:r>
          </w:p>
        </w:tc>
        <w:tc>
          <w:tcPr>
            <w:tcW w:w="1360" w:type="dxa"/>
            <w:vAlign w:val="bottom"/>
          </w:tcPr>
          <w:p>
            <w:pPr>
              <w:spacing w:after="0"/>
              <w:rPr>
                <w:sz w:val="24"/>
                <w:szCs w:val="24"/>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1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right="5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20, 2011</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Senior Vice President &amp;</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638175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p>
      <w:pPr>
        <w:jc w:val="center"/>
        <w:ind w:right="419"/>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5715</wp:posOffset>
            </wp:positionV>
            <wp:extent cx="61747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4"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Brady Corporation, dated May 18, 2011, relating to third quarter fiscal 2011 financial results.</w:t>
      </w:r>
    </w:p>
    <w:p>
      <w:pPr>
        <w:sectPr>
          <w:pgSz w:w="11900" w:h="16838" w:orient="portrait"/>
          <w:cols w:equalWidth="0" w:num="1">
            <w:col w:w="9639"/>
          </w:cols>
          <w:pgMar w:left="820" w:top="935" w:right="1440" w:bottom="1440" w:gutter="0" w:footer="0" w:header="0"/>
        </w:sectPr>
      </w:pPr>
    </w:p>
    <w:bookmarkStart w:id="4" w:name="page5"/>
    <w:bookmarkEnd w:id="4"/>
    <w:p>
      <w:pPr>
        <w:jc w:val="right"/>
        <w:ind w:right="159"/>
        <w:spacing w:after="0"/>
        <w:rPr>
          <w:sz w:val="20"/>
          <w:szCs w:val="20"/>
          <w:color w:val="auto"/>
        </w:rPr>
      </w:pPr>
      <w:r>
        <w:rPr>
          <w:rFonts w:ascii="Arial" w:cs="Arial" w:eastAsia="Arial" w:hAnsi="Arial"/>
          <w:sz w:val="18"/>
          <w:szCs w:val="18"/>
          <w:color w:val="auto"/>
        </w:rPr>
        <w:t>EXHIBIT 99.1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Aaron Pearce 414-438-6895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2011 third quarter results</w:t>
      </w:r>
    </w:p>
    <w:p>
      <w:pPr>
        <w:spacing w:after="0" w:line="189" w:lineRule="exact"/>
        <w:rPr>
          <w:sz w:val="20"/>
          <w:szCs w:val="20"/>
          <w:color w:val="auto"/>
        </w:rPr>
      </w:pPr>
    </w:p>
    <w:p>
      <w:pPr>
        <w:ind w:right="199"/>
        <w:spacing w:after="0" w:line="277" w:lineRule="auto"/>
        <w:rPr>
          <w:sz w:val="20"/>
          <w:szCs w:val="20"/>
          <w:color w:val="auto"/>
        </w:rPr>
      </w:pPr>
      <w:r>
        <w:rPr>
          <w:rFonts w:ascii="Arial" w:cs="Arial" w:eastAsia="Arial" w:hAnsi="Arial"/>
          <w:sz w:val="18"/>
          <w:szCs w:val="18"/>
          <w:color w:val="auto"/>
        </w:rPr>
        <w:t>MILWAUKEE (May 18, 2011)—Brady Corporation (NYSE: BRC), a world leader in identification solutions, today reported financial results for its fiscal 2011 third quarter ended April 30,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Third-quarter results:</w:t>
      </w:r>
    </w:p>
    <w:p>
      <w:pPr>
        <w:spacing w:after="0" w:line="202" w:lineRule="exact"/>
        <w:rPr>
          <w:sz w:val="20"/>
          <w:szCs w:val="20"/>
          <w:color w:val="auto"/>
        </w:rPr>
      </w:pPr>
    </w:p>
    <w:p>
      <w:pPr>
        <w:ind w:right="339" w:firstLine="389"/>
        <w:spacing w:after="0" w:line="259" w:lineRule="auto"/>
        <w:rPr>
          <w:sz w:val="20"/>
          <w:szCs w:val="20"/>
          <w:color w:val="auto"/>
        </w:rPr>
      </w:pPr>
      <w:r>
        <w:rPr>
          <w:rFonts w:ascii="Arial" w:cs="Arial" w:eastAsia="Arial" w:hAnsi="Arial"/>
          <w:sz w:val="18"/>
          <w:szCs w:val="18"/>
          <w:color w:val="auto"/>
        </w:rPr>
        <w:t>Net income in the fiscal 2011 third quarter was up 20.7 percent to $28.6 million compared to $23.7 million in the same quarter last year. Excluding $0.9 million of after-tax restructuring charges in the third quarter of fiscal 2011 and $1.7 million of after-tax restructuring charges in the same quarter last year, net income was up 16.1 percent to $29.5 million compared to $25.4 million in the same quarter last year.</w:t>
      </w:r>
    </w:p>
    <w:p>
      <w:pPr>
        <w:spacing w:after="0" w:line="146" w:lineRule="exact"/>
        <w:rPr>
          <w:sz w:val="20"/>
          <w:szCs w:val="20"/>
          <w:color w:val="auto"/>
        </w:rPr>
      </w:pPr>
    </w:p>
    <w:p>
      <w:pPr>
        <w:ind w:right="279" w:firstLine="389"/>
        <w:spacing w:after="0" w:line="312" w:lineRule="auto"/>
        <w:rPr>
          <w:sz w:val="20"/>
          <w:szCs w:val="20"/>
          <w:color w:val="auto"/>
        </w:rPr>
      </w:pPr>
      <w:r>
        <w:rPr>
          <w:rFonts w:ascii="Arial" w:cs="Arial" w:eastAsia="Arial" w:hAnsi="Arial"/>
          <w:sz w:val="16"/>
          <w:szCs w:val="16"/>
          <w:color w:val="auto"/>
        </w:rPr>
        <w:t>Earnings per diluted Class A Common Share were up 20.0 percent to $0.54 in the third quarter of fiscal 2011 compared to $0.45 in the third quarter of fiscal 2010. Excluding after-tax restructuring charges, earnings per diluted Class A Common Share increased 14.6 percent to $0.55 in the third quarter of fiscal 2011 compared to $0.48 per share in the same quarter of fiscal 2010.</w:t>
      </w:r>
    </w:p>
    <w:p>
      <w:pPr>
        <w:spacing w:after="0" w:line="106" w:lineRule="exact"/>
        <w:rPr>
          <w:sz w:val="20"/>
          <w:szCs w:val="20"/>
          <w:color w:val="auto"/>
        </w:rPr>
      </w:pPr>
    </w:p>
    <w:p>
      <w:pPr>
        <w:ind w:right="379" w:firstLine="389"/>
        <w:spacing w:after="0" w:line="259" w:lineRule="auto"/>
        <w:rPr>
          <w:sz w:val="20"/>
          <w:szCs w:val="20"/>
          <w:color w:val="auto"/>
        </w:rPr>
      </w:pPr>
      <w:r>
        <w:rPr>
          <w:rFonts w:ascii="Arial" w:cs="Arial" w:eastAsia="Arial" w:hAnsi="Arial"/>
          <w:sz w:val="18"/>
          <w:szCs w:val="18"/>
          <w:color w:val="auto"/>
        </w:rPr>
        <w:t>Sales for the fiscal 2011 third quarter were up 4.9 percent to $337.9 million compared to $321.9 million in the third quarter of fiscal 2010. Organic sales growth was 1.0 percent, acquisitions net of divestitures contributed 0.4 percent to sales, and the impact of foreign currency translation increased sales by 3.5 percent. By segment, organic sales increased 2.7 percent in the Americas and 3.6 percent in Europe, and decreased 5.1 percent in the Asia-Pacific region.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Nine-month results:</w:t>
      </w:r>
    </w:p>
    <w:p>
      <w:pPr>
        <w:spacing w:after="0" w:line="189" w:lineRule="exact"/>
        <w:rPr>
          <w:sz w:val="20"/>
          <w:szCs w:val="20"/>
          <w:color w:val="auto"/>
        </w:rPr>
      </w:pPr>
    </w:p>
    <w:p>
      <w:pPr>
        <w:ind w:right="439" w:firstLine="389"/>
        <w:spacing w:after="0" w:line="259" w:lineRule="auto"/>
        <w:rPr>
          <w:sz w:val="20"/>
          <w:szCs w:val="20"/>
          <w:color w:val="auto"/>
        </w:rPr>
      </w:pPr>
      <w:r>
        <w:rPr>
          <w:rFonts w:ascii="Arial" w:cs="Arial" w:eastAsia="Arial" w:hAnsi="Arial"/>
          <w:sz w:val="18"/>
          <w:szCs w:val="18"/>
          <w:color w:val="auto"/>
        </w:rPr>
        <w:t>Net income for the nine months ended April 30, 2011 was up 31.0 percent to $79.1 million compared to $60.4 million in the same period in fiscal 2010. Excluding $5.0 million of after-tax restructuring charges in the nine-month period ended April 30, 2011 and $6.9 million of after-tax restructuring charges in the same period last year, net income was up 25.0 percent to $84.1 million compared to $67.3 million in the same period last year.</w:t>
      </w:r>
    </w:p>
    <w:p>
      <w:pPr>
        <w:spacing w:after="0" w:line="146" w:lineRule="exact"/>
        <w:rPr>
          <w:sz w:val="20"/>
          <w:szCs w:val="20"/>
          <w:color w:val="auto"/>
        </w:rPr>
      </w:pPr>
    </w:p>
    <w:p>
      <w:pPr>
        <w:ind w:right="259" w:firstLine="389"/>
        <w:spacing w:after="0" w:line="259" w:lineRule="auto"/>
        <w:rPr>
          <w:sz w:val="20"/>
          <w:szCs w:val="20"/>
          <w:color w:val="auto"/>
        </w:rPr>
      </w:pPr>
      <w:r>
        <w:rPr>
          <w:rFonts w:ascii="Arial" w:cs="Arial" w:eastAsia="Arial" w:hAnsi="Arial"/>
          <w:sz w:val="18"/>
          <w:szCs w:val="18"/>
          <w:color w:val="auto"/>
        </w:rPr>
        <w:t>Earnings per diluted Class A Common Share were up 30.7 percent to $1.49 for the nine-month period ended April 30, 2011 compared to $1.14 in the same period of fiscal 2010. Excluding after-tax restructuring charges, earnings per diluted Class A Common Share increased 24.4 percent to $1.58 for the nine-month period ended April 30, 2011 compared to $1.27 per share in the same period of fiscal 2010.</w:t>
      </w:r>
    </w:p>
    <w:p>
      <w:pPr>
        <w:spacing w:after="0" w:line="160" w:lineRule="exact"/>
        <w:rPr>
          <w:sz w:val="20"/>
          <w:szCs w:val="20"/>
          <w:color w:val="auto"/>
        </w:rPr>
      </w:pPr>
    </w:p>
    <w:p>
      <w:pPr>
        <w:ind w:right="199" w:firstLine="389"/>
        <w:spacing w:after="0" w:line="259" w:lineRule="auto"/>
        <w:rPr>
          <w:sz w:val="20"/>
          <w:szCs w:val="20"/>
          <w:color w:val="auto"/>
        </w:rPr>
      </w:pPr>
      <w:r>
        <w:rPr>
          <w:rFonts w:ascii="Arial" w:cs="Arial" w:eastAsia="Arial" w:hAnsi="Arial"/>
          <w:sz w:val="18"/>
          <w:szCs w:val="18"/>
          <w:color w:val="auto"/>
        </w:rPr>
        <w:t>Sales for the nine-month period ended April 30, 2011 were up 6.4 percent to $996.5 million compared to $936.2 million in the same period last year. Organic sales growth was 4.1 percent, acquisitions net of divestitures contributed 1.4 percent to sales, and the impact of foreign currency translation increased sales by 0.9 percent. By segment, organic sales increased 5.3 percent in the Americas, 5.6 percent in Europe and 0.4 percent in the Asia-Pacific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622935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Commentary and Guidance:</w:t>
      </w:r>
    </w:p>
    <w:p>
      <w:pPr>
        <w:spacing w:after="0" w:line="202"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“While organic sales were relatively flat, we saw a 20.7% increase in net income. Our focus on process improvement and process standardization through the Brady Business Performance System is having a positive impact on our ability to turn organic sales growth into net income growth,” said Frank M. Jaehnert, Brady’s President and Chief Executive Officer.</w:t>
      </w:r>
    </w:p>
    <w:p>
      <w:pPr>
        <w:spacing w:after="0" w:line="141" w:lineRule="exact"/>
        <w:rPr>
          <w:sz w:val="20"/>
          <w:szCs w:val="20"/>
          <w:color w:val="auto"/>
        </w:rPr>
      </w:pPr>
    </w:p>
    <w:p>
      <w:pPr>
        <w:ind w:right="199" w:firstLine="389"/>
        <w:spacing w:after="0" w:line="276" w:lineRule="auto"/>
        <w:rPr>
          <w:sz w:val="20"/>
          <w:szCs w:val="20"/>
          <w:color w:val="auto"/>
        </w:rPr>
      </w:pPr>
      <w:r>
        <w:rPr>
          <w:rFonts w:ascii="Arial" w:cs="Arial" w:eastAsia="Arial" w:hAnsi="Arial"/>
          <w:sz w:val="17"/>
          <w:szCs w:val="17"/>
          <w:color w:val="auto"/>
        </w:rPr>
        <w:t>“Our strong cash generation remains a highlight for Brady with an ending cash balance of $374 million at April 30, 2011. We remain focused on putting our cash to work through investment in organic growth opportunities as well as strategic acquisitions,” said Brady Chief Financial Officer Thomas J. Felmer. “We are tightening our previously provided full-year guidance range for earnings per diluted Class A Common share to $2.20 to $2.30, from between $2.15 and $2.35 per diluted Class A Common share. This is exclusive of pre-tax restructuring charges of $8 to $10 million, or $0.11 to $0.14 per share.”</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xml:space="preserve">A webcast regarding fiscal 2011 third quarter results will be available at </w:t>
      </w:r>
      <w:r>
        <w:rPr>
          <w:rFonts w:ascii="Arial" w:cs="Arial" w:eastAsia="Arial" w:hAnsi="Arial"/>
          <w:sz w:val="17"/>
          <w:szCs w:val="17"/>
          <w:u w:val="single" w:color="auto"/>
          <w:color w:val="auto"/>
        </w:rPr>
        <w:t>www.investor.bradycorp.com</w:t>
      </w:r>
      <w:r>
        <w:rPr>
          <w:rFonts w:ascii="Arial" w:cs="Arial" w:eastAsia="Arial" w:hAnsi="Arial"/>
          <w:sz w:val="17"/>
          <w:szCs w:val="17"/>
          <w:color w:val="auto"/>
        </w:rPr>
        <w:t xml:space="preserve"> beginning at 9:30 a.m.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Central Time today.</w:t>
      </w:r>
    </w:p>
    <w:p>
      <w:pPr>
        <w:spacing w:after="0" w:line="184" w:lineRule="exact"/>
        <w:rPr>
          <w:sz w:val="20"/>
          <w:szCs w:val="20"/>
          <w:color w:val="auto"/>
        </w:rPr>
      </w:pPr>
    </w:p>
    <w:p>
      <w:pPr>
        <w:ind w:right="159" w:firstLine="389"/>
        <w:spacing w:after="0" w:line="291" w:lineRule="auto"/>
        <w:rPr>
          <w:sz w:val="20"/>
          <w:szCs w:val="20"/>
          <w:color w:val="auto"/>
        </w:rPr>
      </w:pPr>
      <w:r>
        <w:rPr>
          <w:rFonts w:ascii="Arial" w:cs="Arial" w:eastAsia="Arial" w:hAnsi="Arial"/>
          <w:sz w:val="16"/>
          <w:szCs w:val="16"/>
          <w:color w:val="auto"/>
        </w:rPr>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and signs, safety devices, printing systems and software, and precision die-cut materials. Founded in 1914, the company has millions of customers in electronics, telecommunications, manufacturing, electrical, construction, education, medical and a variety of other industries. Brady is headquartered in Milwaukee, Wisconsin and employs approximately 6,600 people at operations in the Americas, Europe and Asia-Pacific. Brady’s fiscal 2010 sales were approximately $1.26 billion. Brady stock trades on the New York Stock Exchange under the symbol BRC. More information is available on the Internet at </w:t>
      </w:r>
      <w:r>
        <w:rPr>
          <w:rFonts w:ascii="Arial" w:cs="Arial" w:eastAsia="Arial" w:hAnsi="Arial"/>
          <w:sz w:val="16"/>
          <w:szCs w:val="16"/>
          <w:u w:val="single" w:color="auto"/>
          <w:color w:val="auto"/>
        </w:rPr>
        <w:t>www.bradycorp.com</w:t>
      </w:r>
      <w:r>
        <w:rPr>
          <w:rFonts w:ascii="Arial" w:cs="Arial" w:eastAsia="Arial" w:hAnsi="Arial"/>
          <w:sz w:val="16"/>
          <w:szCs w:val="16"/>
          <w:color w:val="auto"/>
        </w:rPr>
        <w:t>.</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right="179"/>
        <w:spacing w:after="0" w:line="284" w:lineRule="auto"/>
        <w:rPr>
          <w:sz w:val="20"/>
          <w:szCs w:val="20"/>
          <w:color w:val="auto"/>
        </w:rPr>
      </w:pPr>
      <w:r>
        <w:rPr>
          <w:rFonts w:ascii="Arial" w:cs="Arial" w:eastAsia="Arial" w:hAnsi="Arial"/>
          <w:sz w:val="16"/>
          <w:szCs w:val="16"/>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2010.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625475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color w:val="auto"/>
              </w:rPr>
              <w:t>(Unaudited)</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8"/>
          </w:tcPr>
          <w:p>
            <w:pPr>
              <w:jc w:val="right"/>
              <w:ind w:right="720"/>
              <w:spacing w:after="0"/>
              <w:rPr>
                <w:sz w:val="20"/>
                <w:szCs w:val="20"/>
                <w:color w:val="auto"/>
              </w:rPr>
            </w:pPr>
            <w:r>
              <w:rPr>
                <w:rFonts w:ascii="Arial" w:cs="Arial" w:eastAsia="Arial" w:hAnsi="Arial"/>
                <w:sz w:val="18"/>
                <w:szCs w:val="18"/>
                <w:color w:val="auto"/>
              </w:rPr>
              <w:t>Three Months Ended April 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7"/>
          </w:tcPr>
          <w:p>
            <w:pPr>
              <w:ind w:left="320"/>
              <w:spacing w:after="0"/>
              <w:rPr>
                <w:sz w:val="20"/>
                <w:szCs w:val="20"/>
                <w:color w:val="auto"/>
              </w:rPr>
            </w:pPr>
            <w:r>
              <w:rPr>
                <w:rFonts w:ascii="Arial" w:cs="Arial" w:eastAsia="Arial" w:hAnsi="Arial"/>
                <w:sz w:val="18"/>
                <w:szCs w:val="18"/>
                <w:color w:val="auto"/>
              </w:rPr>
              <w:t>Nine Months Ended April 30,</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9"/>
              </w:rPr>
              <w:t>Percentage</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4"/>
              </w:rPr>
              <w:t>Percentage</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2010</w:t>
            </w:r>
          </w:p>
        </w:tc>
        <w:tc>
          <w:tcPr>
            <w:tcW w:w="3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337,896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321,887</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996,493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936,202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Cost of products sold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170,258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161,690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505,333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471,644</w:t>
            </w:r>
          </w:p>
        </w:tc>
        <w:tc>
          <w:tcPr>
            <w:tcW w:w="3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167,638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160,197</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491,160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464,558</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10,550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10,709</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30,950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760" w:type="dxa"/>
            <w:vAlign w:val="bottom"/>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60" w:type="dxa"/>
            <w:vAlign w:val="bottom"/>
          </w:tcPr>
          <w:p>
            <w:pPr>
              <w:ind w:left="40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115,006</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111,227</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332,394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328,638</w:t>
            </w:r>
          </w:p>
        </w:tc>
        <w:tc>
          <w:tcPr>
            <w:tcW w:w="3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2,347</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126,767</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6"/>
              </w:rPr>
              <w:t>124,283</w:t>
            </w:r>
          </w:p>
        </w:tc>
        <w:tc>
          <w:tcPr>
            <w:tcW w:w="220" w:type="dxa"/>
            <w:vAlign w:val="bottom"/>
          </w:tcPr>
          <w:p>
            <w:pPr>
              <w:spacing w:after="0"/>
              <w:rPr>
                <w:sz w:val="19"/>
                <w:szCs w:val="19"/>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371,606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369,185</w:t>
            </w:r>
          </w:p>
        </w:tc>
        <w:tc>
          <w:tcPr>
            <w:tcW w:w="3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40,871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35,914</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119,554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95,373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Other income and (expense):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1080.2%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(5,103)</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(5,147)</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(16,640)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(15,472)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37,196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30,888</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105,806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81,174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8,607</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7,193</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26,737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20,810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28,589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23,695</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79,069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60,364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60" w:type="dxa"/>
            <w:vAlign w:val="bottom"/>
            <w:vMerge w:val="restart"/>
          </w:tcPr>
          <w:p>
            <w:pPr>
              <w:spacing w:after="0"/>
              <w:rPr>
                <w:sz w:val="20"/>
                <w:szCs w:val="20"/>
                <w:color w:val="auto"/>
              </w:rPr>
            </w:pPr>
            <w:r>
              <w:rPr>
                <w:rFonts w:ascii="Arial" w:cs="Arial" w:eastAsia="Arial" w:hAnsi="Arial"/>
                <w:sz w:val="18"/>
                <w:szCs w:val="18"/>
                <w:color w:val="auto"/>
              </w:rPr>
              <w:t>Per Class A Nonvoting Common</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Share: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0.45</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0.54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0.45</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20.0%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0.175</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5"/>
              </w:rPr>
              <w:t>Per Class B Voting Common Share: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0.45</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0.54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0.45</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20.0%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0.175</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0.523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0.508</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8"/>
              </w:rPr>
              <w:t>Weighted average common shares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outstanding (in thousands):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52,701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52,427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52,378</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53,337</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52,873</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53,067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52,971</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5"/>
        </w:trPr>
        <w:tc>
          <w:tcPr>
            <w:tcW w:w="34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color w:val="auto"/>
                <w:w w:val="93"/>
              </w:rPr>
              <w:t>(Unaudited)</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April 30, 2011</w:t>
            </w:r>
          </w:p>
        </w:tc>
        <w:tc>
          <w:tcPr>
            <w:tcW w:w="1160" w:type="dxa"/>
            <w:vAlign w:val="bottom"/>
            <w:gridSpan w:val="3"/>
          </w:tcPr>
          <w:p>
            <w:pPr>
              <w:ind w:left="160"/>
              <w:spacing w:after="0"/>
              <w:rPr>
                <w:sz w:val="20"/>
                <w:szCs w:val="20"/>
                <w:color w:val="auto"/>
              </w:rPr>
            </w:pPr>
            <w:r>
              <w:rPr>
                <w:rFonts w:ascii="Arial" w:cs="Arial" w:eastAsia="Arial" w:hAnsi="Arial"/>
                <w:sz w:val="18"/>
                <w:szCs w:val="18"/>
                <w:b w:val="1"/>
                <w:bCs w:val="1"/>
                <w:color w:val="auto"/>
                <w:w w:val="88"/>
              </w:rPr>
              <w:t>July 31, 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10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373,978</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314,840</w:t>
            </w: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Accounts receivable — net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235,634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221,621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400"/>
              <w:spacing w:after="0"/>
              <w:rPr>
                <w:sz w:val="20"/>
                <w:szCs w:val="20"/>
                <w:color w:val="auto"/>
              </w:rPr>
            </w:pPr>
            <w:r>
              <w:rPr>
                <w:rFonts w:ascii="Arial" w:cs="Arial" w:eastAsia="Arial" w:hAnsi="Arial"/>
                <w:sz w:val="18"/>
                <w:szCs w:val="18"/>
                <w:color w:val="auto"/>
              </w:rPr>
              <w:t>Finished products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59,727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52,906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Work-in-process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13,146</w:t>
            </w:r>
          </w:p>
        </w:tc>
        <w:tc>
          <w:tcPr>
            <w:tcW w:w="0" w:type="dxa"/>
            <w:vAlign w:val="bottom"/>
          </w:tcPr>
          <w:p>
            <w:pPr>
              <w:spacing w:after="0"/>
              <w:rPr>
                <w:sz w:val="1"/>
                <w:szCs w:val="1"/>
                <w:color w:val="auto"/>
              </w:rPr>
            </w:pPr>
          </w:p>
        </w:tc>
      </w:tr>
      <w:tr>
        <w:trPr>
          <w:trHeight w:val="216"/>
        </w:trPr>
        <w:tc>
          <w:tcPr>
            <w:tcW w:w="6740" w:type="dxa"/>
            <w:vAlign w:val="bottom"/>
          </w:tcPr>
          <w:p>
            <w:pPr>
              <w:ind w:left="400"/>
              <w:spacing w:after="0"/>
              <w:rPr>
                <w:sz w:val="20"/>
                <w:szCs w:val="20"/>
                <w:color w:val="auto"/>
              </w:rPr>
            </w:pPr>
            <w:r>
              <w:rPr>
                <w:rFonts w:ascii="Arial" w:cs="Arial" w:eastAsia="Arial" w:hAnsi="Arial"/>
                <w:sz w:val="18"/>
                <w:szCs w:val="18"/>
                <w:color w:val="auto"/>
              </w:rPr>
              <w:t>Raw materials and supplies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28,034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28,620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inventories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102,502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94,672</w:t>
            </w: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39,614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37,839</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751,728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668,972</w:t>
            </w:r>
          </w:p>
        </w:tc>
        <w:tc>
          <w:tcPr>
            <w:tcW w:w="0" w:type="dxa"/>
            <w:vAlign w:val="bottom"/>
          </w:tcPr>
          <w:p>
            <w:pPr>
              <w:spacing w:after="0"/>
              <w:rPr>
                <w:sz w:val="1"/>
                <w:szCs w:val="1"/>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799,395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768,600</w:t>
            </w: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96,386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103,546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52,744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39,103</w:t>
            </w:r>
          </w:p>
        </w:tc>
        <w:tc>
          <w:tcPr>
            <w:tcW w:w="0" w:type="dxa"/>
            <w:vAlign w:val="bottom"/>
          </w:tcPr>
          <w:p>
            <w:pPr>
              <w:spacing w:after="0"/>
              <w:rPr>
                <w:sz w:val="1"/>
                <w:szCs w:val="1"/>
                <w:color w:val="auto"/>
              </w:rPr>
            </w:pPr>
          </w:p>
        </w:tc>
      </w:tr>
      <w:tr>
        <w:trPr>
          <w:trHeight w:val="230"/>
        </w:trPr>
        <w:tc>
          <w:tcPr>
            <w:tcW w:w="6740" w:type="dxa"/>
            <w:vAlign w:val="bottom"/>
          </w:tcPr>
          <w:p>
            <w:pPr>
              <w:ind w:left="20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19,633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20,808</w:t>
            </w:r>
          </w:p>
        </w:tc>
        <w:tc>
          <w:tcPr>
            <w:tcW w:w="0" w:type="dxa"/>
            <w:vAlign w:val="bottom"/>
          </w:tcPr>
          <w:p>
            <w:pPr>
              <w:spacing w:after="0"/>
              <w:rPr>
                <w:sz w:val="1"/>
                <w:szCs w:val="1"/>
                <w:color w:val="auto"/>
              </w:rPr>
            </w:pPr>
          </w:p>
        </w:tc>
      </w:tr>
      <w:tr>
        <w:trPr>
          <w:trHeight w:val="202"/>
        </w:trPr>
        <w:tc>
          <w:tcPr>
            <w:tcW w:w="6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Cost: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Land</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16"/>
        </w:trPr>
        <w:tc>
          <w:tcPr>
            <w:tcW w:w="6740" w:type="dxa"/>
            <w:vAlign w:val="bottom"/>
          </w:tcPr>
          <w:p>
            <w:pPr>
              <w:ind w:left="600"/>
              <w:spacing w:after="0"/>
              <w:rPr>
                <w:sz w:val="20"/>
                <w:szCs w:val="20"/>
                <w:color w:val="auto"/>
              </w:rPr>
            </w:pPr>
            <w:r>
              <w:rPr>
                <w:rFonts w:ascii="Arial" w:cs="Arial" w:eastAsia="Arial" w:hAnsi="Arial"/>
                <w:sz w:val="18"/>
                <w:szCs w:val="18"/>
                <w:color w:val="auto"/>
              </w:rPr>
              <w:t>Buildings and improvements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103,060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101,138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Machinery and equipment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302,017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289,727</w:t>
            </w:r>
          </w:p>
        </w:tc>
        <w:tc>
          <w:tcPr>
            <w:tcW w:w="0" w:type="dxa"/>
            <w:vAlign w:val="bottom"/>
          </w:tcPr>
          <w:p>
            <w:pPr>
              <w:spacing w:after="0"/>
              <w:rPr>
                <w:sz w:val="1"/>
                <w:szCs w:val="1"/>
                <w:color w:val="auto"/>
              </w:rPr>
            </w:pPr>
          </w:p>
        </w:tc>
      </w:tr>
      <w:tr>
        <w:trPr>
          <w:trHeight w:val="216"/>
        </w:trPr>
        <w:tc>
          <w:tcPr>
            <w:tcW w:w="6740" w:type="dxa"/>
            <w:vAlign w:val="bottom"/>
          </w:tcPr>
          <w:p>
            <w:pPr>
              <w:ind w:left="600"/>
              <w:spacing w:after="0"/>
              <w:rPr>
                <w:sz w:val="20"/>
                <w:szCs w:val="20"/>
                <w:color w:val="auto"/>
              </w:rPr>
            </w:pPr>
            <w:r>
              <w:rPr>
                <w:rFonts w:ascii="Arial" w:cs="Arial" w:eastAsia="Arial" w:hAnsi="Arial"/>
                <w:sz w:val="18"/>
                <w:szCs w:val="18"/>
                <w:color w:val="auto"/>
              </w:rPr>
              <w:t>Construction in progress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13,601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425,094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407,003</w:t>
            </w:r>
          </w:p>
        </w:tc>
        <w:tc>
          <w:tcPr>
            <w:tcW w:w="0" w:type="dxa"/>
            <w:vAlign w:val="bottom"/>
          </w:tcPr>
          <w:p>
            <w:pPr>
              <w:spacing w:after="0"/>
              <w:rPr>
                <w:sz w:val="1"/>
                <w:szCs w:val="1"/>
                <w:color w:val="auto"/>
              </w:rPr>
            </w:pPr>
          </w:p>
        </w:tc>
      </w:tr>
      <w:tr>
        <w:trPr>
          <w:trHeight w:val="432"/>
        </w:trPr>
        <w:tc>
          <w:tcPr>
            <w:tcW w:w="6740" w:type="dxa"/>
            <w:vAlign w:val="bottom"/>
          </w:tcPr>
          <w:p>
            <w:pPr>
              <w:ind w:left="200"/>
              <w:spacing w:after="0"/>
              <w:rPr>
                <w:sz w:val="20"/>
                <w:szCs w:val="20"/>
                <w:color w:val="auto"/>
              </w:rPr>
            </w:pPr>
            <w:r>
              <w:rPr>
                <w:rFonts w:ascii="Arial" w:cs="Arial" w:eastAsia="Arial" w:hAnsi="Arial"/>
                <w:sz w:val="18"/>
                <w:szCs w:val="18"/>
                <w:color w:val="auto"/>
              </w:rPr>
              <w:t>Less accumulated depreciation</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284,334</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261,501</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Property, plant and equipment — net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140,760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145,502</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7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1,860,646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1,746,531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20"/>
              <w:spacing w:after="0"/>
              <w:rPr>
                <w:sz w:val="20"/>
                <w:szCs w:val="20"/>
                <w:color w:val="auto"/>
              </w:rPr>
            </w:pPr>
            <w:r>
              <w:rPr>
                <w:rFonts w:ascii="Arial" w:cs="Arial" w:eastAsia="Arial" w:hAnsi="Arial"/>
                <w:sz w:val="18"/>
                <w:szCs w:val="18"/>
                <w:b w:val="1"/>
                <w:bCs w:val="1"/>
                <w:color w:val="auto"/>
              </w:rPr>
              <w:t>LIABILITIES AND STOCKHOLDERS’ INVESTMENT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90,621</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96,702</w:t>
            </w: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67,316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67,285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Accrued income taxes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17,399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50,862</w:t>
            </w: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Current maturities on long-term debt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61,264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61,264</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310,961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293,788</w:t>
            </w:r>
          </w:p>
        </w:tc>
        <w:tc>
          <w:tcPr>
            <w:tcW w:w="0" w:type="dxa"/>
            <w:vAlign w:val="bottom"/>
          </w:tcPr>
          <w:p>
            <w:pPr>
              <w:spacing w:after="0"/>
              <w:rPr>
                <w:sz w:val="1"/>
                <w:szCs w:val="1"/>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351,789</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382,940</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65,741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64,776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7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728,491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741,504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6"/>
              </w:rPr>
              <w:t>Class A nonvoting common stock — Issued 51,261,487 and 51,261,487 shares,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5"/>
              </w:rPr>
              <w:t>respectively and outstanding 49,226,952 and 48,875,716 shares, respectively</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6740" w:type="dxa"/>
            <w:vAlign w:val="bottom"/>
          </w:tcPr>
          <w:p>
            <w:pPr>
              <w:ind w:left="6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308,908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304,205</w:t>
            </w: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Income retained in the business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769,081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718,512</w:t>
            </w: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Treasury stock - 1,724,535 and 2,175,771 shares, respectively of Class A nonvoting</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stock, at cost</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(51,959)</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(66,314)</w:t>
            </w: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109,840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50,905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879"/>
          </w:cols>
          <w:pgMar w:left="580" w:top="931"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960" w:type="dxa"/>
            <w:vAlign w:val="bottom"/>
          </w:tcPr>
          <w:p>
            <w:pPr>
              <w:ind w:left="400"/>
              <w:spacing w:after="0"/>
              <w:rPr>
                <w:sz w:val="20"/>
                <w:szCs w:val="20"/>
                <w:color w:val="auto"/>
              </w:rPr>
            </w:pPr>
            <w:r>
              <w:rPr>
                <w:rFonts w:ascii="Arial" w:cs="Arial" w:eastAsia="Arial" w:hAnsi="Arial"/>
                <w:sz w:val="18"/>
                <w:szCs w:val="18"/>
                <w:b w:val="1"/>
                <w:bCs w:val="1"/>
                <w:color w:val="auto"/>
              </w:rPr>
              <w:t>Total stockholders’ investment</w:t>
            </w: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1,132,155</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1,005,027</w:t>
            </w:r>
          </w:p>
        </w:tc>
        <w:tc>
          <w:tcPr>
            <w:tcW w:w="13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1,860,646</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1,746,531</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left="410"/>
              <w:spacing w:after="0"/>
              <w:rPr>
                <w:sz w:val="20"/>
                <w:szCs w:val="20"/>
                <w:color w:val="auto"/>
              </w:rPr>
            </w:pPr>
            <w:r>
              <w:rPr>
                <w:rFonts w:ascii="Arial" w:cs="Arial" w:eastAsia="Arial" w:hAnsi="Arial"/>
                <w:sz w:val="18"/>
                <w:szCs w:val="18"/>
                <w:color w:val="auto"/>
                <w:w w:val="93"/>
              </w:rPr>
              <w:t>(Unaudited)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8"/>
                <w:szCs w:val="18"/>
                <w:color w:val="auto"/>
                <w:w w:val="91"/>
              </w:rPr>
              <w:t>Nine Months Ended</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96"/>
              </w:rPr>
              <w:t>April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79,069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60,364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37,522</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40,276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portion of restructuring charges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Non-cash portion of stock-based compensation expense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9,396</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7,574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the sale of business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(4,394)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(9,018)</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(4,582)</w:t>
            </w: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71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of effects of business acquisitions/divestitures):</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(17,192)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772</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(5,273)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(8,355)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31,493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4,579</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13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110,446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118,154</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business, net of cash acquired</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(7,970)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(30,431)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Payments of contingent consideration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(979)</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Divestiture of business, net of cash retained in business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12,979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(13,671)</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(20,927)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c>
          <w:tcPr>
            <w:tcW w:w="1360" w:type="dxa"/>
            <w:vAlign w:val="bottom"/>
          </w:tcPr>
          <w:p>
            <w:pPr>
              <w:spacing w:after="0"/>
              <w:rPr>
                <w:sz w:val="18"/>
                <w:szCs w:val="18"/>
                <w:color w:val="auto"/>
              </w:rPr>
            </w:pPr>
          </w:p>
        </w:tc>
      </w:tr>
      <w:tr>
        <w:trPr>
          <w:trHeight w:val="224"/>
        </w:trPr>
        <w:tc>
          <w:tcPr>
            <w:tcW w:w="340" w:type="dxa"/>
            <w:vAlign w:val="bottom"/>
          </w:tcPr>
          <w:p>
            <w:pPr>
              <w:spacing w:after="0"/>
              <w:rPr>
                <w:sz w:val="19"/>
                <w:szCs w:val="19"/>
                <w:color w:val="auto"/>
              </w:rPr>
            </w:pPr>
          </w:p>
        </w:tc>
        <w:tc>
          <w:tcPr>
            <w:tcW w:w="710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(10,020)</w:t>
            </w: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(50,161)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Payment of dividends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(28,500)</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(27,560)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7,154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Principal payments on debt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(42,514)</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(26,143)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Income tax benefit from the exercise of stock options and deferred compensation distribution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1360" w:type="dxa"/>
            <w:vAlign w:val="bottom"/>
          </w:tcPr>
          <w:p>
            <w:pPr>
              <w:spacing w:after="0"/>
              <w:rPr>
                <w:sz w:val="18"/>
                <w:szCs w:val="18"/>
                <w:color w:val="auto"/>
              </w:rPr>
            </w:pPr>
          </w:p>
        </w:tc>
      </w:tr>
      <w:tr>
        <w:trPr>
          <w:trHeight w:val="224"/>
        </w:trPr>
        <w:tc>
          <w:tcPr>
            <w:tcW w:w="340" w:type="dxa"/>
            <w:vAlign w:val="bottom"/>
          </w:tcPr>
          <w:p>
            <w:pPr>
              <w:spacing w:after="0"/>
              <w:rPr>
                <w:sz w:val="19"/>
                <w:szCs w:val="19"/>
                <w:color w:val="auto"/>
              </w:rPr>
            </w:pPr>
          </w:p>
        </w:tc>
        <w:tc>
          <w:tcPr>
            <w:tcW w:w="7100" w:type="dxa"/>
            <w:vAlign w:val="bottom"/>
          </w:tcPr>
          <w:p>
            <w:pPr>
              <w:ind w:left="60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(62,785)</w:t>
            </w: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(50,027)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21,497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59,138</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18,950</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314,840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188,156</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373,978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207,106</w:t>
            </w:r>
          </w:p>
        </w:tc>
        <w:tc>
          <w:tcPr>
            <w:tcW w:w="13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 of capitalized interest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16,349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Income taxes, net of refunds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26,695</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18,296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Fair value of assets acquired, net of cash</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4,624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15,366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 assumed</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4,792</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20,266</w:t>
            </w:r>
          </w:p>
        </w:tc>
        <w:tc>
          <w:tcPr>
            <w:tcW w:w="13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paid for acquisitions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7,970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30,431</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7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color w:val="auto"/>
        </w:rPr>
        <w:t>Information by regional segment for the three and nine months ended April 30, 2011 and 2010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Corporate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Asia-</w:t>
            </w:r>
          </w:p>
        </w:tc>
        <w:tc>
          <w:tcPr>
            <w:tcW w:w="1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and</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Americas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Europe</w:t>
            </w:r>
          </w:p>
        </w:tc>
        <w:tc>
          <w:tcPr>
            <w:tcW w:w="10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Pacific</w:t>
            </w:r>
          </w:p>
        </w:tc>
        <w:tc>
          <w:tcPr>
            <w:tcW w:w="12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Region</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Eliminations</w:t>
            </w: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w:t>
            </w:r>
          </w:p>
        </w:tc>
      </w:tr>
      <w:tr>
        <w:trPr>
          <w:trHeight w:val="210"/>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SALES TO EXTERNAL CUSTOMERS</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80" w:type="dxa"/>
            <w:vAlign w:val="bottom"/>
            <w:shd w:val="clear" w:color="auto" w:fill="CCEEFF"/>
          </w:tcPr>
          <w:p>
            <w:pPr>
              <w:jc w:val="center"/>
              <w:ind w:right="1950"/>
              <w:spacing w:after="0"/>
              <w:rPr>
                <w:sz w:val="20"/>
                <w:szCs w:val="20"/>
                <w:color w:val="auto"/>
              </w:rPr>
            </w:pPr>
            <w:r>
              <w:rPr>
                <w:rFonts w:ascii="Arial" w:cs="Arial" w:eastAsia="Arial" w:hAnsi="Arial"/>
                <w:sz w:val="18"/>
                <w:szCs w:val="18"/>
                <w:color w:val="auto"/>
                <w:w w:val="93"/>
              </w:rPr>
              <w:t>April 30, 2011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149,217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105,894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82,785</w:t>
            </w:r>
          </w:p>
        </w:tc>
        <w:tc>
          <w:tcPr>
            <w:tcW w:w="11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4"/>
              </w:rPr>
              <w:t>$ 337,896</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$ 337,896</w:t>
            </w:r>
          </w:p>
        </w:tc>
      </w:tr>
      <w:tr>
        <w:trPr>
          <w:trHeight w:val="230"/>
        </w:trPr>
        <w:tc>
          <w:tcPr>
            <w:tcW w:w="3480" w:type="dxa"/>
            <w:vAlign w:val="bottom"/>
          </w:tcPr>
          <w:p>
            <w:pPr>
              <w:jc w:val="center"/>
              <w:ind w:right="1950"/>
              <w:spacing w:after="0"/>
              <w:rPr>
                <w:sz w:val="20"/>
                <w:szCs w:val="20"/>
                <w:color w:val="auto"/>
              </w:rPr>
            </w:pPr>
            <w:r>
              <w:rPr>
                <w:rFonts w:ascii="Arial" w:cs="Arial" w:eastAsia="Arial" w:hAnsi="Arial"/>
                <w:sz w:val="18"/>
                <w:szCs w:val="18"/>
                <w:color w:val="auto"/>
                <w:w w:val="93"/>
              </w:rPr>
              <w:t>April 30, 2010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144,413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98,152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79,322</w:t>
            </w: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$ 321,887</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$ 321,887</w:t>
            </w:r>
          </w:p>
        </w:tc>
      </w:tr>
      <w:tr>
        <w:trPr>
          <w:trHeight w:val="202"/>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480" w:type="dxa"/>
            <w:vAlign w:val="bottom"/>
            <w:shd w:val="clear" w:color="auto" w:fill="CCEEFF"/>
          </w:tcPr>
          <w:p>
            <w:pPr>
              <w:jc w:val="center"/>
              <w:ind w:right="1950"/>
              <w:spacing w:after="0"/>
              <w:rPr>
                <w:sz w:val="20"/>
                <w:szCs w:val="20"/>
                <w:color w:val="auto"/>
              </w:rPr>
            </w:pPr>
            <w:r>
              <w:rPr>
                <w:rFonts w:ascii="Arial" w:cs="Arial" w:eastAsia="Arial" w:hAnsi="Arial"/>
                <w:sz w:val="18"/>
                <w:szCs w:val="18"/>
                <w:color w:val="auto"/>
                <w:w w:val="89"/>
              </w:rPr>
              <w:t>Nine months ended: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80" w:type="dxa"/>
            <w:vAlign w:val="bottom"/>
          </w:tcPr>
          <w:p>
            <w:pPr>
              <w:jc w:val="center"/>
              <w:ind w:right="1950"/>
              <w:spacing w:after="0"/>
              <w:rPr>
                <w:sz w:val="20"/>
                <w:szCs w:val="20"/>
                <w:color w:val="auto"/>
              </w:rPr>
            </w:pPr>
            <w:r>
              <w:rPr>
                <w:rFonts w:ascii="Arial" w:cs="Arial" w:eastAsia="Arial" w:hAnsi="Arial"/>
                <w:sz w:val="18"/>
                <w:szCs w:val="18"/>
                <w:color w:val="auto"/>
                <w:w w:val="93"/>
              </w:rPr>
              <w:t>April 30, 2011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431,216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301,985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263,292</w:t>
            </w:r>
          </w:p>
        </w:tc>
        <w:tc>
          <w:tcPr>
            <w:tcW w:w="14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$ 996,493</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$ 996,493</w:t>
            </w:r>
          </w:p>
        </w:tc>
      </w:tr>
      <w:tr>
        <w:trPr>
          <w:trHeight w:val="216"/>
        </w:trPr>
        <w:tc>
          <w:tcPr>
            <w:tcW w:w="3480" w:type="dxa"/>
            <w:vAlign w:val="bottom"/>
            <w:shd w:val="clear" w:color="auto" w:fill="CCEEFF"/>
          </w:tcPr>
          <w:p>
            <w:pPr>
              <w:jc w:val="center"/>
              <w:ind w:right="1950"/>
              <w:spacing w:after="0"/>
              <w:rPr>
                <w:sz w:val="20"/>
                <w:szCs w:val="20"/>
                <w:color w:val="auto"/>
              </w:rPr>
            </w:pPr>
            <w:r>
              <w:rPr>
                <w:rFonts w:ascii="Arial" w:cs="Arial" w:eastAsia="Arial" w:hAnsi="Arial"/>
                <w:sz w:val="18"/>
                <w:szCs w:val="18"/>
                <w:color w:val="auto"/>
                <w:w w:val="93"/>
              </w:rPr>
              <w:t>April 30, 2010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402,255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289,101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244,846</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4"/>
              </w:rPr>
              <w:t>$ 936,202</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$ 936,202</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SALES GROWTH INFORMATION</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April 30, 2011: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Base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ind w:right="1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Acquisitions/Divestitures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ind w:right="1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Nine months ended April 30, 2011:</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Currency</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ind w:right="1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0.9%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Acquisitions/Divestitures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0" w:type="dxa"/>
            <w:vAlign w:val="bottom"/>
            <w:vMerge w:val="restart"/>
          </w:tcPr>
          <w:p>
            <w:pPr>
              <w:ind w:left="40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tcPr>
          <w:p>
            <w:pPr>
              <w:spacing w:after="0"/>
              <w:rPr>
                <w:sz w:val="19"/>
                <w:szCs w:val="19"/>
                <w:color w:val="auto"/>
              </w:rPr>
            </w:pPr>
          </w:p>
        </w:tc>
        <w:tc>
          <w:tcPr>
            <w:tcW w:w="32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1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30, 2011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38,292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28,938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80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77,206</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8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(3,561)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73,645</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April 30, 2010</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33,858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27,472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12,775</w:t>
            </w:r>
          </w:p>
        </w:tc>
        <w:tc>
          <w:tcPr>
            <w:tcW w:w="4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w:t>
            </w:r>
          </w:p>
        </w:tc>
        <w:tc>
          <w:tcPr>
            <w:tcW w:w="800" w:type="dxa"/>
            <w:vAlign w:val="bottom"/>
            <w:gridSpan w:val="4"/>
          </w:tcPr>
          <w:p>
            <w:pPr>
              <w:jc w:val="right"/>
              <w:ind w:right="110"/>
              <w:spacing w:after="0"/>
              <w:rPr>
                <w:sz w:val="20"/>
                <w:szCs w:val="20"/>
                <w:color w:val="auto"/>
              </w:rPr>
            </w:pPr>
            <w:r>
              <w:rPr>
                <w:rFonts w:ascii="Arial" w:cs="Arial" w:eastAsia="Arial" w:hAnsi="Arial"/>
                <w:sz w:val="18"/>
                <w:szCs w:val="18"/>
                <w:color w:val="auto"/>
              </w:rPr>
              <w:t>74,105</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1080" w:type="dxa"/>
            <w:vAlign w:val="bottom"/>
            <w:gridSpan w:val="5"/>
          </w:tcPr>
          <w:p>
            <w:pPr>
              <w:jc w:val="right"/>
              <w:ind w:right="50"/>
              <w:spacing w:after="0"/>
              <w:rPr>
                <w:sz w:val="20"/>
                <w:szCs w:val="20"/>
                <w:color w:val="auto"/>
              </w:rPr>
            </w:pPr>
            <w:r>
              <w:rPr>
                <w:rFonts w:ascii="Arial" w:cs="Arial" w:eastAsia="Arial" w:hAnsi="Arial"/>
                <w:sz w:val="18"/>
                <w:szCs w:val="18"/>
                <w:color w:val="auto"/>
              </w:rPr>
              <w:t>(3,558)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70,547</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Percentage increase (decrease)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Nine months ended: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30, 2011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108,666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82,165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38,330</w:t>
            </w:r>
          </w:p>
        </w:tc>
        <w:tc>
          <w:tcPr>
            <w:tcW w:w="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80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w w:val="89"/>
              </w:rPr>
              <w:t>229,161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8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(12,087)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217,074</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April 30, 2010</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90,205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78,281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38,589</w:t>
            </w:r>
          </w:p>
        </w:tc>
        <w:tc>
          <w:tcPr>
            <w:tcW w:w="4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w:t>
            </w:r>
          </w:p>
        </w:tc>
        <w:tc>
          <w:tcPr>
            <w:tcW w:w="800" w:type="dxa"/>
            <w:vAlign w:val="bottom"/>
            <w:gridSpan w:val="4"/>
          </w:tcPr>
          <w:p>
            <w:pPr>
              <w:jc w:val="right"/>
              <w:ind w:right="110"/>
              <w:spacing w:after="0"/>
              <w:rPr>
                <w:sz w:val="20"/>
                <w:szCs w:val="20"/>
                <w:color w:val="auto"/>
              </w:rPr>
            </w:pPr>
            <w:r>
              <w:rPr>
                <w:rFonts w:ascii="Arial" w:cs="Arial" w:eastAsia="Arial" w:hAnsi="Arial"/>
                <w:sz w:val="18"/>
                <w:szCs w:val="18"/>
                <w:color w:val="auto"/>
                <w:w w:val="89"/>
              </w:rPr>
              <w:t>207,075</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1080" w:type="dxa"/>
            <w:vAlign w:val="bottom"/>
            <w:gridSpan w:val="5"/>
          </w:tcPr>
          <w:p>
            <w:pPr>
              <w:jc w:val="right"/>
              <w:ind w:right="50"/>
              <w:spacing w:after="0"/>
              <w:rPr>
                <w:sz w:val="20"/>
                <w:szCs w:val="20"/>
                <w:color w:val="auto"/>
              </w:rPr>
            </w:pPr>
            <w:r>
              <w:rPr>
                <w:rFonts w:ascii="Arial" w:cs="Arial" w:eastAsia="Arial" w:hAnsi="Arial"/>
                <w:sz w:val="18"/>
                <w:szCs w:val="18"/>
                <w:color w:val="auto"/>
              </w:rPr>
              <w:t>(10,161)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196,914</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Percentage increase (decrease)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10"/>
          </w:tcPr>
          <w:p>
            <w:pPr>
              <w:ind w:left="28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9"/>
          </w:tcPr>
          <w:p>
            <w:pPr>
              <w:jc w:val="right"/>
              <w:ind w:right="520"/>
              <w:spacing w:after="0"/>
              <w:rPr>
                <w:sz w:val="20"/>
                <w:szCs w:val="20"/>
                <w:color w:val="auto"/>
              </w:rPr>
            </w:pPr>
            <w:r>
              <w:rPr>
                <w:rFonts w:ascii="Arial" w:cs="Arial" w:eastAsia="Arial" w:hAnsi="Arial"/>
                <w:sz w:val="18"/>
                <w:szCs w:val="18"/>
                <w:color w:val="auto"/>
                <w:w w:val="90"/>
              </w:rPr>
              <w:t>Nine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4"/>
          </w:tcPr>
          <w:p>
            <w:pPr>
              <w:jc w:val="right"/>
              <w:ind w:right="240"/>
              <w:spacing w:after="0" w:line="195" w:lineRule="exact"/>
              <w:rPr>
                <w:sz w:val="20"/>
                <w:szCs w:val="20"/>
                <w:color w:val="auto"/>
              </w:rPr>
            </w:pPr>
            <w:r>
              <w:rPr>
                <w:rFonts w:ascii="Arial" w:cs="Arial" w:eastAsia="Arial" w:hAnsi="Arial"/>
                <w:sz w:val="18"/>
                <w:szCs w:val="18"/>
                <w:color w:val="auto"/>
                <w:w w:val="96"/>
              </w:rPr>
              <w:t>April 30,</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4"/>
          </w:tcPr>
          <w:p>
            <w:pPr>
              <w:jc w:val="center"/>
              <w:ind w:left="70"/>
              <w:spacing w:after="0" w:line="195" w:lineRule="exact"/>
              <w:rPr>
                <w:sz w:val="20"/>
                <w:szCs w:val="20"/>
                <w:color w:val="auto"/>
              </w:rPr>
            </w:pPr>
            <w:r>
              <w:rPr>
                <w:rFonts w:ascii="Arial" w:cs="Arial" w:eastAsia="Arial" w:hAnsi="Arial"/>
                <w:sz w:val="18"/>
                <w:szCs w:val="18"/>
                <w:color w:val="auto"/>
                <w:w w:val="99"/>
              </w:rPr>
              <w:t>April 30,</w:t>
            </w:r>
          </w:p>
        </w:tc>
        <w:tc>
          <w:tcPr>
            <w:tcW w:w="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Borders>
              <w:top w:val="single" w:sz="8" w:color="auto"/>
            </w:tcBorders>
            <w:gridSpan w:val="5"/>
          </w:tcPr>
          <w:p>
            <w:pPr>
              <w:jc w:val="right"/>
              <w:ind w:right="240"/>
              <w:spacing w:after="0" w:line="195" w:lineRule="exact"/>
              <w:rPr>
                <w:sz w:val="20"/>
                <w:szCs w:val="20"/>
                <w:color w:val="auto"/>
              </w:rPr>
            </w:pPr>
            <w:r>
              <w:rPr>
                <w:rFonts w:ascii="Arial" w:cs="Arial" w:eastAsia="Arial" w:hAnsi="Arial"/>
                <w:sz w:val="18"/>
                <w:szCs w:val="18"/>
                <w:color w:val="auto"/>
              </w:rPr>
              <w:t>April 30,</w:t>
            </w: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April 30,</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2011</w:t>
            </w: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2010</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2010</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profit for reportable segments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77,206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74,105</w:t>
            </w:r>
          </w:p>
        </w:tc>
        <w:tc>
          <w:tcPr>
            <w:tcW w:w="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229,161</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207,075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5"/>
          </w:tcPr>
          <w:p>
            <w:pPr>
              <w:jc w:val="right"/>
              <w:ind w:right="85"/>
              <w:spacing w:after="0"/>
              <w:rPr>
                <w:sz w:val="20"/>
                <w:szCs w:val="20"/>
                <w:color w:val="auto"/>
              </w:rPr>
            </w:pPr>
            <w:r>
              <w:rPr>
                <w:rFonts w:ascii="Arial" w:cs="Arial" w:eastAsia="Arial" w:hAnsi="Arial"/>
                <w:sz w:val="18"/>
                <w:szCs w:val="18"/>
                <w:color w:val="auto"/>
              </w:rPr>
              <w:t>(3,561)</w:t>
            </w:r>
          </w:p>
        </w:tc>
        <w:tc>
          <w:tcPr>
            <w:tcW w:w="5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(3,558)</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(12,087)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(10,161)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5"/>
          </w:tcPr>
          <w:p>
            <w:pPr>
              <w:jc w:val="right"/>
              <w:ind w:right="85"/>
              <w:spacing w:after="0"/>
              <w:rPr>
                <w:sz w:val="20"/>
                <w:szCs w:val="20"/>
                <w:color w:val="auto"/>
              </w:rPr>
            </w:pPr>
            <w:r>
              <w:rPr>
                <w:rFonts w:ascii="Arial" w:cs="Arial" w:eastAsia="Arial" w:hAnsi="Arial"/>
                <w:sz w:val="18"/>
                <w:szCs w:val="18"/>
                <w:color w:val="auto"/>
              </w:rPr>
              <w:t>(31,563)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(32,286)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(90,534)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(91,944)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85"/>
              <w:spacing w:after="0"/>
              <w:rPr>
                <w:sz w:val="20"/>
                <w:szCs w:val="20"/>
                <w:color w:val="auto"/>
              </w:rPr>
            </w:pPr>
            <w:r>
              <w:rPr>
                <w:rFonts w:ascii="Arial" w:cs="Arial" w:eastAsia="Arial" w:hAnsi="Arial"/>
                <w:sz w:val="18"/>
                <w:szCs w:val="18"/>
                <w:color w:val="auto"/>
              </w:rPr>
              <w:t>(1,211)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(2,347)</w:t>
            </w:r>
          </w:p>
        </w:tc>
        <w:tc>
          <w:tcPr>
            <w:tcW w:w="2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(9,597)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Investment and other income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1,428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2,892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1,273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85"/>
              <w:spacing w:after="0"/>
              <w:rPr>
                <w:sz w:val="20"/>
                <w:szCs w:val="20"/>
                <w:color w:val="auto"/>
              </w:rPr>
            </w:pPr>
            <w:r>
              <w:rPr>
                <w:rFonts w:ascii="Arial" w:cs="Arial" w:eastAsia="Arial" w:hAnsi="Arial"/>
                <w:sz w:val="18"/>
                <w:szCs w:val="18"/>
                <w:color w:val="auto"/>
              </w:rPr>
              <w:t>(5,103)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(5,147)</w:t>
            </w:r>
          </w:p>
        </w:tc>
        <w:tc>
          <w:tcPr>
            <w:tcW w:w="2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(16,640)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(15,472)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37,196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7"/>
              </w:rPr>
              <w:t>30,888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105,806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81,174</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85"/>
              <w:spacing w:after="0"/>
              <w:rPr>
                <w:sz w:val="20"/>
                <w:szCs w:val="20"/>
                <w:color w:val="auto"/>
              </w:rPr>
            </w:pPr>
            <w:r>
              <w:rPr>
                <w:rFonts w:ascii="Arial" w:cs="Arial" w:eastAsia="Arial" w:hAnsi="Arial"/>
                <w:sz w:val="18"/>
                <w:szCs w:val="18"/>
                <w:color w:val="auto"/>
              </w:rPr>
              <w:t>(8,607)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(7,193)</w:t>
            </w:r>
          </w:p>
        </w:tc>
        <w:tc>
          <w:tcPr>
            <w:tcW w:w="2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(26,737)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(20,810)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28,589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23,695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79,069</w:t>
            </w:r>
          </w:p>
        </w:tc>
        <w:tc>
          <w:tcPr>
            <w:tcW w:w="10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60,364</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left="8" w:right="4019"/>
        <w:spacing w:after="0" w:line="282"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p>
      <w:pPr>
        <w:spacing w:after="0" w:line="166"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2011</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Q1</w:t>
            </w:r>
          </w:p>
        </w:tc>
        <w:tc>
          <w:tcPr>
            <w:tcW w:w="22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Q2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Q3</w:t>
            </w:r>
          </w:p>
        </w:tc>
        <w:tc>
          <w:tcPr>
            <w:tcW w:w="240" w:type="dxa"/>
            <w:vAlign w:val="bottom"/>
          </w:tcPr>
          <w:p>
            <w:pPr>
              <w:spacing w:after="0"/>
              <w:rPr>
                <w:sz w:val="18"/>
                <w:szCs w:val="18"/>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Q4</w:t>
            </w:r>
          </w:p>
        </w:tc>
        <w:tc>
          <w:tcPr>
            <w:tcW w:w="20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26,281</w:t>
            </w:r>
          </w:p>
        </w:tc>
        <w:tc>
          <w:tcPr>
            <w:tcW w:w="4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24,199</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28,589</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79,069</w:t>
            </w: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5,103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16,640</w:t>
            </w:r>
          </w:p>
        </w:tc>
      </w:tr>
      <w:tr>
        <w:trPr>
          <w:trHeight w:val="216"/>
        </w:trPr>
        <w:tc>
          <w:tcPr>
            <w:tcW w:w="322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9,925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8,205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8,607</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26,737</w:t>
            </w: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12,020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37,522</w:t>
            </w:r>
          </w:p>
        </w:tc>
      </w:tr>
      <w:tr>
        <w:trPr>
          <w:trHeight w:val="20"/>
        </w:trPr>
        <w:tc>
          <w:tcPr>
            <w:tcW w:w="3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22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54,487</w:t>
            </w:r>
          </w:p>
        </w:tc>
        <w:tc>
          <w:tcPr>
            <w:tcW w:w="42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51,162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54,319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159,968</w:t>
            </w:r>
          </w:p>
        </w:tc>
      </w:tr>
      <w:tr>
        <w:trPr>
          <w:trHeight w:val="20"/>
        </w:trPr>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2010</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Q1</w:t>
            </w:r>
          </w:p>
        </w:tc>
        <w:tc>
          <w:tcPr>
            <w:tcW w:w="22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Q2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Q3</w:t>
            </w:r>
          </w:p>
        </w:tc>
        <w:tc>
          <w:tcPr>
            <w:tcW w:w="240" w:type="dxa"/>
            <w:vAlign w:val="bottom"/>
          </w:tcPr>
          <w:p>
            <w:pPr>
              <w:spacing w:after="0"/>
              <w:rPr>
                <w:sz w:val="18"/>
                <w:szCs w:val="18"/>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Q4</w:t>
            </w:r>
          </w:p>
        </w:tc>
        <w:tc>
          <w:tcPr>
            <w:tcW w:w="20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21,668</w:t>
            </w:r>
          </w:p>
        </w:tc>
        <w:tc>
          <w:tcPr>
            <w:tcW w:w="4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15,001</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23,695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21,592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81,956</w:t>
            </w: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5,147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5,750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21,222</w:t>
            </w:r>
          </w:p>
        </w:tc>
      </w:tr>
      <w:tr>
        <w:trPr>
          <w:trHeight w:val="216"/>
        </w:trPr>
        <w:tc>
          <w:tcPr>
            <w:tcW w:w="322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8,775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4,842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7,193</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6,636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27,446</w:t>
            </w: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12,746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53,022</w:t>
            </w:r>
          </w:p>
        </w:tc>
      </w:tr>
      <w:tr>
        <w:trPr>
          <w:trHeight w:val="20"/>
        </w:trPr>
        <w:tc>
          <w:tcPr>
            <w:tcW w:w="3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22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49,422</w:t>
            </w:r>
          </w:p>
        </w:tc>
        <w:tc>
          <w:tcPr>
            <w:tcW w:w="42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38,555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48,945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46,724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183,646</w:t>
            </w:r>
          </w:p>
        </w:tc>
      </w:tr>
      <w:tr>
        <w:trPr>
          <w:trHeight w:val="20"/>
        </w:trPr>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3" w:lineRule="exact"/>
        <w:rPr>
          <w:sz w:val="20"/>
          <w:szCs w:val="20"/>
          <w:color w:val="auto"/>
        </w:rPr>
      </w:pPr>
    </w:p>
    <w:p>
      <w:pPr>
        <w:ind w:left="388" w:right="219" w:hanging="388"/>
        <w:spacing w:after="0" w:line="291" w:lineRule="auto"/>
        <w:tabs>
          <w:tab w:leader="none" w:pos="388" w:val="left"/>
        </w:tabs>
        <w:numPr>
          <w:ilvl w:val="0"/>
          <w:numId w:val="2"/>
        </w:numPr>
        <w:rPr>
          <w:rFonts w:ascii="Arial" w:cs="Arial" w:eastAsia="Arial" w:hAnsi="Arial"/>
          <w:sz w:val="16"/>
          <w:szCs w:val="16"/>
          <w:color w:val="auto"/>
        </w:rPr>
      </w:pPr>
      <w:r>
        <w:rPr>
          <w:rFonts w:ascii="Arial" w:cs="Arial" w:eastAsia="Arial" w:hAnsi="Arial"/>
          <w:sz w:val="16"/>
          <w:szCs w:val="16"/>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sectPr>
      <w:pgSz w:w="11900" w:h="16838" w:orient="portrait"/>
      <w:cols w:equalWidth="0" w:num="1">
        <w:col w:w="9887"/>
      </w:cols>
      <w:pgMar w:left="572"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2019-12-10T06:36:34Z</dcterms:created>
  <dcterms:modified xsi:type="dcterms:W3CDTF">2019-12-10T06:36:34Z</dcterms:modified>
</cp:coreProperties>
</file>