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1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5401945</wp:posOffset>
            </wp:positionH>
            <wp:positionV relativeFrom="paragraph">
              <wp:posOffset>-625475</wp:posOffset>
            </wp:positionV>
            <wp:extent cx="8255" cy="626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4090035</wp:posOffset>
            </wp:positionH>
            <wp:positionV relativeFrom="paragraph">
              <wp:posOffset>-633730</wp:posOffset>
            </wp:positionV>
            <wp:extent cx="825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4115435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-1518920</wp:posOffset>
            </wp:positionH>
            <wp:positionV relativeFrom="paragraph">
              <wp:posOffset>40640</wp:posOffset>
            </wp:positionV>
            <wp:extent cx="6964045" cy="1666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294 restricted stock units that vested on September 22,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2020-09-23T14:15:53Z</dcterms:created>
  <dcterms:modified xsi:type="dcterms:W3CDTF">2020-09-23T14:15:53Z</dcterms:modified>
</cp:coreProperties>
</file>