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23495</wp:posOffset>
            </wp:positionH>
            <wp:positionV relativeFrom="paragraph">
              <wp:posOffset>-10795</wp:posOffset>
            </wp:positionV>
            <wp:extent cx="141605" cy="1911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05" cy="19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40" w:right="340" w:hanging="257"/>
        <w:spacing w:after="0" w:line="182" w:lineRule="auto"/>
        <w:tabs>
          <w:tab w:leader="none" w:pos="34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-633730</wp:posOffset>
            </wp:positionV>
            <wp:extent cx="58420" cy="6470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4092575</wp:posOffset>
            </wp:positionH>
            <wp:positionV relativeFrom="paragraph">
              <wp:posOffset>-633730</wp:posOffset>
            </wp:positionV>
            <wp:extent cx="58420" cy="6470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17145</wp:posOffset>
            </wp:positionV>
            <wp:extent cx="7325360" cy="49231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923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480"/>
            <w:col w:w="878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WILLIAMSON MATTHEW 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4" w:right="720" w:firstLine="4"/>
        <w:spacing w:after="0" w:line="241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1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Americas VP Brady Corp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9"/>
              </w:rPr>
              <w:t>1. Title of Security (Instr. 3)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Class A Common Stock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11/20/2012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1,300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Class A Common Stock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11/21/2012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6,700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31.0121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4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0.1074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14,919.3693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(1)(2)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40" w:right="520" w:firstLine="4"/>
        <w:spacing w:after="0" w:line="321" w:lineRule="auto"/>
        <w:tabs>
          <w:tab w:leader="none" w:pos="170" w:val="left"/>
        </w:tabs>
        <w:numPr>
          <w:ilvl w:val="0"/>
          <w:numId w:val="3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88.5801 shares acquired pursuant to a deferred compensation dividend on November 2, 2012.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Sherilyn Whitmoyer, as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11/21/2012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6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40" w:firstLine="4"/>
        <w:spacing w:after="0" w:line="312" w:lineRule="auto"/>
        <w:tabs>
          <w:tab w:leader="none" w:pos="178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2019-12-16T04:25:15Z</dcterms:created>
  <dcterms:modified xsi:type="dcterms:W3CDTF">2019-12-16T04:25:15Z</dcterms:modified>
</cp:coreProperties>
</file>