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3*</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 BRADY CORPORATION</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 Class A Common Stock</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 104674106</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this Statement: 12/31/2023</w:t>
      </w:r>
    </w:p>
    <w:p>
      <w:pPr>
        <w:spacing w:after="0" w:line="200" w:lineRule="exact"/>
        <w:rPr>
          <w:sz w:val="24"/>
          <w:szCs w:val="24"/>
          <w:color w:val="auto"/>
        </w:rPr>
      </w:pPr>
    </w:p>
    <w:p>
      <w:pPr>
        <w:spacing w:after="0" w:line="204" w:lineRule="exact"/>
        <w:rPr>
          <w:sz w:val="24"/>
          <w:szCs w:val="24"/>
          <w:color w:val="auto"/>
        </w:rPr>
      </w:pPr>
    </w:p>
    <w:p>
      <w:pPr>
        <w:ind w:right="275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1" w:lineRule="exact"/>
        <w:rPr>
          <w:sz w:val="24"/>
          <w:szCs w:val="24"/>
          <w:color w:val="auto"/>
        </w:rPr>
      </w:pPr>
    </w:p>
    <w:p>
      <w:pPr>
        <w:jc w:val="both"/>
        <w:ind w:right="2759" w:firstLine="8"/>
        <w:spacing w:after="0" w:line="318" w:lineRule="auto"/>
        <w:tabs>
          <w:tab w:leader="none" w:pos="21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52" w:lineRule="exact"/>
        <w:rPr>
          <w:sz w:val="24"/>
          <w:szCs w:val="24"/>
          <w:color w:val="auto"/>
        </w:rPr>
      </w:pPr>
    </w:p>
    <w:p>
      <w:pPr>
        <w:jc w:val="both"/>
        <w:ind w:right="265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9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104674106</w:t>
      </w:r>
    </w:p>
    <w:p>
      <w:pPr>
        <w:spacing w:after="0" w:line="201"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420" w:right="455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Janus Henderson Group plc</w:t>
      </w: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EIN #00-0000000</w:t>
      </w:r>
    </w:p>
    <w:p>
      <w:pPr>
        <w:spacing w:after="0" w:line="16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9" w:lineRule="exact"/>
        <w:rPr>
          <w:sz w:val="24"/>
          <w:szCs w:val="24"/>
          <w:color w:val="auto"/>
        </w:rPr>
      </w:pPr>
    </w:p>
    <w:p>
      <w:pPr>
        <w:ind w:left="960" w:hanging="531"/>
        <w:spacing w:after="0"/>
        <w:tabs>
          <w:tab w:leader="none" w:pos="9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w:t>
      </w:r>
    </w:p>
    <w:p>
      <w:pPr>
        <w:ind w:left="960" w:hanging="531"/>
        <w:spacing w:after="0"/>
        <w:tabs>
          <w:tab w:leader="none" w:pos="9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w:t>
      </w:r>
    </w:p>
    <w:p>
      <w:pPr>
        <w:spacing w:after="0" w:line="16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960" w:right="5919" w:hanging="952"/>
        <w:spacing w:after="0" w:line="402" w:lineRule="auto"/>
        <w:tabs>
          <w:tab w:leader="none" w:pos="434"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Jersey, Channel Islands</w:t>
      </w: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p>
      <w:pPr>
        <w:ind w:left="540" w:right="7819" w:hanging="532"/>
        <w:spacing w:after="0" w:line="346"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w:t>
      </w:r>
    </w:p>
    <w:p>
      <w:pPr>
        <w:spacing w:after="0" w:line="19" w:lineRule="exact"/>
        <w:rPr>
          <w:rFonts w:ascii="Courier New" w:cs="Courier New" w:eastAsia="Courier New" w:hAnsi="Courier New"/>
          <w:sz w:val="18"/>
          <w:szCs w:val="18"/>
          <w:color w:val="auto"/>
        </w:rPr>
      </w:pPr>
    </w:p>
    <w:p>
      <w:pPr>
        <w:ind w:left="540" w:right="7599" w:hanging="532"/>
        <w:spacing w:after="0" w:line="346"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1,278,791**</w:t>
      </w:r>
    </w:p>
    <w:p>
      <w:pPr>
        <w:spacing w:after="0" w:line="19" w:lineRule="exact"/>
        <w:rPr>
          <w:rFonts w:ascii="Courier New" w:cs="Courier New" w:eastAsia="Courier New" w:hAnsi="Courier New"/>
          <w:sz w:val="18"/>
          <w:szCs w:val="18"/>
          <w:color w:val="auto"/>
        </w:rPr>
      </w:pPr>
    </w:p>
    <w:p>
      <w:pPr>
        <w:ind w:left="540" w:right="7279" w:hanging="532"/>
        <w:spacing w:after="0" w:line="346"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w:t>
      </w:r>
    </w:p>
    <w:p>
      <w:pPr>
        <w:spacing w:after="0" w:line="19" w:lineRule="exact"/>
        <w:rPr>
          <w:rFonts w:ascii="Courier New" w:cs="Courier New" w:eastAsia="Courier New" w:hAnsi="Courier New"/>
          <w:sz w:val="18"/>
          <w:szCs w:val="18"/>
          <w:color w:val="auto"/>
        </w:rPr>
      </w:pPr>
    </w:p>
    <w:p>
      <w:pPr>
        <w:ind w:left="540" w:right="7079" w:hanging="532"/>
        <w:spacing w:after="0" w:line="346"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1,278,791**</w:t>
      </w:r>
    </w:p>
    <w:p>
      <w:pPr>
        <w:spacing w:after="0" w:line="19" w:lineRule="exact"/>
        <w:rPr>
          <w:rFonts w:ascii="Courier New" w:cs="Courier New" w:eastAsia="Courier New" w:hAnsi="Courier New"/>
          <w:sz w:val="18"/>
          <w:szCs w:val="18"/>
          <w:color w:val="auto"/>
        </w:rPr>
      </w:pPr>
    </w:p>
    <w:p>
      <w:pPr>
        <w:ind w:left="540" w:right="3279" w:hanging="532"/>
        <w:spacing w:after="0" w:line="346"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1,278,791**</w:t>
      </w:r>
    </w:p>
    <w:p>
      <w:pPr>
        <w:spacing w:after="0" w:line="19" w:lineRule="exact"/>
        <w:rPr>
          <w:rFonts w:ascii="Courier New" w:cs="Courier New" w:eastAsia="Courier New" w:hAnsi="Courier New"/>
          <w:sz w:val="18"/>
          <w:szCs w:val="18"/>
          <w:color w:val="auto"/>
        </w:rPr>
      </w:pPr>
    </w:p>
    <w:p>
      <w:pPr>
        <w:ind w:right="3179" w:firstLine="8"/>
        <w:spacing w:after="0" w:line="257" w:lineRule="auto"/>
        <w:tabs>
          <w:tab w:leader="none" w:pos="52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ectPr>
          <w:pgSz w:w="11900" w:h="16838" w:orient="portrait"/>
          <w:cols w:equalWidth="0" w:num="1">
            <w:col w:w="10139"/>
          </w:cols>
          <w:pgMar w:left="320" w:top="218" w:right="1440" w:bottom="0" w:gutter="0" w:footer="0" w:header="0"/>
        </w:sectPr>
      </w:pPr>
    </w:p>
    <w:bookmarkStart w:id="1" w:name="page2"/>
    <w:bookmarkEnd w:id="1"/>
    <w:p>
      <w:pPr>
        <w:ind w:left="420" w:right="4559" w:hanging="412"/>
        <w:spacing w:after="0" w:line="346" w:lineRule="auto"/>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2.9%**</w:t>
      </w:r>
    </w:p>
    <w:p>
      <w:pPr>
        <w:spacing w:after="0" w:line="19" w:lineRule="exact"/>
        <w:rPr>
          <w:rFonts w:ascii="Courier New" w:cs="Courier New" w:eastAsia="Courier New" w:hAnsi="Courier New"/>
          <w:sz w:val="18"/>
          <w:szCs w:val="18"/>
          <w:color w:val="auto"/>
        </w:rPr>
      </w:pPr>
    </w:p>
    <w:p>
      <w:pPr>
        <w:ind w:left="420" w:right="7179" w:hanging="412"/>
        <w:spacing w:after="0" w:line="346" w:lineRule="auto"/>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HC</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See Item 4 of this filing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3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Name of Issuer: BRADY CORPORATION ("Brady")</w:t>
      </w:r>
    </w:p>
    <w:p>
      <w:pPr>
        <w:spacing w:after="0" w:line="16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(b). Address of Issuer's Principal Executive Offices: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6555 West Good Hope Road</w:t>
      </w:r>
    </w:p>
    <w:p>
      <w:pPr>
        <w:spacing w:after="0" w:line="3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Milwaukee, Wisconsin 53223</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(a).-(c). Name, Principal Business Address, and Citizenship of</w:t>
      </w:r>
    </w:p>
    <w:p>
      <w:pPr>
        <w:ind w:left="220"/>
        <w:spacing w:after="0"/>
        <w:rPr>
          <w:sz w:val="20"/>
          <w:szCs w:val="20"/>
          <w:color w:val="auto"/>
        </w:rPr>
      </w:pPr>
      <w:r>
        <w:rPr>
          <w:rFonts w:ascii="Courier New" w:cs="Courier New" w:eastAsia="Courier New" w:hAnsi="Courier New"/>
          <w:sz w:val="18"/>
          <w:szCs w:val="18"/>
          <w:color w:val="auto"/>
        </w:rPr>
        <w:t>Persons Filing:</w:t>
      </w:r>
    </w:p>
    <w:p>
      <w:pPr>
        <w:spacing w:after="0" w:line="169" w:lineRule="exact"/>
        <w:rPr>
          <w:sz w:val="20"/>
          <w:szCs w:val="20"/>
          <w:color w:val="auto"/>
        </w:rPr>
      </w:pPr>
    </w:p>
    <w:p>
      <w:pPr>
        <w:ind w:left="1480" w:right="6019" w:hanging="524"/>
        <w:spacing w:after="0" w:line="257" w:lineRule="auto"/>
        <w:tabs>
          <w:tab w:leader="none" w:pos="14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Janus Henderson Group plc 201 Bishopsgate</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EC2M 3AE, United Kingdom</w:t>
      </w:r>
    </w:p>
    <w:p>
      <w:pPr>
        <w:ind w:left="860"/>
        <w:spacing w:after="0"/>
        <w:rPr>
          <w:sz w:val="20"/>
          <w:szCs w:val="20"/>
          <w:color w:val="auto"/>
        </w:rPr>
      </w:pPr>
      <w:r>
        <w:rPr>
          <w:rFonts w:ascii="Courier New" w:cs="Courier New" w:eastAsia="Courier New" w:hAnsi="Courier New"/>
          <w:sz w:val="18"/>
          <w:szCs w:val="18"/>
          <w:color w:val="auto"/>
        </w:rPr>
        <w:t>Citizenship: Jersey, Channel Islands</w:t>
      </w:r>
    </w:p>
    <w:p>
      <w:pPr>
        <w:spacing w:after="0" w:line="169" w:lineRule="exact"/>
        <w:rPr>
          <w:sz w:val="20"/>
          <w:szCs w:val="20"/>
          <w:color w:val="auto"/>
        </w:rPr>
      </w:pPr>
    </w:p>
    <w:p>
      <w:pPr>
        <w:ind w:left="420"/>
        <w:spacing w:after="0"/>
        <w:tabs>
          <w:tab w:leader="none" w:pos="4200" w:val="left"/>
        </w:tabs>
        <w:rPr>
          <w:sz w:val="20"/>
          <w:szCs w:val="20"/>
          <w:color w:val="auto"/>
        </w:rPr>
      </w:pPr>
      <w:r>
        <w:rPr>
          <w:rFonts w:ascii="Courier New" w:cs="Courier New" w:eastAsia="Courier New" w:hAnsi="Courier New"/>
          <w:sz w:val="18"/>
          <w:szCs w:val="18"/>
          <w:color w:val="auto"/>
        </w:rPr>
        <w:t>(d). Title of Class of Securities:</w:t>
      </w:r>
      <w:r>
        <w:rPr>
          <w:sz w:val="20"/>
          <w:szCs w:val="20"/>
          <w:color w:val="auto"/>
        </w:rPr>
        <w:tab/>
      </w:r>
      <w:r>
        <w:rPr>
          <w:rFonts w:ascii="Courier New" w:cs="Courier New" w:eastAsia="Courier New" w:hAnsi="Courier New"/>
          <w:sz w:val="16"/>
          <w:szCs w:val="16"/>
          <w:color w:val="auto"/>
        </w:rPr>
        <w:t>Class A Common Stock</w:t>
      </w:r>
    </w:p>
    <w:p>
      <w:pPr>
        <w:spacing w:after="0" w:line="201" w:lineRule="exact"/>
        <w:rPr>
          <w:sz w:val="20"/>
          <w:szCs w:val="20"/>
          <w:color w:val="auto"/>
        </w:rPr>
      </w:pPr>
    </w:p>
    <w:p>
      <w:pPr>
        <w:ind w:left="420"/>
        <w:spacing w:after="0"/>
        <w:tabs>
          <w:tab w:leader="none" w:pos="2520" w:val="left"/>
        </w:tabs>
        <w:rPr>
          <w:sz w:val="20"/>
          <w:szCs w:val="20"/>
          <w:color w:val="auto"/>
        </w:rPr>
      </w:pPr>
      <w:r>
        <w:rPr>
          <w:rFonts w:ascii="Courier New" w:cs="Courier New" w:eastAsia="Courier New" w:hAnsi="Courier New"/>
          <w:sz w:val="18"/>
          <w:szCs w:val="18"/>
          <w:color w:val="auto"/>
        </w:rPr>
        <w:t>(e). CUSIP Number:</w:t>
      </w:r>
      <w:r>
        <w:rPr>
          <w:sz w:val="20"/>
          <w:szCs w:val="20"/>
          <w:color w:val="auto"/>
        </w:rPr>
        <w:tab/>
      </w:r>
      <w:r>
        <w:rPr>
          <w:rFonts w:ascii="Courier New" w:cs="Courier New" w:eastAsia="Courier New" w:hAnsi="Courier New"/>
          <w:sz w:val="16"/>
          <w:szCs w:val="16"/>
          <w:color w:val="auto"/>
        </w:rPr>
        <w:t>104674106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859"/>
        <w:spacing w:after="0" w:line="274" w:lineRule="auto"/>
        <w:rPr>
          <w:sz w:val="20"/>
          <w:szCs w:val="20"/>
          <w:color w:val="auto"/>
        </w:rPr>
      </w:pPr>
      <w:r>
        <w:rPr>
          <w:rFonts w:ascii="Courier New" w:cs="Courier New" w:eastAsia="Courier New" w:hAnsi="Courier New"/>
          <w:sz w:val="18"/>
          <w:szCs w:val="18"/>
          <w:color w:val="auto"/>
        </w:rPr>
        <w:t>This statement is filed pursuant to Rule 13d-1(b) or 13d-2(b) and the person filing, Janus Henderson Group plc ("Janus Henderson") is a parent holding company/control person in accordance with Section 240.13d-1(b)(ii)(G). See Item 4 for additional information.</w:t>
      </w:r>
    </w:p>
    <w:p>
      <w:pPr>
        <w:spacing w:after="0" w:line="8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right="3079"/>
        <w:spacing w:after="0" w:line="346" w:lineRule="auto"/>
        <w:rPr>
          <w:sz w:val="20"/>
          <w:szCs w:val="20"/>
          <w:color w:val="auto"/>
        </w:rPr>
      </w:pPr>
      <w:r>
        <w:rPr>
          <w:rFonts w:ascii="Courier New" w:cs="Courier New" w:eastAsia="Courier New" w:hAnsi="Courier New"/>
          <w:sz w:val="18"/>
          <w:szCs w:val="18"/>
          <w:color w:val="auto"/>
        </w:rPr>
        <w:t>The information in items 1 and 5 through 11 on the cover page(s) on Schedule 13G is hereby incorporated by reference.</w:t>
      </w:r>
    </w:p>
    <w:p>
      <w:pPr>
        <w:spacing w:after="0" w:line="20" w:lineRule="exact"/>
        <w:rPr>
          <w:sz w:val="20"/>
          <w:szCs w:val="20"/>
          <w:color w:val="auto"/>
        </w:rPr>
      </w:pPr>
    </w:p>
    <w:p>
      <w:pPr>
        <w:ind w:right="2659"/>
        <w:spacing w:after="0" w:line="285" w:lineRule="auto"/>
        <w:rPr>
          <w:sz w:val="20"/>
          <w:szCs w:val="20"/>
          <w:color w:val="auto"/>
        </w:rPr>
      </w:pPr>
      <w:r>
        <w:rPr>
          <w:rFonts w:ascii="Courier New" w:cs="Courier New" w:eastAsia="Courier New" w:hAnsi="Courier New"/>
          <w:sz w:val="16"/>
          <w:szCs w:val="16"/>
          <w:color w:val="auto"/>
        </w:rPr>
        <w:t>Janus Henderson has a 100% ownership stake in Janus Henderson Investors U.S. LLC ("JHIUS"), Janus Henderson Investors UK Limited ("JHIUKL") and Janus Henderson Investors Australia Institutional Funds Management Limited ("JHIAIFML"), (each an "Asset Manager" and collectively as the "Asset Managers"). Due to the above ownership structure, holdings for the Asset Managers are aggregated for purposes of this filing. Each Asset Manager is an investment adviser registered or authorized in its relevant jurisdiction and each furnishing investment advice to various fund, individual and/or institutional clients (collectively referred to herein as "Managed Portfolios").</w:t>
      </w:r>
    </w:p>
    <w:p>
      <w:pPr>
        <w:spacing w:after="0" w:line="7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right="2979"/>
        <w:spacing w:after="0" w:line="292" w:lineRule="auto"/>
        <w:rPr>
          <w:sz w:val="20"/>
          <w:szCs w:val="20"/>
          <w:color w:val="auto"/>
        </w:rPr>
      </w:pPr>
      <w:r>
        <w:rPr>
          <w:rFonts w:ascii="Courier New" w:cs="Courier New" w:eastAsia="Courier New" w:hAnsi="Courier New"/>
          <w:sz w:val="18"/>
          <w:szCs w:val="18"/>
          <w:color w:val="auto"/>
        </w:rPr>
        <w:t>The Managed Portfolios, set forth in Item 4 above, have the right to receive all dividends from, and the proceeds from the sale of, the securities held in their respective accounts.</w:t>
      </w:r>
    </w:p>
    <w:p>
      <w:pPr>
        <w:spacing w:after="0" w:line="66" w:lineRule="exact"/>
        <w:rPr>
          <w:sz w:val="20"/>
          <w:szCs w:val="20"/>
          <w:color w:val="auto"/>
        </w:rPr>
      </w:pPr>
    </w:p>
    <w:p>
      <w:pPr>
        <w:ind w:right="3079"/>
        <w:spacing w:after="0" w:line="292" w:lineRule="auto"/>
        <w:rPr>
          <w:sz w:val="20"/>
          <w:szCs w:val="20"/>
          <w:color w:val="auto"/>
        </w:rPr>
      </w:pPr>
      <w:r>
        <w:rPr>
          <w:rFonts w:ascii="Courier New" w:cs="Courier New" w:eastAsia="Courier New" w:hAnsi="Courier New"/>
          <w:sz w:val="18"/>
          <w:szCs w:val="18"/>
          <w:color w:val="auto"/>
        </w:rPr>
        <w:t>This statement is being filed to report the fact that the reporting persons have ceased to be the beneficial owners of more than five percent of the class of securities.</w:t>
      </w:r>
    </w:p>
    <w:p>
      <w:pPr>
        <w:spacing w:after="0" w:line="66" w:lineRule="exact"/>
        <w:rPr>
          <w:sz w:val="20"/>
          <w:szCs w:val="20"/>
          <w:color w:val="auto"/>
        </w:rPr>
      </w:pPr>
    </w:p>
    <w:p>
      <w:pPr>
        <w:ind w:right="2759"/>
        <w:spacing w:after="0" w:line="402" w:lineRule="auto"/>
        <w:rPr>
          <w:sz w:val="20"/>
          <w:szCs w:val="20"/>
          <w:color w:val="auto"/>
        </w:rPr>
      </w:pPr>
      <w:r>
        <w:rPr>
          <w:rFonts w:ascii="Courier New" w:cs="Courier New" w:eastAsia="Courier New" w:hAnsi="Courier New"/>
          <w:sz w:val="16"/>
          <w:szCs w:val="16"/>
          <w:color w:val="auto"/>
        </w:rPr>
        <w:t>These shares were acquired in the ordinary course of business, and not with the purpose of changing or influencing control of the Issuer.</w:t>
      </w: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right="2859"/>
        <w:spacing w:after="0" w:line="402"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jc w:val="both"/>
        <w:ind w:right="2659"/>
        <w:spacing w:after="0" w:line="292" w:lineRule="auto"/>
        <w:rPr>
          <w:sz w:val="20"/>
          <w:szCs w:val="20"/>
          <w:color w:val="auto"/>
        </w:rPr>
      </w:pPr>
      <w:r>
        <w:rPr>
          <w:rFonts w:ascii="Courier New" w:cs="Courier New" w:eastAsia="Courier New" w:hAnsi="Courier New"/>
          <w:sz w:val="18"/>
          <w:szCs w:val="18"/>
          <w:color w:val="auto"/>
        </w:rPr>
        <w:t>JHIUS, JHIUKL and JHIAIFML are indirect subsidiaries of Janus Henderson and are registered investment advisers furnishing investment advice to Managed Portfolios.</w:t>
      </w:r>
    </w:p>
    <w:p>
      <w:pPr>
        <w:spacing w:after="0" w:line="6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ectPr>
          <w:pgSz w:w="11900" w:h="16838" w:orient="portrait"/>
          <w:cols w:equalWidth="0" w:num="1">
            <w:col w:w="10139"/>
          </w:cols>
          <w:pgMar w:left="320" w:top="110"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1" w:lineRule="exact"/>
        <w:rPr>
          <w:sz w:val="20"/>
          <w:szCs w:val="20"/>
          <w:color w:val="auto"/>
        </w:rPr>
      </w:pPr>
    </w:p>
    <w:p>
      <w:pPr>
        <w:ind w:right="2659"/>
        <w:spacing w:after="0" w:line="29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ind w:right="275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JANUS HENDERSON GROUP PLC</w:t>
      </w:r>
    </w:p>
    <w:p>
      <w:pPr>
        <w:spacing w:after="0" w:line="201" w:lineRule="exact"/>
        <w:rPr>
          <w:sz w:val="20"/>
          <w:szCs w:val="20"/>
          <w:color w:val="auto"/>
        </w:rPr>
      </w:pPr>
    </w:p>
    <w:p>
      <w:pPr>
        <w:spacing w:after="0"/>
        <w:tabs>
          <w:tab w:leader="none" w:pos="400" w:val="left"/>
          <w:tab w:leader="none" w:pos="940" w:val="left"/>
        </w:tabs>
        <w:rPr>
          <w:sz w:val="20"/>
          <w:szCs w:val="20"/>
          <w:color w:val="auto"/>
        </w:rPr>
      </w:pPr>
      <w:r>
        <w:rPr>
          <w:rFonts w:ascii="Courier New" w:cs="Courier New" w:eastAsia="Courier New" w:hAnsi="Courier New"/>
          <w:sz w:val="18"/>
          <w:szCs w:val="18"/>
          <w:color w:val="auto"/>
        </w:rPr>
        <w:t>By</w:t>
        <w:tab/>
        <w:t>/s/</w:t>
      </w:r>
      <w:r>
        <w:rPr>
          <w:sz w:val="20"/>
          <w:szCs w:val="20"/>
          <w:color w:val="auto"/>
        </w:rPr>
        <w:tab/>
      </w:r>
      <w:r>
        <w:rPr>
          <w:rFonts w:ascii="Courier New" w:cs="Courier New" w:eastAsia="Courier New" w:hAnsi="Courier New"/>
          <w:sz w:val="16"/>
          <w:szCs w:val="16"/>
          <w:color w:val="auto"/>
        </w:rPr>
        <w:t>Kristin Mariani</w:t>
      </w:r>
    </w:p>
    <w:p>
      <w:pPr>
        <w:spacing w:after="0" w:line="31" w:lineRule="exact"/>
        <w:rPr>
          <w:sz w:val="20"/>
          <w:szCs w:val="20"/>
          <w:color w:val="auto"/>
        </w:rPr>
      </w:pPr>
    </w:p>
    <w:p>
      <w:pPr>
        <w:ind w:right="4439"/>
        <w:spacing w:after="0" w:line="309" w:lineRule="auto"/>
        <w:rPr>
          <w:sz w:val="20"/>
          <w:szCs w:val="20"/>
          <w:color w:val="auto"/>
        </w:rPr>
      </w:pPr>
      <w:r>
        <w:rPr>
          <w:rFonts w:ascii="Courier New" w:cs="Courier New" w:eastAsia="Courier New" w:hAnsi="Courier New"/>
          <w:sz w:val="18"/>
          <w:szCs w:val="18"/>
          <w:color w:val="auto"/>
        </w:rPr>
        <w:t>Kristin Mariani, Head of North America Compliance, CCO Date 2/12/2024</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1" w:lineRule="exact"/>
        <w:rPr>
          <w:sz w:val="20"/>
          <w:szCs w:val="20"/>
          <w:color w:val="auto"/>
        </w:rPr>
      </w:pPr>
    </w:p>
    <w:p>
      <w:pPr>
        <w:ind w:right="2659"/>
        <w:spacing w:after="0" w:line="285"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or her authorized representative. If the statement is signed on behalf of a person by his or her authorized representative other than an executive officer or general partner of the filing person, evidence of the representative's authority to sign on behalf of such person shall be filed with the statement (see Exhibit A), provided, however, that a power of attorney for this purpose which is already on file with the Commission may be incorporated by reference. The name and any title of each person who signs the statement shall be typed or printed beneath his or her signature.</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659"/>
        <w:spacing w:after="0" w:line="243" w:lineRule="auto"/>
        <w:rPr>
          <w:sz w:val="20"/>
          <w:szCs w:val="20"/>
          <w:color w:val="auto"/>
        </w:rPr>
      </w:pPr>
      <w:r>
        <w:rPr>
          <w:rFonts w:ascii="Courier New" w:cs="Courier New" w:eastAsia="Courier New" w:hAnsi="Courier New"/>
          <w:sz w:val="18"/>
          <w:szCs w:val="18"/>
          <w:color w:val="auto"/>
        </w:rPr>
        <w:t>The undersigned, Janus Henderson Group plc ("the Company"), does hereby make, constitute and appoint each of Kristin Mariani and Caroline Barotti acting severally, as its true and lawful attorneys in-fact, for the purpose of, from time to time, executing in its name and on its behalf, whether the Company individually or as representative of others, any and all documents, certificates, instruments, statements, other filings and amendments to 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1" w:lineRule="exact"/>
        <w:rPr>
          <w:sz w:val="20"/>
          <w:szCs w:val="20"/>
          <w:color w:val="auto"/>
        </w:rPr>
      </w:pPr>
    </w:p>
    <w:p>
      <w:pPr>
        <w:ind w:right="2759"/>
        <w:spacing w:after="0" w:line="265" w:lineRule="auto"/>
        <w:rPr>
          <w:sz w:val="20"/>
          <w:szCs w:val="20"/>
          <w:color w:val="auto"/>
        </w:rPr>
      </w:pPr>
      <w:r>
        <w:rPr>
          <w:rFonts w:ascii="Courier New" w:cs="Courier New" w:eastAsia="Courier New" w:hAnsi="Courier New"/>
          <w:sz w:val="18"/>
          <w:szCs w:val="18"/>
          <w:color w:val="auto"/>
        </w:rPr>
        <w:t>This power of attorney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89" w:lineRule="exact"/>
        <w:rPr>
          <w:sz w:val="20"/>
          <w:szCs w:val="20"/>
          <w:color w:val="auto"/>
        </w:rPr>
      </w:pPr>
    </w:p>
    <w:p>
      <w:pPr>
        <w:ind w:right="285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9th day of December, 2022.</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Janus Henderson Group plc</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 Michelle Rosenberg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Michelle Rosenberg</w:t>
      </w:r>
    </w:p>
    <w:p>
      <w:pPr>
        <w:spacing w:after="0"/>
        <w:rPr>
          <w:sz w:val="20"/>
          <w:szCs w:val="20"/>
          <w:color w:val="auto"/>
        </w:rPr>
      </w:pPr>
      <w:r>
        <w:rPr>
          <w:rFonts w:ascii="Courier New" w:cs="Courier New" w:eastAsia="Courier New" w:hAnsi="Courier New"/>
          <w:sz w:val="18"/>
          <w:szCs w:val="18"/>
          <w:color w:val="auto"/>
        </w:rPr>
        <w:t>Title: General Counsel and Company Secretary</w:t>
      </w:r>
    </w:p>
    <w:p>
      <w:pPr>
        <w:sectPr>
          <w:pgSz w:w="11900" w:h="16838" w:orient="portrait"/>
          <w:cols w:equalWidth="0" w:num="1">
            <w:col w:w="10139"/>
          </w:cols>
          <w:pgMar w:left="320" w:top="312" w:right="1440" w:bottom="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1"/>
    </w:lvl>
    <w:lvl w:ilvl="1">
      <w:lvlJc w:val="left"/>
      <w:lvlText w:val="%2."/>
      <w:numFmt w:val="lowerLetter"/>
      <w:start w:val="1"/>
    </w:lvl>
  </w:abstractNum>
  <w:abstractNum w:abstractNumId="4">
    <w:nsid w:val="2EB141F2"/>
    <w:multiLevelType w:val="hybridMultilevel"/>
    <w:lvl w:ilvl="0">
      <w:lvlJc w:val="left"/>
      <w:lvlText w:val="%1."/>
      <w:numFmt w:val="decimal"/>
      <w:start w:val="3"/>
    </w:lvl>
    <w:lvl w:ilvl="1">
      <w:lvlJc w:val="left"/>
      <w:lvlText w:val="%2"/>
      <w:numFmt w:val="lowerLetter"/>
      <w:start w:val="1"/>
    </w:lvl>
  </w:abstractNum>
  <w:abstractNum w:abstractNumId="5">
    <w:nsid w:val="41B71EFB"/>
    <w:multiLevelType w:val="hybridMultilevel"/>
    <w:lvl w:ilvl="0">
      <w:lvlJc w:val="left"/>
      <w:lvlText w:val="%1."/>
      <w:numFmt w:val="decimal"/>
      <w:start w:val="5"/>
    </w:lvl>
  </w:abstractNum>
  <w:abstractNum w:abstractNumId="6">
    <w:nsid w:val="79E2A9E3"/>
    <w:multiLevelType w:val="hybridMultilevel"/>
    <w:lvl w:ilvl="0">
      <w:lvlJc w:val="left"/>
      <w:lvlText w:val="%1."/>
      <w:numFmt w:val="decimal"/>
      <w:start w:val="1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2024-02-12T11:08:57Z</dcterms:created>
  <dcterms:modified xsi:type="dcterms:W3CDTF">2024-02-12T11:08:57Z</dcterms:modified>
</cp:coreProperties>
</file>