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Specialized Disclosure Report</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394"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ind w:right="279"/>
              <w:spacing w:after="0"/>
              <w:rPr>
                <w:sz w:val="20"/>
                <w:szCs w:val="20"/>
                <w:color w:val="auto"/>
              </w:rPr>
            </w:pPr>
            <w:r>
              <w:rPr>
                <w:rFonts w:ascii="Arial" w:cs="Arial" w:eastAsia="Arial" w:hAnsi="Arial"/>
                <w:sz w:val="18"/>
                <w:szCs w:val="18"/>
                <w:b w:val="1"/>
                <w:bCs w:val="1"/>
                <w:color w:val="auto"/>
                <w:w w:val="88"/>
              </w:rPr>
              <w:t>Wisconsin</w:t>
            </w:r>
          </w:p>
        </w:tc>
        <w:tc>
          <w:tcPr>
            <w:tcW w:w="3060" w:type="dxa"/>
            <w:vAlign w:val="bottom"/>
            <w:tcBorders>
              <w:bottom w:val="single" w:sz="8" w:color="auto"/>
            </w:tcBorders>
          </w:tcPr>
          <w:p>
            <w:pPr>
              <w:jc w:val="right"/>
              <w:ind w:right="1319"/>
              <w:spacing w:after="0"/>
              <w:rPr>
                <w:sz w:val="20"/>
                <w:szCs w:val="20"/>
                <w:color w:val="auto"/>
              </w:rPr>
            </w:pPr>
            <w:r>
              <w:rPr>
                <w:rFonts w:ascii="Arial" w:cs="Arial" w:eastAsia="Arial" w:hAnsi="Arial"/>
                <w:sz w:val="18"/>
                <w:szCs w:val="18"/>
                <w:b w:val="1"/>
                <w:bCs w:val="1"/>
                <w:color w:val="auto"/>
              </w:rPr>
              <w:t>1-14959</w:t>
            </w:r>
          </w:p>
        </w:tc>
        <w:tc>
          <w:tcPr>
            <w:tcW w:w="3840" w:type="dxa"/>
            <w:vAlign w:val="bottom"/>
            <w:tcBorders>
              <w:bottom w:val="single" w:sz="8" w:color="auto"/>
            </w:tcBorders>
          </w:tcPr>
          <w:p>
            <w:pPr>
              <w:jc w:val="right"/>
              <w:ind w:right="1399"/>
              <w:spacing w:after="0"/>
              <w:rPr>
                <w:sz w:val="20"/>
                <w:szCs w:val="20"/>
                <w:color w:val="auto"/>
              </w:rPr>
            </w:pPr>
            <w:r>
              <w:rPr>
                <w:rFonts w:ascii="Arial" w:cs="Arial" w:eastAsia="Arial" w:hAnsi="Arial"/>
                <w:sz w:val="18"/>
                <w:szCs w:val="18"/>
                <w:b w:val="1"/>
                <w:bCs w:val="1"/>
                <w:color w:val="auto"/>
              </w:rPr>
              <w:t>39-0178960</w:t>
            </w:r>
          </w:p>
        </w:tc>
      </w:tr>
      <w:tr>
        <w:trPr>
          <w:trHeight w:val="176"/>
        </w:trPr>
        <w:tc>
          <w:tcPr>
            <w:tcW w:w="4200" w:type="dxa"/>
            <w:vAlign w:val="bottom"/>
          </w:tcPr>
          <w:p>
            <w:pPr>
              <w:jc w:val="center"/>
              <w:ind w:right="27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060" w:type="dxa"/>
            <w:vAlign w:val="bottom"/>
          </w:tcPr>
          <w:p>
            <w:pPr>
              <w:jc w:val="center"/>
              <w:ind w:right="279"/>
              <w:spacing w:after="0"/>
              <w:rPr>
                <w:sz w:val="20"/>
                <w:szCs w:val="20"/>
                <w:color w:val="auto"/>
              </w:rPr>
            </w:pPr>
            <w:r>
              <w:rPr>
                <w:rFonts w:ascii="Arial" w:cs="Arial" w:eastAsia="Arial" w:hAnsi="Arial"/>
                <w:sz w:val="14"/>
                <w:szCs w:val="14"/>
                <w:color w:val="auto"/>
                <w:w w:val="94"/>
              </w:rPr>
              <w:t>(Commission File Number)</w:t>
            </w:r>
          </w:p>
        </w:tc>
        <w:tc>
          <w:tcPr>
            <w:tcW w:w="384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bl>
    <w:p>
      <w:pPr>
        <w:spacing w:after="0" w:line="200" w:lineRule="exact"/>
        <w:rPr>
          <w:sz w:val="24"/>
          <w:szCs w:val="24"/>
          <w:color w:val="auto"/>
        </w:rPr>
      </w:pPr>
    </w:p>
    <w:p>
      <w:pPr>
        <w:spacing w:after="0" w:line="396"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Milwaukee, Wisconsin 53223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and 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Andrew T. Gorman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General Counsel and Corporate Secretary</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(414) 358-6600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right="440"/>
        <w:spacing w:after="0" w:line="235"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310" w:lineRule="exact"/>
        <w:rPr>
          <w:sz w:val="24"/>
          <w:szCs w:val="24"/>
          <w:color w:val="auto"/>
        </w:rPr>
      </w:pPr>
    </w:p>
    <w:p>
      <w:pPr>
        <w:ind w:left="620" w:right="3580" w:hanging="594"/>
        <w:spacing w:after="0" w:line="182" w:lineRule="auto"/>
        <w:tabs>
          <w:tab w:leader="none" w:pos="620" w:val="left"/>
        </w:tabs>
        <w:numPr>
          <w:ilvl w:val="0"/>
          <w:numId w:val="1"/>
        </w:numPr>
        <w:rPr>
          <w:rFonts w:ascii="MS PGothic" w:cs="MS PGothic" w:eastAsia="MS PGothic" w:hAnsi="MS PGothic"/>
          <w:sz w:val="35"/>
          <w:szCs w:val="35"/>
          <w:color w:val="auto"/>
          <w:vertAlign w:val="superscript"/>
        </w:rPr>
      </w:pPr>
      <w:r>
        <w:rPr>
          <w:rFonts w:ascii="Arial" w:cs="Arial" w:eastAsia="Arial" w:hAnsi="Arial"/>
          <w:sz w:val="16"/>
          <w:szCs w:val="16"/>
          <w:color w:val="auto"/>
        </w:rPr>
        <w:t>Rule 13p-1 under the Securities Exchange Act (17 CFR 240.13p-1) for the reporting period from January 1 to December 31, 2020</w:t>
      </w:r>
    </w:p>
    <w:p>
      <w:pPr>
        <w:sectPr>
          <w:pgSz w:w="11900" w:h="16838" w:orient="portrait"/>
          <w:cols w:equalWidth="0" w:num="1">
            <w:col w:w="11180"/>
          </w:cols>
          <w:pgMar w:left="320" w:top="1354"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3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Brady Corporation and its subsidiaries (“Brady,” “Company,” “we,” “us,”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(“DRC”) or an adjoining country (the “Covered Countries”). For calendar year 2020,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Through our RCOI described in our Conflict Minerals Report, several suppliers disclosed to us that their only sources of 3TG Minerals were from</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calendar year 2020, Brady Corporation is filing a Conflict Minerals Report which is attached as Exhibit 1.01 in Item 2.01 and is also publicly available on our website at the below link.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https://www.bradyid.com/corporate/supplier-information</w:t>
      </w:r>
    </w:p>
    <w:p>
      <w:pPr>
        <w:spacing w:after="0" w:line="289"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9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378"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Exhibit 1.01 Conflict Minerals Report as required by Items 1.01 and 1.02 of this Form SD for calendar year ended December 31, 2020.</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7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8"/>
          <w:szCs w:val="18"/>
          <w:color w:val="auto"/>
        </w:rPr>
        <w:t>/s/ AARON J. PEARCE</w:t>
      </w:r>
      <w:r>
        <w:rPr>
          <w:sz w:val="20"/>
          <w:szCs w:val="20"/>
          <w:color w:val="auto"/>
        </w:rPr>
        <w:tab/>
      </w:r>
      <w:r>
        <w:rPr>
          <w:rFonts w:ascii="Arial" w:cs="Arial" w:eastAsia="Arial" w:hAnsi="Arial"/>
          <w:sz w:val="16"/>
          <w:szCs w:val="16"/>
          <w:color w:val="auto"/>
        </w:rPr>
        <w:t>Date: May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Aaron J. Pearce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891" w:right="339" w:bottom="1440" w:gutter="0" w:footer="0" w:header="0"/>
        </w:sectPr>
      </w:pPr>
    </w:p>
    <w:bookmarkStart w:id="2" w:name="page3"/>
    <w:bookmarkEnd w:id="2"/>
    <w:p>
      <w:pPr>
        <w:ind w:left="972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year ended December 31, 2020</w:t>
      </w:r>
    </w:p>
    <w:p>
      <w:pPr>
        <w:spacing w:after="0" w:line="200" w:lineRule="exact"/>
        <w:rPr>
          <w:sz w:val="20"/>
          <w:szCs w:val="20"/>
          <w:color w:val="auto"/>
        </w:rPr>
      </w:pPr>
    </w:p>
    <w:p>
      <w:pPr>
        <w:spacing w:after="0" w:line="277" w:lineRule="exact"/>
        <w:rPr>
          <w:sz w:val="20"/>
          <w:szCs w:val="20"/>
          <w:color w:val="auto"/>
        </w:rPr>
      </w:pPr>
    </w:p>
    <w:p>
      <w:pPr>
        <w:ind w:left="400" w:hanging="378"/>
        <w:spacing w:after="0"/>
        <w:tabs>
          <w:tab w:leader="none" w:pos="4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56" w:lineRule="exact"/>
        <w:rPr>
          <w:rFonts w:ascii="Arial" w:cs="Arial" w:eastAsia="Arial" w:hAnsi="Arial"/>
          <w:sz w:val="18"/>
          <w:szCs w:val="18"/>
          <w:b w:val="1"/>
          <w:bCs w:val="1"/>
          <w:color w:val="auto"/>
        </w:rPr>
      </w:pPr>
    </w:p>
    <w:p>
      <w:pPr>
        <w:jc w:val="both"/>
        <w:ind w:left="40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This report has been prepared by management of Brady Corporation (hereinafter referred to as “Brady,” the “Company,” “we,” “us,” or “our”) pursuant to Rule 13p-1 under the Securities Exchange Act of 1934 as amended, for the reporting period January 1 to December 31, 2020.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w:t>
      </w:r>
    </w:p>
    <w:p>
      <w:pPr>
        <w:spacing w:after="0" w:line="1" w:lineRule="exact"/>
        <w:rPr>
          <w:rFonts w:ascii="Arial" w:cs="Arial" w:eastAsia="Arial" w:hAnsi="Arial"/>
          <w:sz w:val="18"/>
          <w:szCs w:val="18"/>
          <w:b w:val="1"/>
          <w:bCs w:val="1"/>
          <w:color w:val="auto"/>
        </w:rPr>
      </w:pPr>
    </w:p>
    <w:p>
      <w:pPr>
        <w:ind w:left="4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(“Covered Countries”). The scope of the reasonable country of origin inquiry (“RCOI”) and due diligence efforts discussed includes products both sourced directly by, and manufactured for Brady in calendar year 2020.</w:t>
      </w:r>
    </w:p>
    <w:p>
      <w:pPr>
        <w:spacing w:after="0" w:line="197" w:lineRule="exact"/>
        <w:rPr>
          <w:rFonts w:ascii="Arial" w:cs="Arial" w:eastAsia="Arial" w:hAnsi="Arial"/>
          <w:sz w:val="18"/>
          <w:szCs w:val="18"/>
          <w:b w:val="1"/>
          <w:bCs w:val="1"/>
          <w:color w:val="auto"/>
        </w:rPr>
      </w:pPr>
    </w:p>
    <w:p>
      <w:pPr>
        <w:ind w:left="4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statements below are based on the activities performed to date in good faith by Brady and are based on information available at the time of this filing.</w:t>
      </w:r>
    </w:p>
    <w:p>
      <w:pPr>
        <w:spacing w:after="0" w:line="237" w:lineRule="exact"/>
        <w:rPr>
          <w:rFonts w:ascii="Arial" w:cs="Arial" w:eastAsia="Arial" w:hAnsi="Arial"/>
          <w:sz w:val="18"/>
          <w:szCs w:val="18"/>
          <w:b w:val="1"/>
          <w:bCs w:val="1"/>
          <w:color w:val="auto"/>
        </w:rPr>
      </w:pPr>
    </w:p>
    <w:p>
      <w:pPr>
        <w:jc w:val="both"/>
        <w:ind w:left="4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w:t>
      </w:r>
    </w:p>
    <w:p>
      <w:pPr>
        <w:spacing w:after="0" w:line="2" w:lineRule="exact"/>
        <w:rPr>
          <w:rFonts w:ascii="Arial" w:cs="Arial" w:eastAsia="Arial" w:hAnsi="Arial"/>
          <w:sz w:val="18"/>
          <w:szCs w:val="18"/>
          <w:b w:val="1"/>
          <w:bCs w:val="1"/>
          <w:color w:val="auto"/>
        </w:rPr>
      </w:pPr>
    </w:p>
    <w:p>
      <w:pPr>
        <w:ind w:lef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from the smelter or mine. The information available globally on the traceability and sourcing of these ores is limited at this time, and this situation is not unique to Brady.</w:t>
      </w:r>
    </w:p>
    <w:p>
      <w:pPr>
        <w:spacing w:after="0" w:line="193" w:lineRule="exact"/>
        <w:rPr>
          <w:sz w:val="20"/>
          <w:szCs w:val="20"/>
          <w:color w:val="auto"/>
        </w:rPr>
      </w:pPr>
    </w:p>
    <w:p>
      <w:pPr>
        <w:ind w:left="400" w:hanging="394"/>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56" w:lineRule="exact"/>
        <w:rPr>
          <w:rFonts w:ascii="Arial" w:cs="Arial" w:eastAsia="Arial" w:hAnsi="Arial"/>
          <w:sz w:val="18"/>
          <w:szCs w:val="18"/>
          <w:b w:val="1"/>
          <w:bCs w:val="1"/>
          <w:color w:val="auto"/>
        </w:rPr>
      </w:pPr>
    </w:p>
    <w:p>
      <w:pPr>
        <w:jc w:val="both"/>
        <w:ind w:left="400"/>
        <w:spacing w:after="0" w:line="307" w:lineRule="auto"/>
        <w:rPr>
          <w:rFonts w:ascii="Arial" w:cs="Arial" w:eastAsia="Arial" w:hAnsi="Arial"/>
          <w:sz w:val="18"/>
          <w:szCs w:val="18"/>
          <w:b w:val="1"/>
          <w:bCs w:val="1"/>
          <w:color w:val="auto"/>
        </w:rPr>
      </w:pPr>
      <w:r>
        <w:rPr>
          <w:rFonts w:ascii="Arial" w:cs="Arial" w:eastAsia="Arial" w:hAnsi="Arial"/>
          <w:sz w:val="16"/>
          <w:szCs w:val="16"/>
          <w:color w:val="auto"/>
        </w:rPr>
        <w:t>Our 2020 RCOI began with identifying the products we manufacture or contract to manufacture that have a possibility of containing 3TG Minerals, or where 3TG minerals are required for the functionality or production of such products. In 2020, Brady expanded the scope of the review of its product lines by evaluating new products and their material suppliers during the filing year, and where there was uncertainty about whether a particular product potentially contained 3TG Minerals, it was included in the 2020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167" w:lineRule="exact"/>
        <w:rPr>
          <w:rFonts w:ascii="Arial" w:cs="Arial" w:eastAsia="Arial" w:hAnsi="Arial"/>
          <w:sz w:val="18"/>
          <w:szCs w:val="18"/>
          <w:b w:val="1"/>
          <w:bCs w:val="1"/>
          <w:color w:val="auto"/>
        </w:rPr>
      </w:pPr>
    </w:p>
    <w:p>
      <w:pPr>
        <w:jc w:val="both"/>
        <w:ind w:left="400"/>
        <w:spacing w:after="0" w:line="305" w:lineRule="auto"/>
        <w:rPr>
          <w:rFonts w:ascii="Arial" w:cs="Arial" w:eastAsia="Arial" w:hAnsi="Arial"/>
          <w:sz w:val="18"/>
          <w:szCs w:val="18"/>
          <w:b w:val="1"/>
          <w:bCs w:val="1"/>
          <w:color w:val="auto"/>
        </w:rPr>
      </w:pPr>
      <w:r>
        <w:rPr>
          <w:rFonts w:ascii="Arial" w:cs="Arial" w:eastAsia="Arial" w:hAnsi="Arial"/>
          <w:sz w:val="16"/>
          <w:szCs w:val="16"/>
          <w:color w:val="auto"/>
        </w:rPr>
        <w:t>Brady conducted its RCOI of those suppliers deemed in scope, using the Conflict Materials Reporting Template (CMRT v 6-01), which is the Responsible Minerals Initiative (RMI) reporting template. 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100% in-scope supplier responses.</w:t>
      </w:r>
    </w:p>
    <w:p>
      <w:pPr>
        <w:spacing w:after="0" w:line="167" w:lineRule="exact"/>
        <w:rPr>
          <w:rFonts w:ascii="Arial" w:cs="Arial" w:eastAsia="Arial" w:hAnsi="Arial"/>
          <w:sz w:val="18"/>
          <w:szCs w:val="18"/>
          <w:b w:val="1"/>
          <w:bCs w:val="1"/>
          <w:color w:val="auto"/>
        </w:rPr>
      </w:pPr>
    </w:p>
    <w:p>
      <w:pPr>
        <w:jc w:val="both"/>
        <w:ind w:left="40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For 2020, as compared to previous filing years, a number of the surveyed suppliers reported a significant improvement in their own supply chain RCOI initiatives, and 264 unique smelters were identified as potentially being part of our supply chain. In addition, Brady undertook due diligence on the identified smelters to determine their status regarding conflict minerals.</w:t>
      </w:r>
    </w:p>
    <w:p>
      <w:pPr>
        <w:spacing w:after="0" w:line="18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As such, we believe our process was reasonably designed and performed in good faith.</w:t>
      </w: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500" w:top="891" w:right="339" w:bottom="1440" w:gutter="0" w:footer="0" w:header="0"/>
        </w:sectPr>
      </w:pPr>
    </w:p>
    <w:bookmarkStart w:id="3" w:name="page4"/>
    <w:bookmarkEnd w:id="3"/>
    <w:p>
      <w:pPr>
        <w:ind w:left="380" w:hanging="374"/>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256" w:lineRule="exact"/>
        <w:rPr>
          <w:rFonts w:ascii="Arial" w:cs="Arial" w:eastAsia="Arial" w:hAnsi="Arial"/>
          <w:sz w:val="18"/>
          <w:szCs w:val="18"/>
          <w:b w:val="1"/>
          <w:bCs w:val="1"/>
          <w:color w:val="auto"/>
        </w:rPr>
      </w:pPr>
    </w:p>
    <w:p>
      <w:pPr>
        <w:ind w:left="40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Brady designed its 3TG Minerals compliance procedures based on, and in conformity with, the five step framework the </w:t>
      </w:r>
      <w:r>
        <w:rPr>
          <w:rFonts w:ascii="Arial" w:cs="Arial" w:eastAsia="Arial" w:hAnsi="Arial"/>
          <w:sz w:val="18"/>
          <w:szCs w:val="18"/>
          <w:i w:val="1"/>
          <w:iCs w:val="1"/>
          <w:color w:val="auto"/>
        </w:rPr>
        <w:t>OECD Due Diligence</w:t>
      </w:r>
      <w:r>
        <w:rPr>
          <w:rFonts w:ascii="Arial" w:cs="Arial" w:eastAsia="Arial" w:hAnsi="Arial"/>
          <w:sz w:val="18"/>
          <w:szCs w:val="18"/>
          <w:color w:val="auto"/>
        </w:rPr>
        <w:t xml:space="preserve"> </w:t>
      </w:r>
      <w:r>
        <w:rPr>
          <w:rFonts w:ascii="Arial" w:cs="Arial" w:eastAsia="Arial" w:hAnsi="Arial"/>
          <w:sz w:val="18"/>
          <w:szCs w:val="18"/>
          <w:i w:val="1"/>
          <w:iCs w:val="1"/>
          <w:color w:val="auto"/>
        </w:rPr>
        <w:t>Guidance for Responsible Supply Chains of Minerals from Conflict-Affected and High-Risk Areas: Third Edition</w:t>
      </w:r>
      <w:r>
        <w:rPr>
          <w:rFonts w:ascii="Arial" w:cs="Arial" w:eastAsia="Arial" w:hAnsi="Arial"/>
          <w:sz w:val="18"/>
          <w:szCs w:val="18"/>
          <w:color w:val="auto"/>
        </w:rPr>
        <w:t>, and related supplements on tin,</w:t>
      </w:r>
      <w:r>
        <w:rPr>
          <w:rFonts w:ascii="Arial" w:cs="Arial" w:eastAsia="Arial" w:hAnsi="Arial"/>
          <w:sz w:val="18"/>
          <w:szCs w:val="18"/>
          <w:i w:val="1"/>
          <w:iCs w:val="1"/>
          <w:color w:val="auto"/>
        </w:rPr>
        <w:t xml:space="preserve"> </w:t>
      </w:r>
      <w:r>
        <w:rPr>
          <w:rFonts w:ascii="Arial" w:cs="Arial" w:eastAsia="Arial" w:hAnsi="Arial"/>
          <w:sz w:val="18"/>
          <w:szCs w:val="18"/>
          <w:color w:val="auto"/>
        </w:rPr>
        <w:t>tungsten, tantalum, and the supplement on gold (collectively, the “OECD guidance”) as these relate to our position in the supply chain as a downstream user.</w:t>
      </w:r>
    </w:p>
    <w:p>
      <w:pPr>
        <w:spacing w:after="0" w:line="21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1: Establish strong company management systems</w:t>
      </w:r>
    </w:p>
    <w:p>
      <w:pPr>
        <w:spacing w:after="0" w:line="2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2: Identify and assess risks in the supply chain</w:t>
      </w:r>
    </w:p>
    <w:p>
      <w:pPr>
        <w:spacing w:after="0" w:line="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3: Design and implement a strategy to respond to identified risks</w:t>
      </w:r>
    </w:p>
    <w:p>
      <w:pPr>
        <w:spacing w:after="0" w:line="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4: Support independent third-party audits of smelter/refiners' due diligence practices</w:t>
      </w:r>
    </w:p>
    <w:p>
      <w:pPr>
        <w:spacing w:after="0" w:line="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5: Report annually on supply chain due diligence</w:t>
      </w:r>
    </w:p>
    <w:p>
      <w:pPr>
        <w:spacing w:after="0" w:line="23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 by Brady Corporation</w:t>
      </w:r>
    </w:p>
    <w:p>
      <w:pPr>
        <w:spacing w:after="0" w:line="22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following are the due diligence measures performed by Brady with respect to the reporting year:</w:t>
      </w:r>
    </w:p>
    <w:p>
      <w:pPr>
        <w:spacing w:after="0" w:line="248" w:lineRule="exact"/>
        <w:rPr>
          <w:rFonts w:ascii="Arial" w:cs="Arial" w:eastAsia="Arial" w:hAnsi="Arial"/>
          <w:sz w:val="18"/>
          <w:szCs w:val="18"/>
          <w:b w:val="1"/>
          <w:bCs w:val="1"/>
          <w:color w:val="auto"/>
        </w:rPr>
      </w:pPr>
    </w:p>
    <w:p>
      <w:pPr>
        <w:ind w:left="800" w:hanging="405"/>
        <w:spacing w:after="0"/>
        <w:tabs>
          <w:tab w:leader="none" w:pos="8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1-Maintain strong company management systems</w:t>
      </w:r>
    </w:p>
    <w:p>
      <w:pPr>
        <w:spacing w:after="0" w:line="256" w:lineRule="exact"/>
        <w:rPr>
          <w:rFonts w:ascii="Arial" w:cs="Arial" w:eastAsia="Arial" w:hAnsi="Arial"/>
          <w:sz w:val="18"/>
          <w:szCs w:val="18"/>
          <w:b w:val="1"/>
          <w:bCs w:val="1"/>
          <w:color w:val="auto"/>
        </w:rPr>
      </w:pPr>
    </w:p>
    <w:p>
      <w:pPr>
        <w:ind w:left="1120" w:right="200" w:hanging="320"/>
        <w:spacing w:after="0" w:line="258"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maintains an internal conflict minerals team involving sourcing and global product compliance staff. The focus of this team is to implement our conflict minerals program and ensure compliance.</w:t>
      </w:r>
    </w:p>
    <w:p>
      <w:pPr>
        <w:spacing w:after="0" w:line="1" w:lineRule="exact"/>
        <w:rPr>
          <w:rFonts w:ascii="Arial" w:cs="Arial" w:eastAsia="Arial" w:hAnsi="Arial"/>
          <w:sz w:val="18"/>
          <w:szCs w:val="18"/>
          <w:color w:val="auto"/>
        </w:rPr>
      </w:pPr>
    </w:p>
    <w:p>
      <w:pPr>
        <w:ind w:left="1120" w:right="100" w:hanging="320"/>
        <w:spacing w:after="0" w:line="250"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maintains a Conflict Minerals policy, which is available on our company website (see link below) in addition to our due diligence process for assessing the chain of custody of 3TG Minerals.</w:t>
      </w:r>
    </w:p>
    <w:p>
      <w:pPr>
        <w:ind w:left="1120"/>
        <w:spacing w:after="0"/>
        <w:rPr>
          <w:rFonts w:ascii="Arial" w:cs="Arial" w:eastAsia="Arial" w:hAnsi="Arial"/>
          <w:sz w:val="18"/>
          <w:szCs w:val="18"/>
          <w:color w:val="auto"/>
        </w:rPr>
      </w:pPr>
      <w:r>
        <w:rPr>
          <w:rFonts w:ascii="Arial" w:cs="Arial" w:eastAsia="Arial" w:hAnsi="Arial"/>
          <w:sz w:val="18"/>
          <w:szCs w:val="18"/>
          <w:u w:val="single" w:color="auto"/>
          <w:color w:val="0000FF"/>
        </w:rPr>
        <w:t>https://www.bradyid.com/corporate/supplier-information</w:t>
      </w:r>
    </w:p>
    <w:p>
      <w:pPr>
        <w:spacing w:after="0" w:line="9" w:lineRule="exact"/>
        <w:rPr>
          <w:rFonts w:ascii="Arial" w:cs="Arial" w:eastAsia="Arial" w:hAnsi="Arial"/>
          <w:sz w:val="18"/>
          <w:szCs w:val="18"/>
          <w:color w:val="auto"/>
        </w:rPr>
      </w:pPr>
    </w:p>
    <w:p>
      <w:pPr>
        <w:ind w:left="1120" w:right="520" w:hanging="320"/>
        <w:spacing w:after="0" w:line="250"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Internal engagement – Brady conducted internal training to educate relevant employees in our conflict minerals program including reporting obligations.</w:t>
      </w:r>
    </w:p>
    <w:p>
      <w:pPr>
        <w:ind w:left="1120" w:hanging="320"/>
        <w:spacing w:after="0"/>
        <w:tabs>
          <w:tab w:leader="none" w:pos="1120" w:val="left"/>
        </w:tabs>
        <w:numPr>
          <w:ilvl w:val="3"/>
          <w:numId w:val="4"/>
        </w:numPr>
        <w:rPr>
          <w:rFonts w:ascii="Arial" w:cs="Arial" w:eastAsia="Arial" w:hAnsi="Arial"/>
          <w:sz w:val="17"/>
          <w:szCs w:val="17"/>
          <w:color w:val="auto"/>
        </w:rPr>
      </w:pPr>
      <w:r>
        <w:rPr>
          <w:rFonts w:ascii="Arial" w:cs="Arial" w:eastAsia="Arial" w:hAnsi="Arial"/>
          <w:sz w:val="17"/>
          <w:szCs w:val="17"/>
          <w:color w:val="auto"/>
        </w:rPr>
        <w:t>Supplier engagement – Brady communicated the requirements of the conflict minerals rule to its suppliers regarding 3TG Minerals.</w:t>
      </w:r>
    </w:p>
    <w:p>
      <w:pPr>
        <w:spacing w:after="0" w:line="20" w:lineRule="exact"/>
        <w:rPr>
          <w:rFonts w:ascii="Arial" w:cs="Arial" w:eastAsia="Arial" w:hAnsi="Arial"/>
          <w:sz w:val="17"/>
          <w:szCs w:val="17"/>
          <w:color w:val="auto"/>
        </w:rPr>
      </w:pPr>
    </w:p>
    <w:p>
      <w:pPr>
        <w:ind w:left="1120" w:hanging="320"/>
        <w:spacing w:after="0"/>
        <w:tabs>
          <w:tab w:leader="none" w:pos="1120" w:val="left"/>
        </w:tabs>
        <w:numPr>
          <w:ilvl w:val="3"/>
          <w:numId w:val="4"/>
        </w:numPr>
        <w:rPr>
          <w:rFonts w:ascii="Arial" w:cs="Arial" w:eastAsia="Arial" w:hAnsi="Arial"/>
          <w:sz w:val="16"/>
          <w:szCs w:val="16"/>
          <w:color w:val="auto"/>
        </w:rPr>
      </w:pPr>
      <w:r>
        <w:rPr>
          <w:rFonts w:ascii="Arial" w:cs="Arial" w:eastAsia="Arial" w:hAnsi="Arial"/>
          <w:sz w:val="16"/>
          <w:szCs w:val="16"/>
          <w:color w:val="auto"/>
        </w:rPr>
        <w:t>The conflict minerals team reports on our conflict minerals program to relevant business leaders and the head of Global Compliance.</w:t>
      </w:r>
    </w:p>
    <w:p>
      <w:pPr>
        <w:spacing w:after="0" w:line="32" w:lineRule="exact"/>
        <w:rPr>
          <w:rFonts w:ascii="Arial" w:cs="Arial" w:eastAsia="Arial" w:hAnsi="Arial"/>
          <w:sz w:val="16"/>
          <w:szCs w:val="16"/>
          <w:color w:val="auto"/>
        </w:rPr>
      </w:pPr>
    </w:p>
    <w:p>
      <w:pPr>
        <w:ind w:left="1120" w:right="60" w:hanging="320"/>
        <w:spacing w:after="0" w:line="250"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We maintain a mechanism to enable the reporting of and response to any customer facing questions related to conflict minerals and other supply chain matters.</w:t>
      </w:r>
    </w:p>
    <w:p>
      <w:pPr>
        <w:ind w:left="1120" w:right="840" w:hanging="320"/>
        <w:spacing w:after="0" w:line="260"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We retain conflict minerals program documentation in accordance with the Company’s existing corporate retention policy and procedures.</w:t>
      </w:r>
    </w:p>
    <w:p>
      <w:pPr>
        <w:spacing w:after="0" w:line="208" w:lineRule="exact"/>
        <w:rPr>
          <w:rFonts w:ascii="Arial" w:cs="Arial" w:eastAsia="Arial" w:hAnsi="Arial"/>
          <w:sz w:val="18"/>
          <w:szCs w:val="18"/>
          <w:color w:val="auto"/>
        </w:rPr>
      </w:pPr>
    </w:p>
    <w:p>
      <w:pPr>
        <w:ind w:left="800" w:hanging="324"/>
        <w:spacing w:after="0"/>
        <w:tabs>
          <w:tab w:leader="none" w:pos="800" w:val="left"/>
        </w:tabs>
        <w:numPr>
          <w:ilvl w:val="2"/>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2-Identify and assess risk in the supply chain</w:t>
      </w:r>
    </w:p>
    <w:p>
      <w:pPr>
        <w:spacing w:after="0" w:line="256" w:lineRule="exact"/>
        <w:rPr>
          <w:rFonts w:ascii="Arial" w:cs="Arial" w:eastAsia="Arial" w:hAnsi="Arial"/>
          <w:sz w:val="18"/>
          <w:szCs w:val="18"/>
          <w:b w:val="1"/>
          <w:bCs w:val="1"/>
          <w:color w:val="auto"/>
        </w:rPr>
      </w:pPr>
    </w:p>
    <w:p>
      <w:pPr>
        <w:ind w:left="1120" w:right="80" w:hanging="320"/>
        <w:spacing w:after="0" w:line="258"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The Brady conflict minerals team conducted a detailed review of the products manufactured or contracted to be manufactured during the reporting year 2020 to identify products that may be in scope of the rule.</w:t>
      </w:r>
    </w:p>
    <w:p>
      <w:pPr>
        <w:spacing w:after="0" w:line="1" w:lineRule="exact"/>
        <w:rPr>
          <w:rFonts w:ascii="Arial" w:cs="Arial" w:eastAsia="Arial" w:hAnsi="Arial"/>
          <w:sz w:val="18"/>
          <w:szCs w:val="18"/>
          <w:color w:val="auto"/>
        </w:rPr>
      </w:pPr>
    </w:p>
    <w:p>
      <w:pPr>
        <w:ind w:left="1120" w:hanging="320"/>
        <w:spacing w:after="0"/>
        <w:tabs>
          <w:tab w:leader="none" w:pos="1120"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identified the direct suppliers of products or components that may contain 3TG Minerals.</w:t>
      </w:r>
    </w:p>
    <w:p>
      <w:pPr>
        <w:spacing w:after="0" w:line="9" w:lineRule="exact"/>
        <w:rPr>
          <w:rFonts w:ascii="Arial" w:cs="Arial" w:eastAsia="Arial" w:hAnsi="Arial"/>
          <w:sz w:val="18"/>
          <w:szCs w:val="18"/>
          <w:color w:val="auto"/>
        </w:rPr>
      </w:pPr>
    </w:p>
    <w:p>
      <w:pPr>
        <w:ind w:left="1120" w:hanging="320"/>
        <w:spacing w:after="0" w:line="250"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conducted supply chain surveys of the in 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Arial" w:cs="Arial" w:eastAsia="Arial" w:hAnsi="Arial"/>
          <w:sz w:val="18"/>
          <w:szCs w:val="18"/>
          <w:color w:val="auto"/>
        </w:rPr>
      </w:pPr>
    </w:p>
    <w:p>
      <w:pPr>
        <w:ind w:left="1120" w:hanging="320"/>
        <w:spacing w:after="0"/>
        <w:tabs>
          <w:tab w:leader="none" w:pos="1120" w:val="left"/>
        </w:tabs>
        <w:numPr>
          <w:ilvl w:val="3"/>
          <w:numId w:val="4"/>
        </w:numPr>
        <w:rPr>
          <w:rFonts w:ascii="Arial" w:cs="Arial" w:eastAsia="Arial" w:hAnsi="Arial"/>
          <w:sz w:val="17"/>
          <w:szCs w:val="17"/>
          <w:color w:val="auto"/>
        </w:rPr>
      </w:pPr>
      <w:r>
        <w:rPr>
          <w:rFonts w:ascii="Arial" w:cs="Arial" w:eastAsia="Arial" w:hAnsi="Arial"/>
          <w:sz w:val="17"/>
          <w:szCs w:val="17"/>
          <w:color w:val="auto"/>
        </w:rPr>
        <w:t>We followed up with non-responding direct suppliers and also worked to clarify and validate the responses from the suppliers.</w:t>
      </w:r>
    </w:p>
    <w:p>
      <w:pPr>
        <w:spacing w:after="0" w:line="20" w:lineRule="exact"/>
        <w:rPr>
          <w:rFonts w:ascii="Arial" w:cs="Arial" w:eastAsia="Arial" w:hAnsi="Arial"/>
          <w:sz w:val="17"/>
          <w:szCs w:val="17"/>
          <w:color w:val="auto"/>
        </w:rPr>
      </w:pPr>
    </w:p>
    <w:p>
      <w:pPr>
        <w:ind w:left="1120" w:right="80" w:hanging="320"/>
        <w:spacing w:after="0" w:line="260"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We compared smelter listings supplied by responding suppliers with the RMI list of validated conflict free and verified facilities. Further smelter confirmation was conducted using a commercially available smelter verification service.</w:t>
      </w:r>
    </w:p>
    <w:p>
      <w:pPr>
        <w:spacing w:after="0" w:line="208" w:lineRule="exact"/>
        <w:rPr>
          <w:rFonts w:ascii="Arial" w:cs="Arial" w:eastAsia="Arial" w:hAnsi="Arial"/>
          <w:sz w:val="18"/>
          <w:szCs w:val="18"/>
          <w:color w:val="auto"/>
        </w:rPr>
      </w:pPr>
    </w:p>
    <w:p>
      <w:pPr>
        <w:ind w:left="800" w:hanging="324"/>
        <w:spacing w:after="0"/>
        <w:tabs>
          <w:tab w:leader="none" w:pos="800" w:val="left"/>
        </w:tabs>
        <w:numPr>
          <w:ilvl w:val="2"/>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3-Design and implement a strategy to respond to identified risks</w:t>
      </w:r>
    </w:p>
    <w:p>
      <w:pPr>
        <w:spacing w:after="0" w:line="256" w:lineRule="exact"/>
        <w:rPr>
          <w:rFonts w:ascii="Arial" w:cs="Arial" w:eastAsia="Arial" w:hAnsi="Arial"/>
          <w:sz w:val="18"/>
          <w:szCs w:val="18"/>
          <w:b w:val="1"/>
          <w:bCs w:val="1"/>
          <w:color w:val="auto"/>
        </w:rPr>
      </w:pPr>
    </w:p>
    <w:p>
      <w:pPr>
        <w:ind w:left="1120" w:right="340" w:hanging="320"/>
        <w:spacing w:after="0" w:line="277" w:lineRule="auto"/>
        <w:tabs>
          <w:tab w:leader="none" w:pos="1116" w:val="left"/>
        </w:tabs>
        <w:numPr>
          <w:ilvl w:val="3"/>
          <w:numId w:val="4"/>
        </w:numPr>
        <w:rPr>
          <w:rFonts w:ascii="Arial" w:cs="Arial" w:eastAsia="Arial" w:hAnsi="Arial"/>
          <w:sz w:val="18"/>
          <w:szCs w:val="18"/>
          <w:color w:val="auto"/>
        </w:rPr>
      </w:pPr>
      <w:r>
        <w:rPr>
          <w:rFonts w:ascii="Arial" w:cs="Arial" w:eastAsia="Arial" w:hAnsi="Arial"/>
          <w:sz w:val="18"/>
          <w:szCs w:val="18"/>
          <w:color w:val="auto"/>
        </w:rPr>
        <w:t>Brady has a risk management plan that addresses known issues with suppliers that do not meet the requirements of Brady’s corporate sourcing policy.</w:t>
      </w:r>
    </w:p>
    <w:p>
      <w:pPr>
        <w:spacing w:after="0" w:line="200" w:lineRule="exact"/>
        <w:rPr>
          <w:sz w:val="20"/>
          <w:szCs w:val="20"/>
          <w:color w:val="auto"/>
        </w:rPr>
      </w:pPr>
    </w:p>
    <w:p>
      <w:pPr>
        <w:spacing w:after="0" w:line="30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500" w:top="1134" w:right="359" w:bottom="1440" w:gutter="0" w:footer="0" w:header="0"/>
        </w:sectPr>
      </w:pPr>
    </w:p>
    <w:bookmarkStart w:id="4" w:name="page5"/>
    <w:bookmarkEnd w:id="4"/>
    <w:p>
      <w:pPr>
        <w:ind w:left="1120" w:right="620" w:hanging="320"/>
        <w:spacing w:after="0" w:line="277" w:lineRule="auto"/>
        <w:tabs>
          <w:tab w:leader="none" w:pos="111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conflict minerals team reports to relevant business leaders and the head of Global Compliance on the status of direct supplier responses.</w:t>
      </w:r>
    </w:p>
    <w:p>
      <w:pPr>
        <w:spacing w:after="0" w:line="193" w:lineRule="exact"/>
        <w:rPr>
          <w:rFonts w:ascii="Arial" w:cs="Arial" w:eastAsia="Arial" w:hAnsi="Arial"/>
          <w:sz w:val="18"/>
          <w:szCs w:val="18"/>
          <w:color w:val="auto"/>
        </w:rPr>
      </w:pPr>
    </w:p>
    <w:p>
      <w:pPr>
        <w:ind w:left="800" w:hanging="324"/>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4-Support independent third-party audits of smelter/refiners' due diligence practices</w:t>
      </w:r>
    </w:p>
    <w:p>
      <w:pPr>
        <w:spacing w:after="0" w:line="256" w:lineRule="exact"/>
        <w:rPr>
          <w:rFonts w:ascii="Arial" w:cs="Arial" w:eastAsia="Arial" w:hAnsi="Arial"/>
          <w:sz w:val="18"/>
          <w:szCs w:val="18"/>
          <w:b w:val="1"/>
          <w:bCs w:val="1"/>
          <w:color w:val="auto"/>
        </w:rPr>
      </w:pPr>
    </w:p>
    <w:p>
      <w:pPr>
        <w:ind w:left="1120" w:right="340" w:hanging="320"/>
        <w:spacing w:after="0" w:line="255" w:lineRule="auto"/>
        <w:tabs>
          <w:tab w:leader="none" w:pos="1116"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2" w:lineRule="exact"/>
        <w:rPr>
          <w:rFonts w:ascii="Arial" w:cs="Arial" w:eastAsia="Arial" w:hAnsi="Arial"/>
          <w:sz w:val="18"/>
          <w:szCs w:val="18"/>
          <w:color w:val="auto"/>
        </w:rPr>
      </w:pPr>
    </w:p>
    <w:p>
      <w:pPr>
        <w:ind w:left="1120" w:right="180" w:hanging="320"/>
        <w:spacing w:after="0" w:line="290" w:lineRule="auto"/>
        <w:tabs>
          <w:tab w:leader="none" w:pos="1116" w:val="left"/>
        </w:tabs>
        <w:numPr>
          <w:ilvl w:val="1"/>
          <w:numId w:val="5"/>
        </w:numPr>
        <w:rPr>
          <w:rFonts w:ascii="Arial" w:cs="Arial" w:eastAsia="Arial" w:hAnsi="Arial"/>
          <w:sz w:val="17"/>
          <w:szCs w:val="17"/>
          <w:color w:val="auto"/>
        </w:rPr>
      </w:pPr>
      <w:r>
        <w:rPr>
          <w:rFonts w:ascii="Arial" w:cs="Arial" w:eastAsia="Arial" w:hAnsi="Arial"/>
          <w:sz w:val="17"/>
          <w:szCs w:val="17"/>
          <w:color w:val="auto"/>
        </w:rPr>
        <w:t>We supported the development and implementation of independent third-party audits of smelters/refiners through our Conflict Minerals Policy and procurement practices, which encourage suppliers to purchase materials from audited smelters/refiners.</w:t>
      </w:r>
    </w:p>
    <w:p>
      <w:pPr>
        <w:spacing w:after="0" w:line="184" w:lineRule="exact"/>
        <w:rPr>
          <w:rFonts w:ascii="Arial" w:cs="Arial" w:eastAsia="Arial" w:hAnsi="Arial"/>
          <w:sz w:val="17"/>
          <w:szCs w:val="17"/>
          <w:color w:val="auto"/>
        </w:rPr>
      </w:pPr>
    </w:p>
    <w:p>
      <w:pPr>
        <w:ind w:left="800" w:hanging="324"/>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5-Report on supply chain due diligence</w:t>
      </w:r>
    </w:p>
    <w:p>
      <w:pPr>
        <w:spacing w:after="0" w:line="269" w:lineRule="exact"/>
        <w:rPr>
          <w:rFonts w:ascii="Arial" w:cs="Arial" w:eastAsia="Arial" w:hAnsi="Arial"/>
          <w:sz w:val="18"/>
          <w:szCs w:val="18"/>
          <w:b w:val="1"/>
          <w:bCs w:val="1"/>
          <w:color w:val="auto"/>
        </w:rPr>
      </w:pPr>
    </w:p>
    <w:p>
      <w:pPr>
        <w:ind w:left="1120" w:right="3600" w:hanging="320"/>
        <w:spacing w:after="0" w:line="245" w:lineRule="auto"/>
        <w:tabs>
          <w:tab w:leader="none" w:pos="1109" w:val="left"/>
        </w:tabs>
        <w:numPr>
          <w:ilvl w:val="1"/>
          <w:numId w:val="5"/>
        </w:numPr>
        <w:rPr>
          <w:rFonts w:ascii="Arial" w:cs="Arial" w:eastAsia="Arial" w:hAnsi="Arial"/>
          <w:sz w:val="20"/>
          <w:szCs w:val="20"/>
          <w:color w:val="auto"/>
        </w:rPr>
      </w:pPr>
      <w:r>
        <w:rPr>
          <w:rFonts w:ascii="Arial" w:cs="Arial" w:eastAsia="Arial" w:hAnsi="Arial"/>
          <w:sz w:val="18"/>
          <w:szCs w:val="18"/>
          <w:color w:val="auto"/>
        </w:rPr>
        <w:t xml:space="preserve">Brady has publicly communicated its Conflict Minerals Policy on our company website. </w:t>
      </w:r>
      <w:r>
        <w:rPr>
          <w:rFonts w:ascii="Arial" w:cs="Arial" w:eastAsia="Arial" w:hAnsi="Arial"/>
          <w:sz w:val="18"/>
          <w:szCs w:val="18"/>
          <w:u w:val="single" w:color="auto"/>
          <w:color w:val="0000FF"/>
        </w:rPr>
        <w:t>https://www.bradyid.com/corporate/supplier-information</w:t>
      </w:r>
    </w:p>
    <w:p>
      <w:pPr>
        <w:ind w:left="1120" w:right="1300" w:hanging="320"/>
        <w:spacing w:after="0" w:line="237" w:lineRule="auto"/>
        <w:tabs>
          <w:tab w:leader="none" w:pos="1109" w:val="left"/>
        </w:tabs>
        <w:numPr>
          <w:ilvl w:val="1"/>
          <w:numId w:val="5"/>
        </w:numPr>
        <w:rPr>
          <w:rFonts w:ascii="Arial" w:cs="Arial" w:eastAsia="Arial" w:hAnsi="Arial"/>
          <w:sz w:val="20"/>
          <w:szCs w:val="20"/>
          <w:color w:val="auto"/>
        </w:rPr>
      </w:pPr>
      <w:r>
        <w:rPr>
          <w:rFonts w:ascii="Arial" w:cs="Arial" w:eastAsia="Arial" w:hAnsi="Arial"/>
          <w:sz w:val="18"/>
          <w:szCs w:val="18"/>
          <w:color w:val="auto"/>
        </w:rPr>
        <w:t xml:space="preserve">Brady’s Form SD and Conflict Minerals Report were filed with the SEC and are also available on our company website. </w:t>
      </w:r>
      <w:r>
        <w:rPr>
          <w:rFonts w:ascii="Arial" w:cs="Arial" w:eastAsia="Arial" w:hAnsi="Arial"/>
          <w:sz w:val="18"/>
          <w:szCs w:val="18"/>
          <w:u w:val="single" w:color="auto"/>
          <w:color w:val="0000FF"/>
        </w:rPr>
        <w:t>https://www.bradyid.com/corporate/supplier-information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Results of the Due Diligence measures</w:t>
      </w:r>
    </w:p>
    <w:p>
      <w:pPr>
        <w:spacing w:after="0" w:line="256" w:lineRule="exact"/>
        <w:rPr>
          <w:sz w:val="20"/>
          <w:szCs w:val="20"/>
          <w:color w:val="auto"/>
        </w:rPr>
      </w:pPr>
    </w:p>
    <w:p>
      <w:pPr>
        <w:jc w:val="both"/>
        <w:ind w:left="400"/>
        <w:spacing w:after="0" w:line="275" w:lineRule="auto"/>
        <w:rPr>
          <w:sz w:val="20"/>
          <w:szCs w:val="20"/>
          <w:color w:val="auto"/>
        </w:rPr>
      </w:pPr>
      <w:r>
        <w:rPr>
          <w:rFonts w:ascii="Arial" w:cs="Arial" w:eastAsia="Arial" w:hAnsi="Arial"/>
          <w:sz w:val="17"/>
          <w:szCs w:val="17"/>
          <w:color w:val="auto"/>
        </w:rPr>
        <w:t>Brady’s due diligence on the source and chain of custody of necessary 3TG Minerals contained in its products revealed that a majority of smelters identified in our supply chain are either conformant or low risk. However, not all smelters in global mineral supply chains have been audited or re-audited yet. In addition, the compliance or operational status of certain smelters/refiners may have changed since December 31, 2020. Brady is working with its suppliers to ensure that all the smelters in its supply chain comply with the requirements of the rule. Additional due diligence is on-going, since most suppliers provided a company-level and not product-level declaration.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Product Description; Processing Facilities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scope of our inquiry covered the following products, which we believe are the most likely to contain metallic forms of 3TG Minerals:</w:t>
      </w:r>
    </w:p>
    <w:p>
      <w:pPr>
        <w:spacing w:after="0" w:line="23" w:lineRule="exact"/>
        <w:rPr>
          <w:sz w:val="20"/>
          <w:szCs w:val="20"/>
          <w:color w:val="auto"/>
        </w:rPr>
      </w:pPr>
    </w:p>
    <w:p>
      <w:pPr>
        <w:ind w:left="1120" w:hanging="32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Inkjet and thermal transfer printers—both hand held and desktop models—containing electronic parts;</w:t>
      </w:r>
    </w:p>
    <w:p>
      <w:pPr>
        <w:spacing w:after="0" w:line="7" w:lineRule="exact"/>
        <w:rPr>
          <w:rFonts w:ascii="Arial" w:cs="Arial" w:eastAsia="Arial" w:hAnsi="Arial"/>
          <w:sz w:val="18"/>
          <w:szCs w:val="18"/>
          <w:color w:val="auto"/>
        </w:rPr>
      </w:pPr>
    </w:p>
    <w:p>
      <w:pPr>
        <w:ind w:left="1120" w:hanging="32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Labels and tapes for thermal transfer printing, some of which are in cassettes containing electronic parts;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Preprinted labels and tapes, some with external coating, pipe and wire markers, and metal asset tags;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signs and traffic signs;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Pads for medical applications and sorbent materials for environmental clean-up;</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Lock-out / tag-out devices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Visitor identification badges, badge holders and lanyards, and wristbands; and</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Die-cut materials for the telecommunications industry, primarily plastics and polyester foams.</w:t>
      </w:r>
    </w:p>
    <w:p>
      <w:pPr>
        <w:spacing w:after="0" w:line="23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of our lock-out/tag-out devices. Brady also develops software for products that are factory installed or downloadable. All of the foregoing products are not within the scope of this report.</w:t>
      </w:r>
    </w:p>
    <w:p>
      <w:pPr>
        <w:spacing w:after="0" w:line="214"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500" w:top="895" w:right="339" w:bottom="1440" w:gutter="0" w:footer="0" w:header="0"/>
        </w:sectPr>
      </w:pPr>
    </w:p>
    <w:bookmarkStart w:id="5" w:name="page6"/>
    <w:bookmarkEnd w:id="5"/>
    <w:p>
      <w:pPr>
        <w:ind w:left="360" w:hanging="354"/>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Steps to Improve Due Diligence</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will continue to communicate our expectations and information requirements regarding 3TG Minerals to our direct suppliers, as a part of our</w:t>
      </w:r>
    </w:p>
    <w:p>
      <w:pPr>
        <w:spacing w:after="0" w:line="73" w:lineRule="exact"/>
        <w:rPr>
          <w:sz w:val="20"/>
          <w:szCs w:val="20"/>
          <w:color w:val="auto"/>
        </w:rPr>
      </w:pPr>
    </w:p>
    <w:p>
      <w:pPr>
        <w:jc w:val="both"/>
        <w:ind w:left="400"/>
        <w:spacing w:after="0" w:line="308" w:lineRule="auto"/>
        <w:rPr>
          <w:sz w:val="20"/>
          <w:szCs w:val="20"/>
          <w:color w:val="auto"/>
        </w:rPr>
      </w:pPr>
      <w:r>
        <w:rPr>
          <w:rFonts w:ascii="Arial" w:cs="Arial" w:eastAsia="Arial" w:hAnsi="Arial"/>
          <w:sz w:val="16"/>
          <w:szCs w:val="16"/>
          <w:color w:val="auto"/>
        </w:rPr>
        <w:t>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w:t>
      </w:r>
    </w:p>
    <w:p>
      <w:pPr>
        <w:jc w:val="both"/>
        <w:ind w:left="400"/>
        <w:spacing w:after="0" w:line="334" w:lineRule="auto"/>
        <w:rPr>
          <w:sz w:val="20"/>
          <w:szCs w:val="20"/>
          <w:color w:val="auto"/>
        </w:rPr>
      </w:pPr>
      <w:r>
        <w:rPr>
          <w:rFonts w:ascii="Arial" w:cs="Arial" w:eastAsia="Arial" w:hAnsi="Arial"/>
          <w:sz w:val="16"/>
          <w:szCs w:val="16"/>
          <w:color w:val="auto"/>
        </w:rPr>
        <w:t>discussions regarding relevant policies, procedures and practices. We will continue to monitor changes in circumstances that may impact the facts or our determination regarding the source of our 3TG Minerals. Over time, we anticipate that the amount of information globally on the traceability</w:t>
      </w:r>
    </w:p>
    <w:p>
      <w:pPr>
        <w:spacing w:after="0" w:line="1"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Independent Private Sector Audit</w:t>
      </w:r>
    </w:p>
    <w:p>
      <w:pPr>
        <w:spacing w:after="0" w:line="256"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Pursuant to SEC rules and related guidance, an independent private sector audit was not required for Brady’s Conflict Minerals Report for calendar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500" w:top="891" w:right="339" w:bottom="1440" w:gutter="0" w:footer="0" w:header="0"/>
        </w:sectPr>
      </w:pPr>
    </w:p>
    <w:bookmarkStart w:id="6" w:name="page7"/>
    <w:bookmarkEnd w:id="6"/>
    <w:p>
      <w:pPr>
        <w:ind w:left="5180"/>
        <w:spacing w:after="0"/>
        <w:rPr>
          <w:sz w:val="20"/>
          <w:szCs w:val="20"/>
          <w:color w:val="auto"/>
        </w:rPr>
      </w:pPr>
      <w:r>
        <w:rPr>
          <w:rFonts w:ascii="Arial" w:cs="Arial" w:eastAsia="Arial" w:hAnsi="Arial"/>
          <w:sz w:val="18"/>
          <w:szCs w:val="18"/>
          <w:b w:val="1"/>
          <w:bCs w:val="1"/>
          <w:color w:val="auto"/>
        </w:rPr>
        <w:t>Appendix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Smelters/Refiners Identified by Suppliers Identified in Brady’s Supply Chain</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Metal</w:t>
            </w:r>
          </w:p>
        </w:tc>
        <w:tc>
          <w:tcPr>
            <w:tcW w:w="398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b w:val="1"/>
                <w:bCs w:val="1"/>
                <w:color w:val="auto"/>
              </w:rPr>
              <w:t>Smelter Name</w:t>
            </w:r>
          </w:p>
        </w:tc>
        <w:tc>
          <w:tcPr>
            <w:tcW w:w="420" w:type="dxa"/>
            <w:vAlign w:val="bottom"/>
            <w:tcBorders>
              <w:top w:val="single" w:sz="8" w:color="auto"/>
              <w:bottom w:val="single" w:sz="8" w:color="auto"/>
              <w:right w:val="single" w:sz="8" w:color="auto"/>
            </w:tcBorders>
          </w:tcPr>
          <w:p>
            <w:pPr>
              <w:spacing w:after="0"/>
              <w:rPr>
                <w:sz w:val="22"/>
                <w:szCs w:val="22"/>
                <w:color w:val="auto"/>
              </w:rPr>
            </w:pPr>
          </w:p>
        </w:tc>
        <w:tc>
          <w:tcPr>
            <w:tcW w:w="348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Smelter Country</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Smelter ID</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8853 S.p.A.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Advanced Chemical Company</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CID000019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 Etihad Gold Refinery DMCC</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CID000035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6"/>
              </w:rPr>
              <w:t>Almalyk Mining and Metallurgical Complex (AMMC)</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AngloGold Ashanti Corrego do Sitio Mineracao</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Argor-Heraeus S.A.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Asahi Pretec Corp.</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Asahi Refining Canada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Asahi Refining USA Inc.</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CID000920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 Traders and Refiners</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CID002850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Aurubis AG</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CID000113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Bangalore Refinery</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CID002863</w:t>
            </w:r>
          </w:p>
        </w:tc>
      </w:tr>
      <w:tr>
        <w:trPr>
          <w:trHeight w:val="215"/>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ind w:left="20"/>
              <w:spacing w:after="0"/>
              <w:rPr>
                <w:sz w:val="20"/>
                <w:szCs w:val="20"/>
                <w:color w:val="auto"/>
              </w:rPr>
            </w:pPr>
            <w:r>
              <w:rPr>
                <w:rFonts w:ascii="Arial" w:cs="Arial" w:eastAsia="Arial" w:hAnsi="Arial"/>
                <w:sz w:val="18"/>
                <w:szCs w:val="18"/>
                <w:color w:val="auto"/>
              </w:rPr>
              <w:t>Bangko Sentral ng Pilipinas (Central Bank of the</w:t>
            </w:r>
          </w:p>
        </w:tc>
        <w:tc>
          <w:tcPr>
            <w:tcW w:w="4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CID000128</w:t>
            </w: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4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Boliden AB</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SWEDEN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CID000157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 Hafner GmbH + Co. KG</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CID000176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CID000185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Cendres + Metaux S.A.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CID000189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CGR Metalloys Pvt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CID003382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Chimet S.p.A.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CID000233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Chugai Mining</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CID000264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Daye Non-Ferrous Metals Mining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CID000343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Degussa Sonne / Mond Goldhandel GmbH</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CID002867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DODUCO Contacts and Refining GmbH</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CID000362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CID000401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DSC (Do Sung Corporation)</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CID000359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Eco-System Recycling Co., Ltd. East Plant</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Emirates Gold DMCC</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CID002561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GCC Gujrat Gold Centre Pvt.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CID002852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Geib Refining Corporation</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CID002459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CID002243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CID001909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42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CID002312</w:t>
            </w:r>
          </w:p>
        </w:tc>
      </w:tr>
      <w:tr>
        <w:trPr>
          <w:trHeight w:val="864"/>
        </w:trPr>
        <w:tc>
          <w:tcPr>
            <w:tcW w:w="1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5</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1134" w:right="67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Guoda Safina High-Tech Environmental Refinery Co.,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CID000651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CID000671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Heimerle + Meule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CID000694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Heraeus Germany GmbH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CID000711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CID000707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CID000767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Guiyang yinxing Nonferrous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CID000773</w:t>
            </w:r>
          </w:p>
        </w:tc>
      </w:tr>
      <w:tr>
        <w:trPr>
          <w:trHeight w:val="215"/>
        </w:trPr>
        <w:tc>
          <w:tcPr>
            <w:tcW w:w="158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Inner Mongolia Qiankun Gold and Silver Refinery Share</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CID000801</w:t>
            </w: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3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 Precious Metal Refiners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CID000807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Istanbul Gold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CID000814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Italpreziosi</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CID002765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CID000823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Copper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CID000855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JSC Novosibirsk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JSC Uralelectromed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CID000929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JX Nippon Mining &amp;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CID000937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Kazakhmys Smelting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CID000956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Kazzinc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Kennecott Utah Copper LLC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CID000969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KGHM Polska Miedz Spolka Akcyjna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CID002511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Kojima Chemicals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CID000981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Zinc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CID002605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Kyrgyzaltyn JSC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KYRGYZSTAN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CID001029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Kyshtym Copper-Electrolytic Plant ZAO</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CID002865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Lingbao Gold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CID001056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CID001058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L'Orfebre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ANDORRA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LS-NIKKO Copper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CID001078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LT Metal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CID000689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CID001093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Marsam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CID002606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Materion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CID001113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Matsuda Sangyo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Technologies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CID001149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Technologies (Singapore) Pte.,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Technologies (Suzhou)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CID001147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Technologies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CID001153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Metalor USA Refining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Metalurgica Met-Mex Penoles S.A. De C.V.</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CID001188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CID001193</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Arial" w:cs="Arial" w:eastAsia="Arial" w:hAnsi="Arial"/>
                <w:sz w:val="18"/>
                <w:szCs w:val="18"/>
                <w:color w:val="auto"/>
              </w:rPr>
              <w:t>6</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MMTC-PAMP India Pvt.,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CID002509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Moscow Special Alloys Processing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CID001204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Nadir Metal Rafineri San. Ve Tic. A.S.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CID001220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CID001236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Nihon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CID001259</w:t>
            </w:r>
          </w:p>
        </w:tc>
      </w:tr>
      <w:tr>
        <w:trPr>
          <w:trHeight w:val="215"/>
        </w:trPr>
        <w:tc>
          <w:tcPr>
            <w:tcW w:w="158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Ogussa Osterreichische Gold- und Silber-Scheideanstalt</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CID002779</w:t>
            </w: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3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Ohura Precious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CID001325</w:t>
            </w:r>
          </w:p>
        </w:tc>
      </w:tr>
      <w:tr>
        <w:trPr>
          <w:trHeight w:val="215"/>
        </w:trPr>
        <w:tc>
          <w:tcPr>
            <w:tcW w:w="158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"The Gulidov Krasnoyarsk Non-Ferrous Metals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CID001326</w:t>
            </w: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Plant" (OJSC Krastsvetmet)</w:t>
            </w:r>
          </w:p>
        </w:tc>
        <w:tc>
          <w:tcPr>
            <w:tcW w:w="3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PAMP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CID001352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Pease &amp; Curren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CID002872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Penglai Penggang Gold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CID001362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Planta Recuperadora de Metales SpA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CHILE</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CID002919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Prioksky Plant of Non-Ferrous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CID001386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Aneka Tambang (Persero) Tbk</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CID001397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PX Precinox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CID001498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QG Refining,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CID003324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Rand Refinery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CID001512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Refinery of Seemine Gold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CID000522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REMONDIS PMR B.V.</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CID002582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Royal Canadian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CID001534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SAAMP</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Sabin Metal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CID001546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Safimet S.p.A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CID002973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SAFINA A.S.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CZECHIA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CID002290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Sai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CID002853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Samduck Precious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CID001555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SAXONIA Edelmetalle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CID002777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SEMPSA Joyeria Plateria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CID001585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Shandong Gold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CID001916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Shandong Humon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Shandong Tiancheng Biological Gold Industrial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CID001619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CID001622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Sichuan Tianze Precious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CID001736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Singway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CID002516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SOE Shyolkovsky Factory of Secondary Precious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CID001756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CID001761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Sovereign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CID003383</w:t>
            </w:r>
          </w:p>
        </w:tc>
      </w:tr>
      <w:tr>
        <w:trPr>
          <w:trHeight w:val="215"/>
        </w:trPr>
        <w:tc>
          <w:tcPr>
            <w:tcW w:w="158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State Research Institute Center for Physical Sciences and</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LITHUANIA</w:t>
            </w:r>
          </w:p>
        </w:tc>
        <w:tc>
          <w:tcPr>
            <w:tcW w:w="1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CID003153</w:t>
            </w: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Technology</w:t>
            </w:r>
          </w:p>
        </w:tc>
        <w:tc>
          <w:tcPr>
            <w:tcW w:w="3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CID001798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SungEel HiMetal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CID002918</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Arial" w:cs="Arial" w:eastAsia="Arial" w:hAnsi="Arial"/>
                <w:sz w:val="18"/>
                <w:szCs w:val="18"/>
                <w:color w:val="auto"/>
              </w:rPr>
              <w:t>7</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T.C.A S.p.A</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Tanaka Kikinzoku Kogyo K.K.</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CID001875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Tokuriki Honten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Tongling Nonferrous Metals Group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CID001947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TOO Tau-Ken-Altyn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CID002615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Torecom</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TSK Pretech</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CID003195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Umicore Precious Metals Thailand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CID002314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Precious Metal Refining,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CID001993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Valcambi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CID002003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Western Australian Mint (T/a The Perth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CID002030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WIELAND Edelmetalle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CID002778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Yamakin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CID002100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Yokohama 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CID002129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Copper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CID000197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Zhongyuan Gold Smelter of Zhongjin Gold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CID002224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AMG Brasil</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CID001076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CID000211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 Block Metals,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Exotech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CID000456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F&amp;X Electro-Materials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 Metals &amp; Resource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Advanced Metals Aizu</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Advanced Metals Boyertown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Hermsdorf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CID002547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CID002492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CID002512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Tuohong New Raw Material</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Jiujiang Tanbre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KEMET de Mexico</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 Materials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NORTH MACEDONIA,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CID002847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Metallurgical Products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CID001192</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Arial" w:cs="Arial" w:eastAsia="Arial" w:hAnsi="Arial"/>
                <w:sz w:val="18"/>
                <w:szCs w:val="18"/>
                <w:color w:val="auto"/>
              </w:rPr>
              <w:t>8</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460" w:type="dxa"/>
            <w:vAlign w:val="bottom"/>
            <w:tcBorders>
              <w:top w:val="single" w:sz="8" w:color="auto"/>
              <w:bottom w:val="single" w:sz="8" w:color="auto"/>
              <w:right w:val="single" w:sz="8" w:color="auto"/>
            </w:tcBorders>
          </w:tcPr>
          <w:p>
            <w:pPr>
              <w:spacing w:after="0"/>
              <w:rPr>
                <w:sz w:val="22"/>
                <w:szCs w:val="22"/>
                <w:color w:val="auto"/>
              </w:rPr>
            </w:pP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CID001277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NPM Silmet AS</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ESTONIA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CID001200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QuantumClean</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CID001508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CID002707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Solikamsk Magnesium Works OAO</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CID001769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Taki Chemical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CID001869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TANIOBIS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CID002544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TANIOBIS GmbH</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CID002545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TANIOBIS Japan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CID002549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TANIOBIS Smelting GmbH &amp; Co. KG</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CID002550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Telex Metals</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CID001891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Ulba Metallurgical Plant JSC</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XIMEI RESOURCES (GUANGDONG) LIMITED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CID000616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Tantalum</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Yanling Jincheng Tantalum &amp; Niobium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CID001522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Alpha</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CID000292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An Vinh Joint Stock Mineral Processing Company</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3"/>
              </w:rPr>
              <w:t>Chenzhou Yunxiang Mining and Metallurgy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CID000228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Chifeng Dajingzi Tin Industry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CID003190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China Tin Group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CID001070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CV Ayi Jaya</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CID002570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CV Venus Inti Perkasa</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CID002455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CID000402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 Vinto</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Estanho de Rondonia S.A.</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Fenix Metals</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Gejiu Fengming Metallurgy Chemical Plant</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Gejiu Kai Meng Industry and Trade LLC</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CID000538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CID001908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Gejiu Zili Mining And Metallurgy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CID000555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Guangdong Hanhe Non-Ferrous Metal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CID003116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HuiChang Hill Tin Industry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CID002844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Jiangxi New Nanshan Technology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CID001231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Ma'anshan Weitai Tin Co., Ltd.</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CID003379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Magnu's Minerais Metais e Ligas Ltda.</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Malaysia Smelting Corporation (MSC)</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Melt Metais e Ligas S.A.</w:t>
            </w:r>
          </w:p>
        </w:tc>
        <w:tc>
          <w:tcPr>
            <w:tcW w:w="460" w:type="dxa"/>
            <w:vAlign w:val="bottom"/>
            <w:tcBorders>
              <w:bottom w:val="single" w:sz="8" w:color="auto"/>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CID002500</w:t>
            </w:r>
          </w:p>
        </w:tc>
      </w:tr>
      <w:tr>
        <w:trPr>
          <w:trHeight w:val="864"/>
        </w:trPr>
        <w:tc>
          <w:tcPr>
            <w:tcW w:w="1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Metallic Resources, Inc.</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Metallo Belgium N.V.</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Metallo Spain S.L.U.</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CID002774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CID001191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Nghe Tinh Non-Ferrous Metals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O.M. Manufacturing (Thailand)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CID001314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O.M. Manufacturing Philippines,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Operaciones Metalurgicas 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CID001337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Pongpipat Company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MYANMAR</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CID003208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Aries Kencana Sejahtera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CID000309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Artha Cipta Langgeng</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CID001399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ATD Makmur Mandiri Jaya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Babel Inti Perkasa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CID001402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Bangka Serumpun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CID003205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Bukit Timah</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CID001428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Lautan Harmonis Sejahtera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CID002870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Menara Cipta Mulia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CID002835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Mitra Stania Prima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CID001453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Prima Timah Utama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Rajehan Ariq</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CID002593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Refined Bangka Tin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Stanindo Inti Perkasa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Sukses Inti Makmur</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Timah Tbk Kundur</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Timah Tbk Mentok</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Tinindo Inter Nusa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CID001490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Rui Da Hung</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Soft Metais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CID001758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Super Ligas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CID002756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 Nguyen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CID002834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Thaisarco</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CID001898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 Technology &amp;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CID003325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Tuyen Quang Non-Ferrous Metals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CID002574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 Solder Metalurgia e Mineracao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CID002036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CID002158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Tin Company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CID002180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Yunfan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CID003397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A.L.M.T.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CID000004</w:t>
            </w:r>
          </w:p>
        </w:tc>
      </w:tr>
      <w:tr>
        <w:trPr>
          <w:trHeight w:val="864"/>
        </w:trPr>
        <w:tc>
          <w:tcPr>
            <w:tcW w:w="1580" w:type="dxa"/>
            <w:vAlign w:val="bottom"/>
          </w:tcPr>
          <w:p>
            <w:pPr>
              <w:spacing w:after="0"/>
              <w:rPr>
                <w:sz w:val="24"/>
                <w:szCs w:val="24"/>
                <w:color w:val="auto"/>
              </w:rPr>
            </w:pPr>
          </w:p>
        </w:tc>
        <w:tc>
          <w:tcPr>
            <w:tcW w:w="4400" w:type="dxa"/>
            <w:vAlign w:val="bottom"/>
          </w:tcPr>
          <w:p>
            <w:pPr>
              <w:ind w:left="3960"/>
              <w:spacing w:after="0"/>
              <w:rPr>
                <w:sz w:val="20"/>
                <w:szCs w:val="20"/>
                <w:color w:val="auto"/>
              </w:rPr>
            </w:pPr>
            <w:r>
              <w:rPr>
                <w:rFonts w:ascii="Arial" w:cs="Arial" w:eastAsia="Arial" w:hAnsi="Arial"/>
                <w:sz w:val="18"/>
                <w:szCs w:val="18"/>
                <w:color w:val="auto"/>
              </w:rPr>
              <w:t>10</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ACL Metais Eireli</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CID002833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 Tungsten Products Vietnam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CID002502</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Chenzhou Diamond Tungsten Products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CID002513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Chongyi Zhangyuan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CID000258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CNMC (Guangxi) PGMA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CID000281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Fujian Ganmin RareMetal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CID003401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Haichuang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CID002645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CID000875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Jiangwu Ferrotungsten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CID002315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Ganzhou Seadragon W &amp; Mo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CID002494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Tungsten &amp; Powders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CID000568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Guangdong Xianglu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CID000218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Tungsten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CID002541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CID000766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Hunan Chunchang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CID000769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Hydrometallurg, JSC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CID002649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New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CID000825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CID002551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Gan Bei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CID002321</w:t>
            </w:r>
          </w:p>
        </w:tc>
      </w:tr>
      <w:tr>
        <w:trPr>
          <w:trHeight w:val="215"/>
        </w:trPr>
        <w:tc>
          <w:tcPr>
            <w:tcW w:w="15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Jiangxi Tonggu Non-ferrous Metallurgical &amp; Chemical Co.,</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CID002318</w:t>
            </w: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3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CID002317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Yaosheng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CID002316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JSC "Kirovgrad Hard Alloys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CID003408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Kennametal Fallon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CID000966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Kennametal Huntsville</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CID000105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KGETS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CID003388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Lianyou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CID003407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CID002319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Masan High-Tech Materials</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CID002543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Moliren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CID002845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Niagara Refining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CID002589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Philippine Chuangxin Industrial Co.,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CID002827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TANIOBIS Smelting GmbH &amp;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CID002542</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CID002724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Wolfram Bergbau und Hutten AG</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CID002044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Xiamen Tungsten (H.C.)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CID002320</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Xiamen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CID002082</w:t>
            </w:r>
          </w:p>
        </w:tc>
      </w:tr>
      <w:tr>
        <w:trPr>
          <w:trHeight w:val="215"/>
        </w:trPr>
        <w:tc>
          <w:tcPr>
            <w:tcW w:w="15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Xinfeng Huarui Tungsten &amp; Molybdenum New Material</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CID002830</w:t>
            </w:r>
          </w:p>
        </w:tc>
      </w:tr>
      <w:tr>
        <w:trPr>
          <w:trHeight w:val="244"/>
        </w:trPr>
        <w:tc>
          <w:tcPr>
            <w:tcW w:w="1580" w:type="dxa"/>
            <w:vAlign w:val="bottom"/>
            <w:tcBorders>
              <w:left w:val="single" w:sz="8" w:color="auto"/>
              <w:right w:val="single" w:sz="8" w:color="auto"/>
            </w:tcBorders>
          </w:tcPr>
          <w:p>
            <w:pPr>
              <w:spacing w:after="0"/>
              <w:rPr>
                <w:sz w:val="21"/>
                <w:szCs w:val="21"/>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348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916" w:right="679" w:bottom="1440" w:gutter="0" w:footer="0" w:header="0"/>
        </w:sectPr>
      </w:pPr>
    </w:p>
    <w:bookmarkStart w:id="13" w:name="page14"/>
    <w:bookmarkEnd w:id="13"/>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440" w:right="1440"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060" w:type="dxa"/>
            <w:vAlign w:val="bottom"/>
          </w:tcPr>
          <w:p>
            <w:pPr>
              <w:ind w:left="1620"/>
              <w:spacing w:after="0"/>
              <w:rPr>
                <w:sz w:val="20"/>
                <w:szCs w:val="20"/>
                <w:color w:val="auto"/>
              </w:rPr>
            </w:pPr>
            <w:r>
              <w:rPr>
                <w:rFonts w:ascii="Arial" w:cs="Arial" w:eastAsia="Arial" w:hAnsi="Arial"/>
                <w:sz w:val="18"/>
                <w:szCs w:val="18"/>
                <w:b w:val="1"/>
                <w:bCs w:val="1"/>
                <w:color w:val="auto"/>
              </w:rPr>
              <w:t>Appendix 2</w:t>
            </w:r>
          </w:p>
        </w:tc>
      </w:tr>
      <w:tr>
        <w:trPr>
          <w:trHeight w:val="459"/>
        </w:trPr>
        <w:tc>
          <w:tcPr>
            <w:tcW w:w="3560" w:type="dxa"/>
            <w:vAlign w:val="bottom"/>
          </w:tcPr>
          <w:p>
            <w:pPr>
              <w:spacing w:after="0"/>
              <w:rPr>
                <w:sz w:val="20"/>
                <w:szCs w:val="20"/>
                <w:color w:val="auto"/>
              </w:rPr>
            </w:pPr>
            <w:r>
              <w:rPr>
                <w:rFonts w:ascii="Arial" w:cs="Arial" w:eastAsia="Arial" w:hAnsi="Arial"/>
                <w:sz w:val="18"/>
                <w:szCs w:val="18"/>
                <w:b w:val="1"/>
                <w:bCs w:val="1"/>
                <w:color w:val="auto"/>
              </w:rPr>
              <w:t>Countries of Origin*</w:t>
            </w:r>
          </w:p>
        </w:tc>
        <w:tc>
          <w:tcPr>
            <w:tcW w:w="4060" w:type="dxa"/>
            <w:vAlign w:val="bottom"/>
          </w:tcPr>
          <w:p>
            <w:pPr>
              <w:spacing w:after="0"/>
              <w:rPr>
                <w:sz w:val="24"/>
                <w:szCs w:val="24"/>
                <w:color w:val="auto"/>
              </w:rPr>
            </w:pPr>
          </w:p>
        </w:tc>
      </w:tr>
      <w:tr>
        <w:trPr>
          <w:trHeight w:val="121"/>
        </w:trPr>
        <w:tc>
          <w:tcPr>
            <w:tcW w:w="35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Argentina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Mexico</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Australia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Mongolia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Austria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Mozambique</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Benin</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Myanmar</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 (Plurinational State of)</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Namibia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Brazil</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Niger</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Burundi</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Nigeria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Canada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Peru</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Portugal</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Colombia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Congo, Democratic Republic of the</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Rwanda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Ecuador</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Saudi Arabia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Eritrea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Sierra Leone</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Ethiopia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France</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Swaziland</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Germany</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Ghana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Tanzania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Guinea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Guyana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Uganda</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United Kingdom of Great Britain and Northern Ireland</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Indonesia</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Japan</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Laos</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Madagascar</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Zimbabwe</w:t>
            </w:r>
          </w:p>
        </w:tc>
      </w:tr>
      <w:tr>
        <w:trPr>
          <w:trHeight w:val="223"/>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Malaysia</w:t>
            </w:r>
          </w:p>
        </w:tc>
        <w:tc>
          <w:tcPr>
            <w:tcW w:w="4060" w:type="dxa"/>
            <w:vAlign w:val="bottom"/>
          </w:tcPr>
          <w:p>
            <w:pPr>
              <w:spacing w:after="0"/>
              <w:rPr>
                <w:sz w:val="19"/>
                <w:szCs w:val="19"/>
                <w:color w:val="auto"/>
              </w:rPr>
            </w:pPr>
          </w:p>
        </w:tc>
      </w:tr>
    </w:tbl>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sectPr>
      <w:pgSz w:w="11900" w:h="16838" w:orient="portrait"/>
      <w:cols w:equalWidth="0" w:num="1">
        <w:col w:w="11200"/>
      </w:cols>
      <w:pgMar w:left="320" w:top="113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9"/>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2021-05-26T12:07:44Z</dcterms:created>
  <dcterms:modified xsi:type="dcterms:W3CDTF">2021-05-26T12:07:44Z</dcterms:modified>
</cp:coreProperties>
</file>