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525"/>
        <w:spacing w:after="0"/>
        <w:rPr>
          <w:sz w:val="20"/>
          <w:szCs w:val="20"/>
          <w:color w:val="auto"/>
        </w:rPr>
      </w:pPr>
      <w:r>
        <w:rPr>
          <w:rFonts w:ascii="Arial" w:cs="Arial" w:eastAsia="Arial" w:hAnsi="Arial"/>
          <w:sz w:val="19"/>
          <w:szCs w:val="19"/>
          <w:b w:val="1"/>
          <w:bCs w:val="1"/>
          <w:color w:val="auto"/>
        </w:rPr>
        <w:t>Date of Report (Date of earliest event reported): September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238760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7"/>
          <w:szCs w:val="17"/>
          <w:color w:val="auto"/>
        </w:rPr>
        <w:t>ENTRY INTO A MATERIAL DEFINITIVE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25, 2015, Brady Corporation (the “Corporation”) and certain of its subsidiaries entered into an unsecured $300 million revolving credit agreement with a group of six banks that replaced and terminated the Corporation’s previous $300 million revolving credit agreement that had been entered into on February 1, 2012. No fees were paid by the Corporation for terminating the previous credit agreement prior to its expiration date.</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new credit agreement, which has a final maturity date of September 25, 2020, the Corporation has the option to select either a base interest rate (based upon the higher of (i) the federal funds rate plus one-half of 1%, (ii) the prime rate of Bank of America plus a margin based on the Corporation’s consolidated leverage ratio or (iii) the one-month LIBOR rate plus 1%) or a Eurocurrency interest rate (at the LIBOR rate plus a margin based on the Corporation’s consolidated leverage ratio). The new credit agreement is guaranteed by certain of the Corporation’s domestic subsidiaries and contains various financial covenants, including a debt-to-EBITDA ratio of 3.25-to-1.0 and an interest coverage ratio of 3.0-to-1.0. A commitment fee is payable on the unused amount of the credit facility. The Corporation intends to use the flexibility provided by the new credit agreement to refinance existing debt and for general corporate purposes.</w:t>
      </w:r>
    </w:p>
    <w:p>
      <w:pPr>
        <w:spacing w:after="0" w:line="1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new credit agreement does not purport to be complete and is qualified in its entirety by reference to the full text of the agreement, a copy of which is filed as Exhibit 10.1 to this report and is incorporated herein by reference.</w:t>
      </w:r>
    </w:p>
    <w:p>
      <w:pPr>
        <w:spacing w:after="0" w:line="33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1.02</w:t>
      </w:r>
      <w:r>
        <w:rPr>
          <w:sz w:val="20"/>
          <w:szCs w:val="20"/>
          <w:color w:val="auto"/>
        </w:rPr>
        <w:tab/>
      </w:r>
      <w:r>
        <w:rPr>
          <w:rFonts w:ascii="Arial" w:cs="Arial" w:eastAsia="Arial" w:hAnsi="Arial"/>
          <w:sz w:val="17"/>
          <w:szCs w:val="17"/>
          <w:color w:val="auto"/>
        </w:rPr>
        <w:t>TERMINATION OF A MATERIAL DEFINITIVE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38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2.03</w:t>
      </w:r>
      <w:r>
        <w:rPr>
          <w:sz w:val="20"/>
          <w:szCs w:val="20"/>
          <w:color w:val="auto"/>
        </w:rPr>
        <w:tab/>
      </w:r>
      <w:r>
        <w:rPr>
          <w:rFonts w:ascii="Arial" w:cs="Arial" w:eastAsia="Arial" w:hAnsi="Arial"/>
          <w:sz w:val="17"/>
          <w:szCs w:val="17"/>
          <w:color w:val="auto"/>
        </w:rPr>
        <w:t>CREATION OF A DIRECT FINANCIAL OBLIGATION OR AN OBLIGATION UNDER AN OFF-</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BALANCE SHEET ARRANGEMENT OF A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incorporated herein by reference.</w:t>
      </w:r>
    </w:p>
    <w:p>
      <w:pPr>
        <w:spacing w:after="0" w:line="38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10.1</w:t>
            </w:r>
          </w:p>
        </w:tc>
        <w:tc>
          <w:tcPr>
            <w:tcW w:w="8940" w:type="dxa"/>
            <w:vAlign w:val="bottom"/>
          </w:tcPr>
          <w:p>
            <w:pPr>
              <w:ind w:left="320"/>
              <w:spacing w:after="0"/>
              <w:rPr>
                <w:sz w:val="20"/>
                <w:szCs w:val="20"/>
                <w:color w:val="auto"/>
              </w:rPr>
            </w:pPr>
            <w:r>
              <w:rPr>
                <w:rFonts w:ascii="Arial" w:cs="Arial" w:eastAsia="Arial" w:hAnsi="Arial"/>
                <w:sz w:val="18"/>
                <w:szCs w:val="18"/>
                <w:color w:val="auto"/>
                <w:w w:val="90"/>
              </w:rPr>
              <w:t>Credit Agreement, dated as of September 25, 2015, by and among Brady Corporation and certain of its subsidiaries, the</w:t>
            </w:r>
          </w:p>
        </w:tc>
      </w:tr>
      <w:tr>
        <w:trPr>
          <w:trHeight w:val="230"/>
        </w:trPr>
        <w:tc>
          <w:tcPr>
            <w:tcW w:w="62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Arial" w:cs="Arial" w:eastAsia="Arial" w:hAnsi="Arial"/>
                <w:sz w:val="18"/>
                <w:szCs w:val="18"/>
                <w:color w:val="auto"/>
              </w:rPr>
              <w:t>lenders listed therein and Bank of America, N.A., as L/C issuer and administrative agent.</w:t>
            </w:r>
          </w:p>
        </w:tc>
      </w:tr>
    </w:tbl>
    <w:p>
      <w:pPr>
        <w:sectPr>
          <w:pgSz w:w="11900" w:h="16838" w:orient="portrait"/>
          <w:cols w:equalWidth="0" w:num="1">
            <w:col w:w="11420"/>
          </w:cols>
          <w:pgMar w:left="240" w:top="74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September 25, 2015</w:t>
      </w:r>
      <w:r>
        <w:rPr>
          <w:sz w:val="20"/>
          <w:szCs w:val="20"/>
          <w:color w:val="auto"/>
        </w:rPr>
        <w:tab/>
      </w: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Chief Financial Officer and Chief Accounting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84"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color w:val="auto"/>
        </w:rPr>
        <w:t>EXHIBIT INDEX</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EXHIBIT</w:t>
      </w:r>
    </w:p>
    <w:p>
      <w:pPr>
        <w:spacing w:after="0" w:line="1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36195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10.1</w:t>
            </w: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w w:val="90"/>
              </w:rPr>
              <w:t>Credit Agreement, dated as of September 25, 2015, by and among Brady Corporation and certain of its subsidiaries, the</w:t>
            </w:r>
          </w:p>
        </w:tc>
        <w:tc>
          <w:tcPr>
            <w:tcW w:w="0" w:type="dxa"/>
            <w:vAlign w:val="bottom"/>
          </w:tcPr>
          <w:p>
            <w:pPr>
              <w:spacing w:after="0"/>
              <w:rPr>
                <w:sz w:val="1"/>
                <w:szCs w:val="1"/>
                <w:color w:val="auto"/>
              </w:rPr>
            </w:pPr>
          </w:p>
        </w:tc>
      </w:tr>
      <w:tr>
        <w:trPr>
          <w:trHeight w:val="67"/>
        </w:trPr>
        <w:tc>
          <w:tcPr>
            <w:tcW w:w="580" w:type="dxa"/>
            <w:vAlign w:val="bottom"/>
          </w:tcPr>
          <w:p>
            <w:pPr>
              <w:spacing w:after="0"/>
              <w:rPr>
                <w:sz w:val="5"/>
                <w:szCs w:val="5"/>
                <w:color w:val="auto"/>
              </w:rPr>
            </w:pPr>
          </w:p>
        </w:tc>
        <w:tc>
          <w:tcPr>
            <w:tcW w:w="8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880" w:type="dxa"/>
            <w:vAlign w:val="bottom"/>
          </w:tcPr>
          <w:p>
            <w:pPr>
              <w:ind w:left="260"/>
              <w:spacing w:after="0"/>
              <w:rPr>
                <w:sz w:val="20"/>
                <w:szCs w:val="20"/>
                <w:color w:val="auto"/>
              </w:rPr>
            </w:pPr>
            <w:r>
              <w:rPr>
                <w:rFonts w:ascii="Arial" w:cs="Arial" w:eastAsia="Arial" w:hAnsi="Arial"/>
                <w:sz w:val="18"/>
                <w:szCs w:val="18"/>
                <w:color w:val="auto"/>
              </w:rPr>
              <w:t>lenders listed therein and Bank of America, N.A., as L/C issuer and administrative agent.</w:t>
            </w:r>
          </w:p>
        </w:tc>
        <w:tc>
          <w:tcPr>
            <w:tcW w:w="0" w:type="dxa"/>
            <w:vAlign w:val="bottom"/>
          </w:tcPr>
          <w:p>
            <w:pPr>
              <w:spacing w:after="0"/>
              <w:rPr>
                <w:sz w:val="1"/>
                <w:szCs w:val="1"/>
                <w:color w:val="auto"/>
              </w:rPr>
            </w:pPr>
          </w:p>
        </w:tc>
      </w:tr>
    </w:tbl>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Dated as of September 25, 2015</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BRADY CORPORATION,</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jc w:val="center"/>
        <w:ind w:right="1180"/>
        <w:spacing w:after="0"/>
        <w:rPr>
          <w:sz w:val="20"/>
          <w:szCs w:val="20"/>
          <w:color w:val="auto"/>
        </w:rPr>
      </w:pPr>
      <w:r>
        <w:rPr>
          <w:rFonts w:ascii="Arial" w:cs="Arial" w:eastAsia="Arial" w:hAnsi="Arial"/>
          <w:sz w:val="19"/>
          <w:szCs w:val="19"/>
          <w:color w:val="auto"/>
        </w:rPr>
        <w:t>CERTAIN SUBSIDIARIES OF BRADY CORPORATION IDENTIFIED HEREIN,</w:t>
      </w:r>
    </w:p>
    <w:p>
      <w:pPr>
        <w:spacing w:after="0" w:line="1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Borrowers,</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CERTAIN SUBSIDIARIES OF THE BORROWERS IDENTIFIED HEREIN,</w:t>
      </w:r>
    </w:p>
    <w:p>
      <w:pPr>
        <w:spacing w:after="0" w:line="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the Guarantors,</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Administrative Agent, Swing Line Lender and L/C Issuer,</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THE OTHER LENDERS PARTY HERETO</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BMO HARRIS BANK, N.A.,</w:t>
      </w:r>
    </w:p>
    <w:p>
      <w:pPr>
        <w:spacing w:after="0" w:line="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Syndication Agent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Arranged By:</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MERRILL LYNCH, PIERCE, FENNER &amp; SMITH INCORPORATED,</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jc w:val="center"/>
        <w:ind w:right="1180"/>
        <w:spacing w:after="0"/>
        <w:rPr>
          <w:sz w:val="20"/>
          <w:szCs w:val="20"/>
          <w:color w:val="auto"/>
        </w:rPr>
      </w:pPr>
      <w:r>
        <w:rPr>
          <w:rFonts w:ascii="Arial" w:cs="Arial" w:eastAsia="Arial" w:hAnsi="Arial"/>
          <w:sz w:val="20"/>
          <w:szCs w:val="20"/>
          <w:color w:val="auto"/>
        </w:rPr>
        <w:t>BMO HARRIS BANK, N.A.,</w:t>
      </w:r>
    </w:p>
    <w:p>
      <w:pPr>
        <w:jc w:val="center"/>
        <w:ind w:right="1180"/>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10220"/>
          </w:cols>
          <w:pgMar w:left="1440" w:top="36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420" w:type="dxa"/>
            <w:vAlign w:val="bottom"/>
            <w:tcBorders>
              <w:bottom w:val="single" w:sz="8" w:color="CCEEFF"/>
            </w:tcBorders>
            <w:gridSpan w:val="38"/>
            <w:shd w:val="clear" w:color="auto" w:fill="CCEEFF"/>
          </w:tcPr>
          <w:p>
            <w:pPr>
              <w:ind w:left="40"/>
              <w:spacing w:after="0"/>
              <w:rPr>
                <w:sz w:val="20"/>
                <w:szCs w:val="20"/>
                <w:color w:val="auto"/>
              </w:rPr>
            </w:pPr>
            <w:r>
              <w:rPr>
                <w:rFonts w:ascii="Arial" w:cs="Arial" w:eastAsia="Arial" w:hAnsi="Arial"/>
                <w:sz w:val="18"/>
                <w:szCs w:val="18"/>
                <w:color w:val="auto"/>
              </w:rPr>
              <w:t>ARTICLE 1 DEFINITIONS AND ACCOUNTING TERMS</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Defined Terms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Other Interpretive Provisions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auto"/>
            </w:tcBorders>
            <w:gridSpan w:val="26"/>
          </w:tcPr>
          <w:p>
            <w:pPr>
              <w:spacing w:after="0" w:line="202" w:lineRule="exact"/>
              <w:rPr>
                <w:sz w:val="20"/>
                <w:szCs w:val="20"/>
                <w:color w:val="auto"/>
              </w:rPr>
            </w:pPr>
            <w:r>
              <w:rPr>
                <w:rFonts w:ascii="Arial" w:cs="Arial" w:eastAsia="Arial" w:hAnsi="Arial"/>
                <w:sz w:val="18"/>
                <w:szCs w:val="18"/>
                <w:color w:val="auto"/>
              </w:rPr>
              <w:t>Accounting Terms</w:t>
            </w:r>
          </w:p>
        </w:tc>
        <w:tc>
          <w:tcPr>
            <w:tcW w:w="7320" w:type="dxa"/>
            <w:vAlign w:val="bottom"/>
            <w:tcBorders>
              <w:top w:val="single" w:sz="8" w:color="CCEEFF"/>
            </w:tcBorders>
            <w:gridSpan w:val="10"/>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27</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90"/>
              </w:rPr>
              <w:t>Rounding</w:t>
            </w:r>
          </w:p>
        </w:tc>
        <w:tc>
          <w:tcPr>
            <w:tcW w:w="8700" w:type="dxa"/>
            <w:vAlign w:val="bottom"/>
            <w:tcBorders>
              <w:bottom w:val="single" w:sz="8" w:color="CCEEFF"/>
            </w:tcBorders>
            <w:gridSpan w:val="30"/>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28</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References to Agreements and Laws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Exchange Rates; Currency Equivalents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20" w:type="dxa"/>
            <w:vAlign w:val="bottom"/>
            <w:tcBorders>
              <w:top w:val="single" w:sz="8" w:color="CCEEFF"/>
            </w:tcBorders>
          </w:tcPr>
          <w:p>
            <w:pPr>
              <w:spacing w:after="0"/>
              <w:rPr>
                <w:sz w:val="17"/>
                <w:szCs w:val="17"/>
                <w:color w:val="auto"/>
              </w:rPr>
            </w:pPr>
          </w:p>
        </w:tc>
        <w:tc>
          <w:tcPr>
            <w:tcW w:w="2820" w:type="dxa"/>
            <w:vAlign w:val="bottom"/>
            <w:tcBorders>
              <w:top w:val="single" w:sz="8" w:color="auto"/>
            </w:tcBorders>
            <w:gridSpan w:val="31"/>
          </w:tcPr>
          <w:p>
            <w:pPr>
              <w:spacing w:after="0" w:line="202" w:lineRule="exact"/>
              <w:rPr>
                <w:sz w:val="20"/>
                <w:szCs w:val="20"/>
                <w:color w:val="auto"/>
              </w:rPr>
            </w:pPr>
            <w:r>
              <w:rPr>
                <w:rFonts w:ascii="Arial" w:cs="Arial" w:eastAsia="Arial" w:hAnsi="Arial"/>
                <w:sz w:val="18"/>
                <w:szCs w:val="18"/>
                <w:color w:val="auto"/>
              </w:rPr>
              <w:t>Additional Alternative Currencies</w:t>
            </w:r>
          </w:p>
        </w:tc>
        <w:tc>
          <w:tcPr>
            <w:tcW w:w="6600" w:type="dxa"/>
            <w:vAlign w:val="bottom"/>
            <w:tcBorders>
              <w:top w:val="single" w:sz="8" w:color="CCEE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28</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Change of Currency</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1.09</w:t>
            </w:r>
          </w:p>
        </w:tc>
        <w:tc>
          <w:tcPr>
            <w:tcW w:w="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19"/>
          </w:tcPr>
          <w:p>
            <w:pPr>
              <w:spacing w:after="0" w:line="202" w:lineRule="exact"/>
              <w:rPr>
                <w:sz w:val="20"/>
                <w:szCs w:val="20"/>
                <w:color w:val="auto"/>
              </w:rPr>
            </w:pPr>
            <w:r>
              <w:rPr>
                <w:rFonts w:ascii="Arial" w:cs="Arial" w:eastAsia="Arial" w:hAnsi="Arial"/>
                <w:sz w:val="18"/>
                <w:szCs w:val="18"/>
                <w:color w:val="auto"/>
              </w:rPr>
              <w:t>Times of Day</w:t>
            </w:r>
          </w:p>
        </w:tc>
        <w:tc>
          <w:tcPr>
            <w:tcW w:w="7960" w:type="dxa"/>
            <w:vAlign w:val="bottom"/>
            <w:tcBorders>
              <w:top w:val="single" w:sz="8" w:color="CCEEFF"/>
            </w:tcBorders>
            <w:gridSpan w:val="17"/>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30</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gridSpan w:val="22"/>
            <w:shd w:val="clear" w:color="auto" w:fill="CCEEFF"/>
          </w:tcPr>
          <w:p>
            <w:pPr>
              <w:spacing w:after="0" w:line="202" w:lineRule="exact"/>
              <w:rPr>
                <w:sz w:val="20"/>
                <w:szCs w:val="20"/>
                <w:color w:val="auto"/>
              </w:rPr>
            </w:pPr>
            <w:r>
              <w:rPr>
                <w:rFonts w:ascii="Arial" w:cs="Arial" w:eastAsia="Arial" w:hAnsi="Arial"/>
                <w:sz w:val="18"/>
                <w:szCs w:val="18"/>
                <w:color w:val="auto"/>
                <w:w w:val="93"/>
              </w:rPr>
              <w:t>Letter of Credit Amounts</w:t>
            </w:r>
          </w:p>
        </w:tc>
        <w:tc>
          <w:tcPr>
            <w:tcW w:w="75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Luxembourg Terms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420" w:type="dxa"/>
            <w:vAlign w:val="bottom"/>
            <w:gridSpan w:val="38"/>
            <w:shd w:val="clear" w:color="auto" w:fill="CCEEFF"/>
          </w:tcPr>
          <w:p>
            <w:pPr>
              <w:ind w:left="40"/>
              <w:spacing w:after="0"/>
              <w:rPr>
                <w:sz w:val="20"/>
                <w:szCs w:val="20"/>
                <w:color w:val="auto"/>
              </w:rPr>
            </w:pPr>
            <w:r>
              <w:rPr>
                <w:rFonts w:ascii="Arial" w:cs="Arial" w:eastAsia="Arial" w:hAnsi="Arial"/>
                <w:sz w:val="18"/>
                <w:szCs w:val="18"/>
                <w:color w:val="auto"/>
              </w:rPr>
              <w:t>ARTICLE II THE COMMITMENTS AND CREDIT EXTENSIONS</w:t>
            </w:r>
          </w:p>
        </w:tc>
        <w:tc>
          <w:tcPr>
            <w:tcW w:w="180" w:type="dxa"/>
            <w:vAlign w:val="bottom"/>
            <w:gridSpan w:val="2"/>
            <w:vMerge w:val="restart"/>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20" w:type="dxa"/>
            <w:vAlign w:val="bottom"/>
            <w:vMerge w:val="restart"/>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vMerge w:val="continue"/>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Revolving Loans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Borrowings, Conversions and Continuations of Loans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2.03</w:t>
            </w:r>
          </w:p>
        </w:tc>
        <w:tc>
          <w:tcPr>
            <w:tcW w:w="20" w:type="dxa"/>
            <w:vAlign w:val="bottom"/>
            <w:tcBorders>
              <w:top w:val="single" w:sz="8" w:color="CCEEFF"/>
            </w:tcBorders>
          </w:tcPr>
          <w:p>
            <w:pPr>
              <w:spacing w:after="0"/>
              <w:rPr>
                <w:sz w:val="17"/>
                <w:szCs w:val="17"/>
                <w:color w:val="auto"/>
              </w:rPr>
            </w:pPr>
          </w:p>
        </w:tc>
        <w:tc>
          <w:tcPr>
            <w:tcW w:w="3880" w:type="dxa"/>
            <w:vAlign w:val="bottom"/>
            <w:tcBorders>
              <w:top w:val="single" w:sz="8" w:color="auto"/>
            </w:tcBorders>
            <w:gridSpan w:val="33"/>
          </w:tcPr>
          <w:p>
            <w:pPr>
              <w:spacing w:after="0" w:line="202" w:lineRule="exact"/>
              <w:rPr>
                <w:sz w:val="20"/>
                <w:szCs w:val="20"/>
                <w:color w:val="auto"/>
              </w:rPr>
            </w:pPr>
            <w:r>
              <w:rPr>
                <w:rFonts w:ascii="Arial" w:cs="Arial" w:eastAsia="Arial" w:hAnsi="Arial"/>
                <w:sz w:val="18"/>
                <w:szCs w:val="18"/>
                <w:color w:val="auto"/>
              </w:rPr>
              <w:t>Letters of Credit</w:t>
            </w:r>
          </w:p>
        </w:tc>
        <w:tc>
          <w:tcPr>
            <w:tcW w:w="5540" w:type="dxa"/>
            <w:vAlign w:val="bottom"/>
            <w:tcBorders>
              <w:top w:val="single" w:sz="8" w:color="CCEEFF"/>
            </w:tcBorders>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33</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Swing Line Loans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42</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gridSpan w:val="15"/>
          </w:tcPr>
          <w:p>
            <w:pPr>
              <w:spacing w:after="0" w:line="202" w:lineRule="exact"/>
              <w:rPr>
                <w:sz w:val="20"/>
                <w:szCs w:val="20"/>
                <w:color w:val="auto"/>
              </w:rPr>
            </w:pPr>
            <w:r>
              <w:rPr>
                <w:rFonts w:ascii="Arial" w:cs="Arial" w:eastAsia="Arial" w:hAnsi="Arial"/>
                <w:sz w:val="18"/>
                <w:szCs w:val="18"/>
                <w:color w:val="auto"/>
              </w:rPr>
              <w:t>Prepayments</w:t>
            </w:r>
          </w:p>
        </w:tc>
        <w:tc>
          <w:tcPr>
            <w:tcW w:w="8100" w:type="dxa"/>
            <w:vAlign w:val="bottom"/>
            <w:tcBorders>
              <w:top w:val="single" w:sz="8" w:color="CCEEFF"/>
            </w:tcBorders>
            <w:gridSpan w:val="21"/>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44</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auto"/>
            </w:tcBorders>
            <w:gridSpan w:val="35"/>
            <w:shd w:val="clear" w:color="auto" w:fill="CCEEFF"/>
          </w:tcPr>
          <w:p>
            <w:pPr>
              <w:spacing w:after="0" w:line="202" w:lineRule="exact"/>
              <w:rPr>
                <w:sz w:val="20"/>
                <w:szCs w:val="20"/>
                <w:color w:val="auto"/>
              </w:rPr>
            </w:pPr>
            <w:r>
              <w:rPr>
                <w:rFonts w:ascii="Arial" w:cs="Arial" w:eastAsia="Arial" w:hAnsi="Arial"/>
                <w:sz w:val="18"/>
                <w:szCs w:val="18"/>
                <w:color w:val="auto"/>
                <w:w w:val="92"/>
              </w:rPr>
              <w:t>Termination or Reduction of Aggregate Revolving Commitments</w:t>
            </w:r>
          </w:p>
        </w:tc>
        <w:tc>
          <w:tcPr>
            <w:tcW w:w="4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46</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Repayment of Loans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2.09</w:t>
            </w: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Fees</w:t>
            </w:r>
          </w:p>
        </w:tc>
        <w:tc>
          <w:tcPr>
            <w:tcW w:w="8880" w:type="dxa"/>
            <w:vAlign w:val="bottom"/>
            <w:tcBorders>
              <w:top w:val="single" w:sz="8" w:color="CCEEFF"/>
            </w:tcBorders>
            <w:gridSpan w:val="33"/>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47</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Computation of Interest and Fees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2.11</w:t>
            </w:r>
          </w:p>
        </w:tc>
        <w:tc>
          <w:tcPr>
            <w:tcW w:w="20" w:type="dxa"/>
            <w:vAlign w:val="bottom"/>
            <w:tcBorders>
              <w:top w:val="single" w:sz="8" w:color="CCEEFF"/>
            </w:tcBorders>
          </w:tcPr>
          <w:p>
            <w:pPr>
              <w:spacing w:after="0"/>
              <w:rPr>
                <w:sz w:val="17"/>
                <w:szCs w:val="17"/>
                <w:color w:val="auto"/>
              </w:rPr>
            </w:pPr>
          </w:p>
        </w:tc>
        <w:tc>
          <w:tcPr>
            <w:tcW w:w="2400" w:type="dxa"/>
            <w:vAlign w:val="bottom"/>
            <w:tcBorders>
              <w:top w:val="single" w:sz="8" w:color="auto"/>
            </w:tcBorders>
            <w:gridSpan w:val="28"/>
          </w:tcPr>
          <w:p>
            <w:pPr>
              <w:spacing w:after="0" w:line="202" w:lineRule="exact"/>
              <w:rPr>
                <w:sz w:val="20"/>
                <w:szCs w:val="20"/>
                <w:color w:val="auto"/>
              </w:rPr>
            </w:pPr>
            <w:r>
              <w:rPr>
                <w:rFonts w:ascii="Arial" w:cs="Arial" w:eastAsia="Arial" w:hAnsi="Arial"/>
                <w:sz w:val="18"/>
                <w:szCs w:val="18"/>
                <w:color w:val="auto"/>
              </w:rPr>
              <w:t>Evidence of Debt</w:t>
            </w:r>
          </w:p>
        </w:tc>
        <w:tc>
          <w:tcPr>
            <w:tcW w:w="7020" w:type="dxa"/>
            <w:vAlign w:val="bottom"/>
            <w:tcBorders>
              <w:top w:val="single" w:sz="8" w:color="CCEEFF"/>
            </w:tcBorders>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7"/>
                <w:szCs w:val="17"/>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Payments Generally</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20" w:type="dxa"/>
            <w:vAlign w:val="bottom"/>
          </w:tcPr>
          <w:p>
            <w:pPr>
              <w:spacing w:after="0"/>
              <w:rPr>
                <w:sz w:val="17"/>
                <w:szCs w:val="17"/>
                <w:color w:val="auto"/>
              </w:rPr>
            </w:pPr>
          </w:p>
        </w:tc>
        <w:tc>
          <w:tcPr>
            <w:tcW w:w="9420" w:type="dxa"/>
            <w:vAlign w:val="bottom"/>
            <w:gridSpan w:val="36"/>
          </w:tcPr>
          <w:p>
            <w:pPr>
              <w:spacing w:after="0" w:line="202" w:lineRule="exact"/>
              <w:rPr>
                <w:sz w:val="20"/>
                <w:szCs w:val="20"/>
                <w:color w:val="auto"/>
              </w:rPr>
            </w:pPr>
            <w:r>
              <w:rPr>
                <w:rFonts w:ascii="Arial" w:cs="Arial" w:eastAsia="Arial" w:hAnsi="Arial"/>
                <w:sz w:val="18"/>
                <w:szCs w:val="18"/>
                <w:color w:val="auto"/>
              </w:rPr>
              <w:t>Sharing of Payments by Lenders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21"/>
                <w:szCs w:val="21"/>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Designated Borrowers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tcPr>
          <w:p>
            <w:pPr>
              <w:spacing w:after="0"/>
              <w:rPr>
                <w:sz w:val="17"/>
                <w:szCs w:val="17"/>
                <w:color w:val="auto"/>
              </w:rPr>
            </w:pPr>
          </w:p>
        </w:tc>
        <w:tc>
          <w:tcPr>
            <w:tcW w:w="1620" w:type="dxa"/>
            <w:vAlign w:val="bottom"/>
            <w:tcBorders>
              <w:top w:val="single" w:sz="8" w:color="auto"/>
            </w:tcBorders>
            <w:gridSpan w:val="21"/>
          </w:tcPr>
          <w:p>
            <w:pPr>
              <w:spacing w:after="0" w:line="202" w:lineRule="exact"/>
              <w:rPr>
                <w:sz w:val="20"/>
                <w:szCs w:val="20"/>
                <w:color w:val="auto"/>
              </w:rPr>
            </w:pPr>
            <w:r>
              <w:rPr>
                <w:rFonts w:ascii="Arial" w:cs="Arial" w:eastAsia="Arial" w:hAnsi="Arial"/>
                <w:sz w:val="18"/>
                <w:szCs w:val="18"/>
                <w:color w:val="auto"/>
              </w:rPr>
              <w:t>Cash Collateral</w:t>
            </w:r>
          </w:p>
        </w:tc>
        <w:tc>
          <w:tcPr>
            <w:tcW w:w="7800" w:type="dxa"/>
            <w:vAlign w:val="bottom"/>
            <w:tcBorders>
              <w:top w:val="single" w:sz="8" w:color="CCEEFF"/>
            </w:tcBorders>
            <w:gridSpan w:val="1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52</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7"/>
                <w:szCs w:val="17"/>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Defaulting Lenders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54</w:t>
              </w:r>
            </w:hyperlink>
          </w:p>
        </w:tc>
        <w:tc>
          <w:tcPr>
            <w:tcW w:w="0" w:type="dxa"/>
            <w:vAlign w:val="bottom"/>
          </w:tcPr>
          <w:p>
            <w:pPr>
              <w:spacing w:after="0"/>
              <w:rPr>
                <w:sz w:val="1"/>
                <w:szCs w:val="1"/>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20" w:type="dxa"/>
            <w:vAlign w:val="bottom"/>
            <w:gridSpan w:val="38"/>
          </w:tcPr>
          <w:p>
            <w:pPr>
              <w:ind w:left="40"/>
              <w:spacing w:after="0" w:line="202" w:lineRule="exact"/>
              <w:rPr>
                <w:sz w:val="20"/>
                <w:szCs w:val="20"/>
                <w:color w:val="auto"/>
              </w:rPr>
            </w:pPr>
            <w:r>
              <w:rPr>
                <w:rFonts w:ascii="Arial" w:cs="Arial" w:eastAsia="Arial" w:hAnsi="Arial"/>
                <w:sz w:val="18"/>
                <w:szCs w:val="18"/>
                <w:color w:val="auto"/>
              </w:rPr>
              <w:t>ARTICLE III TAXES, YIELD PROTECTION AND ILLEGALITY</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7"/>
                <w:szCs w:val="17"/>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Taxes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20" w:type="dxa"/>
            <w:vAlign w:val="bottom"/>
          </w:tcPr>
          <w:p>
            <w:pPr>
              <w:spacing w:after="0"/>
              <w:rPr>
                <w:sz w:val="17"/>
                <w:szCs w:val="17"/>
                <w:color w:val="auto"/>
              </w:rPr>
            </w:pPr>
          </w:p>
        </w:tc>
        <w:tc>
          <w:tcPr>
            <w:tcW w:w="9420" w:type="dxa"/>
            <w:vAlign w:val="bottom"/>
            <w:gridSpan w:val="36"/>
          </w:tcPr>
          <w:p>
            <w:pPr>
              <w:spacing w:after="0" w:line="202" w:lineRule="exact"/>
              <w:rPr>
                <w:sz w:val="20"/>
                <w:szCs w:val="20"/>
                <w:color w:val="auto"/>
              </w:rPr>
            </w:pPr>
            <w:r>
              <w:rPr>
                <w:rFonts w:ascii="Arial" w:cs="Arial" w:eastAsia="Arial" w:hAnsi="Arial"/>
                <w:sz w:val="18"/>
                <w:szCs w:val="18"/>
                <w:color w:val="auto"/>
              </w:rPr>
              <w:t>Illegality</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auto"/>
            </w:tcBorders>
            <w:gridSpan w:val="25"/>
            <w:shd w:val="clear" w:color="auto" w:fill="CCEEFF"/>
          </w:tcPr>
          <w:p>
            <w:pPr>
              <w:spacing w:after="0" w:line="202" w:lineRule="exact"/>
              <w:rPr>
                <w:sz w:val="20"/>
                <w:szCs w:val="20"/>
                <w:color w:val="auto"/>
              </w:rPr>
            </w:pPr>
            <w:r>
              <w:rPr>
                <w:rFonts w:ascii="Arial" w:cs="Arial" w:eastAsia="Arial" w:hAnsi="Arial"/>
                <w:sz w:val="18"/>
                <w:szCs w:val="18"/>
                <w:color w:val="auto"/>
                <w:w w:val="92"/>
              </w:rPr>
              <w:t>Inability to Determine Rates</w:t>
            </w:r>
          </w:p>
        </w:tc>
        <w:tc>
          <w:tcPr>
            <w:tcW w:w="736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61</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Increased Cost and Reduced Return; Capital Adequacy</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61</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w:t>
            </w:r>
          </w:p>
        </w:tc>
        <w:tc>
          <w:tcPr>
            <w:tcW w:w="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gridSpan w:val="22"/>
            <w:shd w:val="clear" w:color="auto" w:fill="CCEEFF"/>
          </w:tcPr>
          <w:p>
            <w:pPr>
              <w:spacing w:after="0" w:line="202" w:lineRule="exact"/>
              <w:rPr>
                <w:sz w:val="20"/>
                <w:szCs w:val="20"/>
                <w:color w:val="auto"/>
              </w:rPr>
            </w:pPr>
            <w:r>
              <w:rPr>
                <w:rFonts w:ascii="Arial" w:cs="Arial" w:eastAsia="Arial" w:hAnsi="Arial"/>
                <w:sz w:val="18"/>
                <w:szCs w:val="18"/>
                <w:color w:val="auto"/>
                <w:w w:val="89"/>
              </w:rPr>
              <w:t>Compensation for Losses</w:t>
            </w:r>
          </w:p>
        </w:tc>
        <w:tc>
          <w:tcPr>
            <w:tcW w:w="758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63</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Matters Applicable to all Requests for Compensation</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64</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w w:val="93"/>
              </w:rPr>
              <w:t>Survival</w:t>
            </w:r>
          </w:p>
        </w:tc>
        <w:tc>
          <w:tcPr>
            <w:tcW w:w="8800" w:type="dxa"/>
            <w:vAlign w:val="bottom"/>
            <w:tcBorders>
              <w:bottom w:val="single" w:sz="8" w:color="CCEEFF"/>
            </w:tcBorders>
            <w:gridSpan w:val="3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64</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20" w:type="dxa"/>
            <w:vAlign w:val="bottom"/>
            <w:gridSpan w:val="38"/>
          </w:tcPr>
          <w:p>
            <w:pPr>
              <w:ind w:left="40"/>
              <w:spacing w:after="0"/>
              <w:rPr>
                <w:sz w:val="20"/>
                <w:szCs w:val="20"/>
                <w:color w:val="auto"/>
              </w:rPr>
            </w:pPr>
            <w:r>
              <w:rPr>
                <w:rFonts w:ascii="Arial" w:cs="Arial" w:eastAsia="Arial" w:hAnsi="Arial"/>
                <w:sz w:val="18"/>
                <w:szCs w:val="18"/>
                <w:color w:val="auto"/>
              </w:rPr>
              <w:t>ARTICLE IV GUARANTY</w:t>
            </w:r>
          </w:p>
        </w:tc>
        <w:tc>
          <w:tcPr>
            <w:tcW w:w="200" w:type="dxa"/>
            <w:vAlign w:val="bottom"/>
            <w:gridSpan w:val="3"/>
            <w:vMerge w:val="restart"/>
          </w:tcPr>
          <w:p>
            <w:pPr>
              <w:jc w:val="right"/>
              <w:ind w:right="2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7"/>
                <w:szCs w:val="17"/>
                <w:color w:val="auto"/>
              </w:rPr>
            </w:pPr>
          </w:p>
        </w:tc>
        <w:tc>
          <w:tcPr>
            <w:tcW w:w="942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The Guaranty</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20" w:type="dxa"/>
            <w:vAlign w:val="bottom"/>
          </w:tcPr>
          <w:p>
            <w:pPr>
              <w:spacing w:after="0"/>
              <w:rPr>
                <w:sz w:val="17"/>
                <w:szCs w:val="17"/>
                <w:color w:val="auto"/>
              </w:rPr>
            </w:pPr>
          </w:p>
        </w:tc>
        <w:tc>
          <w:tcPr>
            <w:tcW w:w="9420" w:type="dxa"/>
            <w:vAlign w:val="bottom"/>
            <w:gridSpan w:val="36"/>
          </w:tcPr>
          <w:p>
            <w:pPr>
              <w:spacing w:after="0" w:line="202" w:lineRule="exact"/>
              <w:rPr>
                <w:sz w:val="20"/>
                <w:szCs w:val="20"/>
                <w:color w:val="auto"/>
              </w:rPr>
            </w:pPr>
            <w:r>
              <w:rPr>
                <w:rFonts w:ascii="Arial" w:cs="Arial" w:eastAsia="Arial" w:hAnsi="Arial"/>
                <w:sz w:val="18"/>
                <w:szCs w:val="18"/>
                <w:color w:val="auto"/>
              </w:rPr>
              <w:t>Obligations Unconditional</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gridSpan w:val="9"/>
            <w:shd w:val="clear" w:color="auto" w:fill="CCEEFF"/>
          </w:tcPr>
          <w:p>
            <w:pPr>
              <w:spacing w:after="0" w:line="202" w:lineRule="exact"/>
              <w:rPr>
                <w:sz w:val="20"/>
                <w:szCs w:val="20"/>
                <w:color w:val="auto"/>
              </w:rPr>
            </w:pPr>
            <w:r>
              <w:rPr>
                <w:rFonts w:ascii="Arial" w:cs="Arial" w:eastAsia="Arial" w:hAnsi="Arial"/>
                <w:sz w:val="18"/>
                <w:szCs w:val="18"/>
                <w:color w:val="auto"/>
                <w:w w:val="87"/>
              </w:rPr>
              <w:t>Reinstatement</w:t>
            </w:r>
          </w:p>
        </w:tc>
        <w:tc>
          <w:tcPr>
            <w:tcW w:w="8380" w:type="dxa"/>
            <w:vAlign w:val="bottom"/>
            <w:tcBorders>
              <w:bottom w:val="single" w:sz="8" w:color="CCEEFF"/>
            </w:tcBorders>
            <w:gridSpan w:val="2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66</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944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Certain Additional Waivers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c>
          <w:tcPr>
            <w:tcW w:w="9440" w:type="dxa"/>
            <w:vAlign w:val="bottom"/>
            <w:gridSpan w:val="37"/>
            <w:shd w:val="clear" w:color="auto" w:fill="CCEEFF"/>
          </w:tcPr>
          <w:p>
            <w:pPr>
              <w:ind w:left="20"/>
              <w:spacing w:after="0" w:line="202" w:lineRule="exact"/>
              <w:rPr>
                <w:sz w:val="20"/>
                <w:szCs w:val="20"/>
                <w:color w:val="auto"/>
              </w:rPr>
            </w:pPr>
            <w:r>
              <w:rPr>
                <w:rFonts w:ascii="Arial" w:cs="Arial" w:eastAsia="Arial" w:hAnsi="Arial"/>
                <w:sz w:val="18"/>
                <w:szCs w:val="18"/>
                <w:color w:val="auto"/>
              </w:rPr>
              <w:t>Remedies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756" w:right="10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spacing w:after="0"/>
              <w:rPr>
                <w:sz w:val="20"/>
                <w:szCs w:val="20"/>
                <w:color w:val="auto"/>
              </w:rPr>
            </w:pPr>
            <w:r>
              <w:rPr>
                <w:rFonts w:ascii="Arial" w:cs="Arial" w:eastAsia="Arial" w:hAnsi="Arial"/>
                <w:sz w:val="18"/>
                <w:szCs w:val="18"/>
                <w:color w:val="auto"/>
              </w:rPr>
              <w:t>4.06</w:t>
            </w:r>
          </w:p>
        </w:tc>
        <w:tc>
          <w:tcPr>
            <w:tcW w:w="9440" w:type="dxa"/>
            <w:vAlign w:val="bottom"/>
            <w:gridSpan w:val="41"/>
          </w:tcPr>
          <w:p>
            <w:pPr>
              <w:ind w:left="20"/>
              <w:spacing w:after="0"/>
              <w:rPr>
                <w:sz w:val="20"/>
                <w:szCs w:val="20"/>
                <w:color w:val="auto"/>
              </w:rPr>
            </w:pPr>
            <w:r>
              <w:rPr>
                <w:rFonts w:ascii="Arial" w:cs="Arial" w:eastAsia="Arial" w:hAnsi="Arial"/>
                <w:sz w:val="18"/>
                <w:szCs w:val="18"/>
                <w:color w:val="auto"/>
              </w:rPr>
              <w:t>Rights of Contribution</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67</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21"/>
                <w:szCs w:val="21"/>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Guarantee of Payment; Continuing Guarantee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67</w:t>
              </w:r>
            </w:hyperlink>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20" w:type="dxa"/>
            <w:vAlign w:val="bottom"/>
            <w:tcBorders>
              <w:top w:val="single" w:sz="8" w:color="CCEEFF"/>
            </w:tcBorders>
          </w:tcPr>
          <w:p>
            <w:pPr>
              <w:spacing w:after="0"/>
              <w:rPr>
                <w:sz w:val="17"/>
                <w:szCs w:val="17"/>
                <w:color w:val="auto"/>
              </w:rPr>
            </w:pPr>
          </w:p>
        </w:tc>
        <w:tc>
          <w:tcPr>
            <w:tcW w:w="3300" w:type="dxa"/>
            <w:vAlign w:val="bottom"/>
            <w:tcBorders>
              <w:top w:val="single" w:sz="8" w:color="auto"/>
            </w:tcBorders>
            <w:gridSpan w:val="39"/>
          </w:tcPr>
          <w:p>
            <w:pPr>
              <w:spacing w:after="0" w:line="202" w:lineRule="exact"/>
              <w:rPr>
                <w:sz w:val="20"/>
                <w:szCs w:val="20"/>
                <w:color w:val="auto"/>
              </w:rPr>
            </w:pPr>
            <w:r>
              <w:rPr>
                <w:rFonts w:ascii="Arial" w:cs="Arial" w:eastAsia="Arial" w:hAnsi="Arial"/>
                <w:sz w:val="18"/>
                <w:szCs w:val="18"/>
                <w:color w:val="auto"/>
              </w:rPr>
              <w:t>Keepwell</w:t>
            </w:r>
          </w:p>
        </w:tc>
        <w:tc>
          <w:tcPr>
            <w:tcW w:w="61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67</w:t>
              </w:r>
            </w:hyperlink>
          </w:p>
        </w:tc>
        <w:tc>
          <w:tcPr>
            <w:tcW w:w="20" w:type="dxa"/>
            <w:vAlign w:val="bottom"/>
            <w:tcBorders>
              <w:top w:val="single" w:sz="8" w:color="CCEEFF"/>
            </w:tcBorders>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420" w:type="dxa"/>
            <w:vAlign w:val="bottom"/>
            <w:tcBorders>
              <w:bottom w:val="single" w:sz="8" w:color="CCEEFF"/>
            </w:tcBorders>
            <w:gridSpan w:val="42"/>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V CONDITIONS PRECEDENT TO CREDIT EXTENSIONS</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68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5.01</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Conditions of Initial Credit Extension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68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5.02</w:t>
            </w:r>
          </w:p>
        </w:tc>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auto"/>
            </w:tcBorders>
            <w:gridSpan w:val="32"/>
            <w:shd w:val="clear" w:color="auto" w:fill="CCEEFF"/>
          </w:tcPr>
          <w:p>
            <w:pPr>
              <w:spacing w:after="0" w:line="202" w:lineRule="exact"/>
              <w:rPr>
                <w:sz w:val="20"/>
                <w:szCs w:val="20"/>
                <w:color w:val="auto"/>
              </w:rPr>
            </w:pPr>
            <w:r>
              <w:rPr>
                <w:rFonts w:ascii="Arial" w:cs="Arial" w:eastAsia="Arial" w:hAnsi="Arial"/>
                <w:sz w:val="18"/>
                <w:szCs w:val="18"/>
                <w:color w:val="auto"/>
                <w:w w:val="91"/>
              </w:rPr>
              <w:t>Conditions to all Credit Extensions</w:t>
            </w:r>
          </w:p>
        </w:tc>
        <w:tc>
          <w:tcPr>
            <w:tcW w:w="6880" w:type="dxa"/>
            <w:vAlign w:val="bottom"/>
            <w:tcBorders>
              <w:bottom w:val="single" w:sz="8" w:color="CCEEFF"/>
            </w:tcBorders>
            <w:gridSpan w:val="8"/>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420" w:type="dxa"/>
            <w:vAlign w:val="bottom"/>
            <w:gridSpan w:val="42"/>
          </w:tcPr>
          <w:p>
            <w:pPr>
              <w:ind w:left="40"/>
              <w:spacing w:after="0" w:line="202" w:lineRule="exact"/>
              <w:rPr>
                <w:sz w:val="20"/>
                <w:szCs w:val="20"/>
                <w:color w:val="auto"/>
              </w:rPr>
            </w:pPr>
            <w:r>
              <w:rPr>
                <w:rFonts w:ascii="Arial" w:cs="Arial" w:eastAsia="Arial" w:hAnsi="Arial"/>
                <w:sz w:val="18"/>
                <w:szCs w:val="18"/>
                <w:color w:val="auto"/>
              </w:rPr>
              <w:t>ARTICLE VI REPRESENTATIONS AND WARRANTIES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70</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7"/>
                <w:szCs w:val="17"/>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Organization, etc.</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70</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0" w:type="dxa"/>
            <w:vAlign w:val="bottom"/>
          </w:tcPr>
          <w:p>
            <w:pPr>
              <w:spacing w:after="0"/>
              <w:rPr>
                <w:sz w:val="17"/>
                <w:szCs w:val="17"/>
                <w:color w:val="auto"/>
              </w:rPr>
            </w:pPr>
          </w:p>
        </w:tc>
        <w:tc>
          <w:tcPr>
            <w:tcW w:w="9420" w:type="dxa"/>
            <w:vAlign w:val="bottom"/>
            <w:gridSpan w:val="40"/>
          </w:tcPr>
          <w:p>
            <w:pPr>
              <w:spacing w:after="0" w:line="202" w:lineRule="exact"/>
              <w:rPr>
                <w:sz w:val="20"/>
                <w:szCs w:val="20"/>
                <w:color w:val="auto"/>
              </w:rPr>
            </w:pPr>
            <w:r>
              <w:rPr>
                <w:rFonts w:ascii="Arial" w:cs="Arial" w:eastAsia="Arial" w:hAnsi="Arial"/>
                <w:sz w:val="18"/>
                <w:szCs w:val="18"/>
                <w:color w:val="auto"/>
              </w:rPr>
              <w:t>Authorization; No Conflict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71</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21"/>
                <w:szCs w:val="21"/>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Validity and Binding Nature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71</w:t>
              </w:r>
            </w:hyperlink>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6.04</w:t>
            </w:r>
          </w:p>
        </w:tc>
        <w:tc>
          <w:tcPr>
            <w:tcW w:w="20" w:type="dxa"/>
            <w:vAlign w:val="bottom"/>
            <w:tcBorders>
              <w:top w:val="single" w:sz="8" w:color="CCEEFF"/>
            </w:tcBorders>
          </w:tcPr>
          <w:p>
            <w:pPr>
              <w:spacing w:after="0"/>
              <w:rPr>
                <w:sz w:val="17"/>
                <w:szCs w:val="17"/>
                <w:color w:val="auto"/>
              </w:rPr>
            </w:pPr>
          </w:p>
        </w:tc>
        <w:tc>
          <w:tcPr>
            <w:tcW w:w="2040" w:type="dxa"/>
            <w:vAlign w:val="bottom"/>
            <w:tcBorders>
              <w:top w:val="single" w:sz="8" w:color="auto"/>
            </w:tcBorders>
            <w:gridSpan w:val="27"/>
          </w:tcPr>
          <w:p>
            <w:pPr>
              <w:spacing w:after="0" w:line="202" w:lineRule="exact"/>
              <w:rPr>
                <w:sz w:val="20"/>
                <w:szCs w:val="20"/>
                <w:color w:val="auto"/>
              </w:rPr>
            </w:pPr>
            <w:r>
              <w:rPr>
                <w:rFonts w:ascii="Arial" w:cs="Arial" w:eastAsia="Arial" w:hAnsi="Arial"/>
                <w:sz w:val="18"/>
                <w:szCs w:val="18"/>
                <w:color w:val="auto"/>
              </w:rPr>
              <w:t>Financial Condition</w:t>
            </w:r>
          </w:p>
        </w:tc>
        <w:tc>
          <w:tcPr>
            <w:tcW w:w="7380" w:type="dxa"/>
            <w:vAlign w:val="bottom"/>
            <w:tcBorders>
              <w:top w:val="single" w:sz="8" w:color="CCEEFF"/>
            </w:tcBorders>
            <w:gridSpan w:val="13"/>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71</w:t>
              </w:r>
            </w:hyperlink>
          </w:p>
        </w:tc>
        <w:tc>
          <w:tcPr>
            <w:tcW w:w="20" w:type="dxa"/>
            <w:vAlign w:val="bottom"/>
            <w:tcBorders>
              <w:top w:val="single" w:sz="8" w:color="CCEEFF"/>
            </w:tcBorders>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21"/>
                <w:szCs w:val="21"/>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No Material Adverse Change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71</w:t>
              </w:r>
            </w:hyperlink>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20" w:type="dxa"/>
            <w:vAlign w:val="bottom"/>
            <w:tcBorders>
              <w:top w:val="single" w:sz="8" w:color="CCEEFF"/>
            </w:tcBorders>
          </w:tcPr>
          <w:p>
            <w:pPr>
              <w:spacing w:after="0"/>
              <w:rPr>
                <w:sz w:val="17"/>
                <w:szCs w:val="17"/>
                <w:color w:val="auto"/>
              </w:rPr>
            </w:pPr>
          </w:p>
        </w:tc>
        <w:tc>
          <w:tcPr>
            <w:tcW w:w="2120" w:type="dxa"/>
            <w:vAlign w:val="bottom"/>
            <w:tcBorders>
              <w:top w:val="single" w:sz="8" w:color="auto"/>
            </w:tcBorders>
            <w:gridSpan w:val="28"/>
          </w:tcPr>
          <w:p>
            <w:pPr>
              <w:spacing w:after="0" w:line="202" w:lineRule="exact"/>
              <w:rPr>
                <w:sz w:val="20"/>
                <w:szCs w:val="20"/>
                <w:color w:val="auto"/>
              </w:rPr>
            </w:pPr>
            <w:r>
              <w:rPr>
                <w:rFonts w:ascii="Arial" w:cs="Arial" w:eastAsia="Arial" w:hAnsi="Arial"/>
                <w:sz w:val="18"/>
                <w:szCs w:val="18"/>
                <w:color w:val="auto"/>
              </w:rPr>
              <w:t>Litigation</w:t>
            </w:r>
          </w:p>
        </w:tc>
        <w:tc>
          <w:tcPr>
            <w:tcW w:w="7300" w:type="dxa"/>
            <w:vAlign w:val="bottom"/>
            <w:tcBorders>
              <w:top w:val="single" w:sz="8" w:color="CCEEFF"/>
            </w:tcBorders>
            <w:gridSpan w:val="12"/>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71</w:t>
              </w:r>
            </w:hyperlink>
          </w:p>
        </w:tc>
        <w:tc>
          <w:tcPr>
            <w:tcW w:w="20" w:type="dxa"/>
            <w:vAlign w:val="bottom"/>
            <w:tcBorders>
              <w:top w:val="single" w:sz="8" w:color="CCEEFF"/>
            </w:tcBorders>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21"/>
                <w:szCs w:val="21"/>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Ownership of Properties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72</w:t>
              </w:r>
            </w:hyperlink>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6.08</w:t>
            </w:r>
          </w:p>
        </w:tc>
        <w:tc>
          <w:tcPr>
            <w:tcW w:w="20" w:type="dxa"/>
            <w:vAlign w:val="bottom"/>
            <w:tcBorders>
              <w:top w:val="single" w:sz="8" w:color="CCEEFF"/>
            </w:tcBorders>
          </w:tcPr>
          <w:p>
            <w:pPr>
              <w:spacing w:after="0"/>
              <w:rPr>
                <w:sz w:val="17"/>
                <w:szCs w:val="17"/>
                <w:color w:val="auto"/>
              </w:rPr>
            </w:pPr>
          </w:p>
        </w:tc>
        <w:tc>
          <w:tcPr>
            <w:tcW w:w="1760" w:type="dxa"/>
            <w:vAlign w:val="bottom"/>
            <w:tcBorders>
              <w:top w:val="single" w:sz="8" w:color="auto"/>
            </w:tcBorders>
            <w:gridSpan w:val="21"/>
          </w:tcPr>
          <w:p>
            <w:pPr>
              <w:spacing w:after="0" w:line="202" w:lineRule="exact"/>
              <w:rPr>
                <w:sz w:val="20"/>
                <w:szCs w:val="20"/>
                <w:color w:val="auto"/>
              </w:rPr>
            </w:pPr>
            <w:r>
              <w:rPr>
                <w:rFonts w:ascii="Arial" w:cs="Arial" w:eastAsia="Arial" w:hAnsi="Arial"/>
                <w:sz w:val="18"/>
                <w:szCs w:val="18"/>
                <w:color w:val="auto"/>
              </w:rPr>
              <w:t>Subsidiaries</w:t>
            </w:r>
          </w:p>
        </w:tc>
        <w:tc>
          <w:tcPr>
            <w:tcW w:w="7660" w:type="dxa"/>
            <w:vAlign w:val="bottom"/>
            <w:tcBorders>
              <w:top w:val="single" w:sz="8" w:color="CCEEFF"/>
            </w:tcBorders>
            <w:gridSpan w:val="19"/>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72</w:t>
              </w:r>
            </w:hyperlink>
          </w:p>
        </w:tc>
        <w:tc>
          <w:tcPr>
            <w:tcW w:w="20" w:type="dxa"/>
            <w:vAlign w:val="bottom"/>
            <w:tcBorders>
              <w:top w:val="single" w:sz="8" w:color="CCEEFF"/>
            </w:tcBorders>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c>
          <w:tcPr>
            <w:tcW w:w="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gridSpan w:val="29"/>
            <w:shd w:val="clear" w:color="auto" w:fill="CCEEFF"/>
          </w:tcPr>
          <w:p>
            <w:pPr>
              <w:spacing w:after="0" w:line="202" w:lineRule="exact"/>
              <w:rPr>
                <w:sz w:val="20"/>
                <w:szCs w:val="20"/>
                <w:color w:val="auto"/>
              </w:rPr>
            </w:pPr>
            <w:r>
              <w:rPr>
                <w:rFonts w:ascii="Arial" w:cs="Arial" w:eastAsia="Arial" w:hAnsi="Arial"/>
                <w:sz w:val="18"/>
                <w:szCs w:val="18"/>
                <w:color w:val="auto"/>
                <w:w w:val="87"/>
              </w:rPr>
              <w:t>Pension Plans and Plan Assets</w:t>
            </w:r>
          </w:p>
        </w:tc>
        <w:tc>
          <w:tcPr>
            <w:tcW w:w="722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6.10</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Investment Company Act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72</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gridSpan w:val="9"/>
            <w:shd w:val="clear" w:color="auto" w:fill="CCEEFF"/>
          </w:tcPr>
          <w:p>
            <w:pPr>
              <w:spacing w:after="0" w:line="202" w:lineRule="exact"/>
              <w:rPr>
                <w:sz w:val="20"/>
                <w:szCs w:val="20"/>
                <w:color w:val="auto"/>
              </w:rPr>
            </w:pPr>
            <w:r>
              <w:rPr>
                <w:rFonts w:ascii="Arial" w:cs="Arial" w:eastAsia="Arial" w:hAnsi="Arial"/>
                <w:sz w:val="18"/>
                <w:szCs w:val="18"/>
                <w:color w:val="auto"/>
                <w:w w:val="92"/>
              </w:rPr>
              <w:t>Regulation U</w:t>
            </w:r>
          </w:p>
        </w:tc>
        <w:tc>
          <w:tcPr>
            <w:tcW w:w="8440" w:type="dxa"/>
            <w:vAlign w:val="bottom"/>
            <w:tcBorders>
              <w:bottom w:val="single" w:sz="8" w:color="CCEEFF"/>
            </w:tcBorders>
            <w:gridSpan w:val="31"/>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Taxes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73</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gridSpan w:val="19"/>
            <w:shd w:val="clear" w:color="auto" w:fill="CCEEFF"/>
          </w:tcPr>
          <w:p>
            <w:pPr>
              <w:spacing w:after="0" w:line="202" w:lineRule="exact"/>
              <w:rPr>
                <w:sz w:val="20"/>
                <w:szCs w:val="20"/>
                <w:color w:val="auto"/>
              </w:rPr>
            </w:pPr>
            <w:r>
              <w:rPr>
                <w:rFonts w:ascii="Arial" w:cs="Arial" w:eastAsia="Arial" w:hAnsi="Arial"/>
                <w:sz w:val="18"/>
                <w:szCs w:val="18"/>
                <w:color w:val="auto"/>
                <w:w w:val="92"/>
              </w:rPr>
              <w:t>Environmental Matters</w:t>
            </w:r>
          </w:p>
        </w:tc>
        <w:tc>
          <w:tcPr>
            <w:tcW w:w="7740" w:type="dxa"/>
            <w:vAlign w:val="bottom"/>
            <w:tcBorders>
              <w:bottom w:val="single" w:sz="8" w:color="CCEEFF"/>
            </w:tcBorders>
            <w:gridSpan w:val="21"/>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Information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73</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94"/>
              </w:rPr>
              <w:t>No Default</w:t>
            </w:r>
          </w:p>
        </w:tc>
        <w:tc>
          <w:tcPr>
            <w:tcW w:w="8600" w:type="dxa"/>
            <w:vAlign w:val="bottom"/>
            <w:tcBorders>
              <w:bottom w:val="single" w:sz="8" w:color="CCEEFF"/>
            </w:tcBorders>
            <w:gridSpan w:val="34"/>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6.16</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Designated Borrower Joinder Agreement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73</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6.17</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1"/>
              </w:rPr>
              <w:t>OFAC</w:t>
            </w:r>
          </w:p>
        </w:tc>
        <w:tc>
          <w:tcPr>
            <w:tcW w:w="8940" w:type="dxa"/>
            <w:vAlign w:val="bottom"/>
            <w:tcBorders>
              <w:bottom w:val="single" w:sz="8" w:color="CCEEFF"/>
            </w:tcBorders>
            <w:gridSpan w:val="37"/>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Anti-Corruption Laws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74</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7"/>
                <w:szCs w:val="17"/>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Luxembourg Specific Representations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74</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420" w:type="dxa"/>
            <w:vAlign w:val="bottom"/>
            <w:gridSpan w:val="42"/>
          </w:tcPr>
          <w:p>
            <w:pPr>
              <w:ind w:left="40"/>
              <w:spacing w:after="0" w:line="202" w:lineRule="exact"/>
              <w:rPr>
                <w:sz w:val="20"/>
                <w:szCs w:val="20"/>
                <w:color w:val="auto"/>
              </w:rPr>
            </w:pPr>
            <w:r>
              <w:rPr>
                <w:rFonts w:ascii="Arial" w:cs="Arial" w:eastAsia="Arial" w:hAnsi="Arial"/>
                <w:sz w:val="18"/>
                <w:szCs w:val="18"/>
                <w:color w:val="auto"/>
              </w:rPr>
              <w:t>ARTICLE VII COVENANTS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75</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w:t>
            </w:r>
          </w:p>
        </w:tc>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auto"/>
            </w:tcBorders>
            <w:gridSpan w:val="37"/>
            <w:shd w:val="clear" w:color="auto" w:fill="CCEEFF"/>
          </w:tcPr>
          <w:p>
            <w:pPr>
              <w:spacing w:after="0" w:line="202" w:lineRule="exact"/>
              <w:rPr>
                <w:sz w:val="20"/>
                <w:szCs w:val="20"/>
                <w:color w:val="auto"/>
              </w:rPr>
            </w:pPr>
            <w:r>
              <w:rPr>
                <w:rFonts w:ascii="Arial" w:cs="Arial" w:eastAsia="Arial" w:hAnsi="Arial"/>
                <w:sz w:val="18"/>
                <w:szCs w:val="18"/>
                <w:color w:val="auto"/>
                <w:w w:val="91"/>
              </w:rPr>
              <w:t>Reports, Certificates and Other Information</w:t>
            </w:r>
          </w:p>
        </w:tc>
        <w:tc>
          <w:tcPr>
            <w:tcW w:w="62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7.02</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Books, Records and Inspections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78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7"/>
                <w:szCs w:val="17"/>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78</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20" w:type="dxa"/>
            <w:vAlign w:val="bottom"/>
          </w:tcPr>
          <w:p>
            <w:pPr>
              <w:spacing w:after="0"/>
              <w:rPr>
                <w:sz w:val="17"/>
                <w:szCs w:val="17"/>
                <w:color w:val="auto"/>
              </w:rPr>
            </w:pPr>
          </w:p>
        </w:tc>
        <w:tc>
          <w:tcPr>
            <w:tcW w:w="9420" w:type="dxa"/>
            <w:vAlign w:val="bottom"/>
            <w:gridSpan w:val="40"/>
          </w:tcPr>
          <w:p>
            <w:pPr>
              <w:spacing w:after="0" w:line="202" w:lineRule="exact"/>
              <w:rPr>
                <w:sz w:val="20"/>
                <w:szCs w:val="20"/>
                <w:color w:val="auto"/>
              </w:rPr>
            </w:pPr>
            <w:r>
              <w:rPr>
                <w:rFonts w:ascii="Arial" w:cs="Arial" w:eastAsia="Arial" w:hAnsi="Arial"/>
                <w:sz w:val="18"/>
                <w:szCs w:val="18"/>
                <w:color w:val="auto"/>
              </w:rPr>
              <w:t>Compliance with Laws; Payment of Taxes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78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20" w:type="dxa"/>
            <w:vAlign w:val="bottom"/>
            <w:shd w:val="clear" w:color="auto" w:fill="CCEEFF"/>
          </w:tcPr>
          <w:p>
            <w:pPr>
              <w:spacing w:after="0"/>
              <w:rPr>
                <w:sz w:val="21"/>
                <w:szCs w:val="21"/>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Maintenance of Existence, etc.</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79</w:t>
              </w:r>
            </w:hyperlink>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7.06</w:t>
            </w:r>
          </w:p>
        </w:tc>
        <w:tc>
          <w:tcPr>
            <w:tcW w:w="20" w:type="dxa"/>
            <w:vAlign w:val="bottom"/>
            <w:tcBorders>
              <w:top w:val="single" w:sz="8" w:color="CCEEFF"/>
            </w:tcBorders>
          </w:tcPr>
          <w:p>
            <w:pPr>
              <w:spacing w:after="0"/>
              <w:rPr>
                <w:sz w:val="17"/>
                <w:szCs w:val="17"/>
                <w:color w:val="auto"/>
              </w:rPr>
            </w:pPr>
          </w:p>
        </w:tc>
        <w:tc>
          <w:tcPr>
            <w:tcW w:w="2220" w:type="dxa"/>
            <w:vAlign w:val="bottom"/>
            <w:tcBorders>
              <w:top w:val="single" w:sz="8" w:color="auto"/>
            </w:tcBorders>
            <w:gridSpan w:val="30"/>
          </w:tcPr>
          <w:p>
            <w:pPr>
              <w:spacing w:after="0" w:line="202" w:lineRule="exact"/>
              <w:rPr>
                <w:sz w:val="20"/>
                <w:szCs w:val="20"/>
                <w:color w:val="auto"/>
              </w:rPr>
            </w:pPr>
            <w:r>
              <w:rPr>
                <w:rFonts w:ascii="Arial" w:cs="Arial" w:eastAsia="Arial" w:hAnsi="Arial"/>
                <w:sz w:val="18"/>
                <w:szCs w:val="18"/>
                <w:color w:val="auto"/>
              </w:rPr>
              <w:t>Financial Covenants</w:t>
            </w:r>
          </w:p>
        </w:tc>
        <w:tc>
          <w:tcPr>
            <w:tcW w:w="7200" w:type="dxa"/>
            <w:vAlign w:val="bottom"/>
            <w:tcBorders>
              <w:top w:val="single" w:sz="8" w:color="CCEEFF"/>
            </w:tcBorders>
            <w:gridSpan w:val="10"/>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79</w:t>
              </w:r>
            </w:hyperlink>
          </w:p>
        </w:tc>
        <w:tc>
          <w:tcPr>
            <w:tcW w:w="20" w:type="dxa"/>
            <w:vAlign w:val="bottom"/>
            <w:tcBorders>
              <w:top w:val="single" w:sz="8" w:color="CCEEFF"/>
            </w:tcBorders>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7.07</w:t>
            </w: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gridSpan w:val="14"/>
            <w:shd w:val="clear" w:color="auto" w:fill="CCEEFF"/>
          </w:tcPr>
          <w:p>
            <w:pPr>
              <w:spacing w:after="0" w:line="202" w:lineRule="exact"/>
              <w:rPr>
                <w:sz w:val="20"/>
                <w:szCs w:val="20"/>
                <w:color w:val="auto"/>
              </w:rPr>
            </w:pPr>
            <w:r>
              <w:rPr>
                <w:rFonts w:ascii="Arial" w:cs="Arial" w:eastAsia="Arial" w:hAnsi="Arial"/>
                <w:sz w:val="18"/>
                <w:szCs w:val="18"/>
                <w:color w:val="auto"/>
                <w:w w:val="93"/>
              </w:rPr>
              <w:t>Limitations on Debt</w:t>
            </w:r>
          </w:p>
        </w:tc>
        <w:tc>
          <w:tcPr>
            <w:tcW w:w="7960" w:type="dxa"/>
            <w:vAlign w:val="bottom"/>
            <w:tcBorders>
              <w:bottom w:val="single" w:sz="8" w:color="CCEEFF"/>
            </w:tcBorders>
            <w:gridSpan w:val="26"/>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79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7.08</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Liens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81</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auto"/>
            </w:tcBorders>
            <w:gridSpan w:val="38"/>
            <w:shd w:val="clear" w:color="auto" w:fill="CCEEFF"/>
          </w:tcPr>
          <w:p>
            <w:pPr>
              <w:spacing w:after="0" w:line="202" w:lineRule="exact"/>
              <w:rPr>
                <w:sz w:val="20"/>
                <w:szCs w:val="20"/>
                <w:color w:val="auto"/>
              </w:rPr>
            </w:pPr>
            <w:r>
              <w:rPr>
                <w:rFonts w:ascii="Arial" w:cs="Arial" w:eastAsia="Arial" w:hAnsi="Arial"/>
                <w:sz w:val="18"/>
                <w:szCs w:val="18"/>
                <w:color w:val="auto"/>
                <w:w w:val="88"/>
              </w:rPr>
              <w:t>Fundamental Changes, Consolidations, Sales</w:t>
            </w:r>
          </w:p>
        </w:tc>
        <w:tc>
          <w:tcPr>
            <w:tcW w:w="61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7.10</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Use of Proceeds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85</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w:t>
            </w:r>
          </w:p>
        </w:tc>
        <w:tc>
          <w:tcPr>
            <w:tcW w:w="20" w:type="dxa"/>
            <w:vAlign w:val="bottom"/>
            <w:shd w:val="clear" w:color="auto" w:fill="CCEEFF"/>
          </w:tcPr>
          <w:p>
            <w:pPr>
              <w:spacing w:after="0"/>
              <w:rPr>
                <w:sz w:val="17"/>
                <w:szCs w:val="17"/>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Further Assurances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85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20" w:type="dxa"/>
            <w:vAlign w:val="bottom"/>
          </w:tcPr>
          <w:p>
            <w:pPr>
              <w:spacing w:after="0"/>
              <w:rPr>
                <w:sz w:val="17"/>
                <w:szCs w:val="17"/>
                <w:color w:val="auto"/>
              </w:rPr>
            </w:pPr>
          </w:p>
        </w:tc>
        <w:tc>
          <w:tcPr>
            <w:tcW w:w="9420" w:type="dxa"/>
            <w:vAlign w:val="bottom"/>
            <w:gridSpan w:val="40"/>
          </w:tcPr>
          <w:p>
            <w:pPr>
              <w:spacing w:after="0" w:line="202" w:lineRule="exact"/>
              <w:rPr>
                <w:sz w:val="20"/>
                <w:szCs w:val="20"/>
                <w:color w:val="auto"/>
              </w:rPr>
            </w:pPr>
            <w:r>
              <w:rPr>
                <w:rFonts w:ascii="Arial" w:cs="Arial" w:eastAsia="Arial" w:hAnsi="Arial"/>
                <w:sz w:val="18"/>
                <w:szCs w:val="18"/>
                <w:color w:val="auto"/>
              </w:rPr>
              <w:t>Transactions with Affiliates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85</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21"/>
                <w:szCs w:val="21"/>
                <w:color w:val="auto"/>
              </w:rPr>
            </w:pPr>
          </w:p>
        </w:tc>
        <w:tc>
          <w:tcPr>
            <w:tcW w:w="9420" w:type="dxa"/>
            <w:vAlign w:val="bottom"/>
            <w:gridSpan w:val="40"/>
            <w:shd w:val="clear" w:color="auto" w:fill="CCEEFF"/>
          </w:tcPr>
          <w:p>
            <w:pPr>
              <w:spacing w:after="0" w:line="202" w:lineRule="exact"/>
              <w:rPr>
                <w:sz w:val="20"/>
                <w:szCs w:val="20"/>
                <w:color w:val="auto"/>
              </w:rPr>
            </w:pPr>
            <w:r>
              <w:rPr>
                <w:rFonts w:ascii="Arial" w:cs="Arial" w:eastAsia="Arial" w:hAnsi="Arial"/>
                <w:sz w:val="18"/>
                <w:szCs w:val="18"/>
                <w:color w:val="auto"/>
              </w:rPr>
              <w:t>Employee Benefit Plans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86</w:t>
              </w:r>
            </w:hyperlink>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7.14</w:t>
            </w:r>
          </w:p>
        </w:tc>
        <w:tc>
          <w:tcPr>
            <w:tcW w:w="20" w:type="dxa"/>
            <w:vAlign w:val="bottom"/>
            <w:tcBorders>
              <w:top w:val="single" w:sz="8" w:color="CCEEFF"/>
            </w:tcBorders>
          </w:tcPr>
          <w:p>
            <w:pPr>
              <w:spacing w:after="0"/>
              <w:rPr>
                <w:sz w:val="17"/>
                <w:szCs w:val="17"/>
                <w:color w:val="auto"/>
              </w:rPr>
            </w:pPr>
          </w:p>
        </w:tc>
        <w:tc>
          <w:tcPr>
            <w:tcW w:w="1740" w:type="dxa"/>
            <w:vAlign w:val="bottom"/>
            <w:tcBorders>
              <w:top w:val="single" w:sz="8" w:color="auto"/>
            </w:tcBorders>
            <w:gridSpan w:val="20"/>
          </w:tcPr>
          <w:p>
            <w:pPr>
              <w:spacing w:after="0" w:line="202" w:lineRule="exact"/>
              <w:rPr>
                <w:sz w:val="20"/>
                <w:szCs w:val="20"/>
                <w:color w:val="auto"/>
              </w:rPr>
            </w:pPr>
            <w:r>
              <w:rPr>
                <w:rFonts w:ascii="Arial" w:cs="Arial" w:eastAsia="Arial" w:hAnsi="Arial"/>
                <w:sz w:val="18"/>
                <w:szCs w:val="18"/>
                <w:color w:val="auto"/>
              </w:rPr>
              <w:t>Environmental Laws</w:t>
            </w:r>
          </w:p>
        </w:tc>
        <w:tc>
          <w:tcPr>
            <w:tcW w:w="7680" w:type="dxa"/>
            <w:vAlign w:val="bottom"/>
            <w:tcBorders>
              <w:top w:val="single" w:sz="8" w:color="CCEEFF"/>
            </w:tcBorders>
            <w:gridSpan w:val="20"/>
          </w:tcPr>
          <w:p>
            <w:pPr>
              <w:spacing w:after="0"/>
              <w:rPr>
                <w:sz w:val="17"/>
                <w:szCs w:val="17"/>
                <w:color w:val="auto"/>
              </w:rPr>
            </w:pPr>
          </w:p>
        </w:tc>
        <w:tc>
          <w:tcPr>
            <w:tcW w:w="18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86</w:t>
              </w:r>
            </w:hyperlink>
          </w:p>
        </w:tc>
        <w:tc>
          <w:tcPr>
            <w:tcW w:w="20" w:type="dxa"/>
            <w:vAlign w:val="bottom"/>
            <w:tcBorders>
              <w:top w:val="single" w:sz="8" w:color="CCEEFF"/>
            </w:tcBorders>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7.15</w:t>
            </w: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gridSpan w:val="12"/>
            <w:shd w:val="clear" w:color="auto" w:fill="CCEEFF"/>
          </w:tcPr>
          <w:p>
            <w:pPr>
              <w:spacing w:after="0" w:line="202" w:lineRule="exact"/>
              <w:rPr>
                <w:sz w:val="20"/>
                <w:szCs w:val="20"/>
                <w:color w:val="auto"/>
              </w:rPr>
            </w:pPr>
            <w:r>
              <w:rPr>
                <w:rFonts w:ascii="Arial" w:cs="Arial" w:eastAsia="Arial" w:hAnsi="Arial"/>
                <w:sz w:val="18"/>
                <w:szCs w:val="18"/>
                <w:color w:val="auto"/>
                <w:w w:val="92"/>
              </w:rPr>
              <w:t>Business Activities</w:t>
            </w:r>
          </w:p>
        </w:tc>
        <w:tc>
          <w:tcPr>
            <w:tcW w:w="8020" w:type="dxa"/>
            <w:vAlign w:val="bottom"/>
            <w:tcBorders>
              <w:bottom w:val="single" w:sz="8" w:color="CCEEFF"/>
            </w:tcBorders>
            <w:gridSpan w:val="28"/>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86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7.16</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Non-Guarantor Domestic Subsidiaries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86</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7.17</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8"/>
            <w:shd w:val="clear" w:color="auto" w:fill="CCEEFF"/>
          </w:tcPr>
          <w:p>
            <w:pPr>
              <w:spacing w:after="0" w:line="202" w:lineRule="exact"/>
              <w:rPr>
                <w:sz w:val="20"/>
                <w:szCs w:val="20"/>
                <w:color w:val="auto"/>
              </w:rPr>
            </w:pPr>
            <w:r>
              <w:rPr>
                <w:rFonts w:ascii="Arial" w:cs="Arial" w:eastAsia="Arial" w:hAnsi="Arial"/>
                <w:sz w:val="18"/>
                <w:szCs w:val="18"/>
                <w:color w:val="auto"/>
                <w:w w:val="88"/>
              </w:rPr>
              <w:t>Investments</w:t>
            </w:r>
          </w:p>
        </w:tc>
        <w:tc>
          <w:tcPr>
            <w:tcW w:w="8540" w:type="dxa"/>
            <w:vAlign w:val="bottom"/>
            <w:tcBorders>
              <w:bottom w:val="single" w:sz="8" w:color="CCEEFF"/>
            </w:tcBorders>
            <w:gridSpan w:val="3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86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9440" w:type="dxa"/>
            <w:vAlign w:val="bottom"/>
            <w:gridSpan w:val="41"/>
          </w:tcPr>
          <w:p>
            <w:pPr>
              <w:ind w:left="20"/>
              <w:spacing w:after="0" w:line="202" w:lineRule="exact"/>
              <w:rPr>
                <w:sz w:val="20"/>
                <w:szCs w:val="20"/>
                <w:color w:val="auto"/>
              </w:rPr>
            </w:pPr>
            <w:r>
              <w:rPr>
                <w:rFonts w:ascii="Arial" w:cs="Arial" w:eastAsia="Arial" w:hAnsi="Arial"/>
                <w:sz w:val="18"/>
                <w:szCs w:val="18"/>
                <w:color w:val="auto"/>
              </w:rPr>
              <w:t>Burdensome Agreements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88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w:t>
            </w:r>
          </w:p>
        </w:tc>
        <w:tc>
          <w:tcPr>
            <w:tcW w:w="9440" w:type="dxa"/>
            <w:vAlign w:val="bottom"/>
            <w:gridSpan w:val="41"/>
            <w:shd w:val="clear" w:color="auto" w:fill="CCEEFF"/>
          </w:tcPr>
          <w:p>
            <w:pPr>
              <w:ind w:left="20"/>
              <w:spacing w:after="0" w:line="202" w:lineRule="exact"/>
              <w:rPr>
                <w:sz w:val="20"/>
                <w:szCs w:val="20"/>
                <w:color w:val="auto"/>
              </w:rPr>
            </w:pPr>
            <w:r>
              <w:rPr>
                <w:rFonts w:ascii="Arial" w:cs="Arial" w:eastAsia="Arial" w:hAnsi="Arial"/>
                <w:sz w:val="18"/>
                <w:szCs w:val="18"/>
                <w:color w:val="auto"/>
              </w:rPr>
              <w:t>Organization Documents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88</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0620"/>
          </w:cols>
          <w:pgMar w:left="240" w:top="513" w:right="10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spacing w:after="0"/>
              <w:rPr>
                <w:sz w:val="20"/>
                <w:szCs w:val="20"/>
                <w:color w:val="auto"/>
              </w:rPr>
            </w:pPr>
            <w:r>
              <w:rPr>
                <w:rFonts w:ascii="Arial" w:cs="Arial" w:eastAsia="Arial" w:hAnsi="Arial"/>
                <w:sz w:val="18"/>
                <w:szCs w:val="18"/>
                <w:color w:val="auto"/>
              </w:rPr>
              <w:t>7.20</w:t>
            </w:r>
          </w:p>
        </w:tc>
        <w:tc>
          <w:tcPr>
            <w:tcW w:w="7120" w:type="dxa"/>
            <w:vAlign w:val="bottom"/>
            <w:gridSpan w:val="37"/>
          </w:tcPr>
          <w:p>
            <w:pPr>
              <w:ind w:left="20"/>
              <w:spacing w:after="0"/>
              <w:rPr>
                <w:sz w:val="20"/>
                <w:szCs w:val="20"/>
                <w:color w:val="auto"/>
              </w:rPr>
            </w:pPr>
            <w:r>
              <w:rPr>
                <w:rFonts w:ascii="Arial" w:cs="Arial" w:eastAsia="Arial" w:hAnsi="Arial"/>
                <w:sz w:val="18"/>
                <w:szCs w:val="18"/>
                <w:color w:val="auto"/>
              </w:rPr>
              <w:t>Sanctions</w:t>
            </w:r>
          </w:p>
        </w:tc>
        <w:tc>
          <w:tcPr>
            <w:tcW w:w="2520" w:type="dxa"/>
            <w:vAlign w:val="bottom"/>
            <w:gridSpan w:val="5"/>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88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7"/>
                <w:szCs w:val="17"/>
                <w:color w:val="auto"/>
              </w:rPr>
            </w:pPr>
          </w:p>
        </w:tc>
        <w:tc>
          <w:tcPr>
            <w:tcW w:w="162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w w:val="95"/>
              </w:rPr>
              <w:t>Anti-Corruption Laws</w:t>
            </w:r>
          </w:p>
        </w:tc>
        <w:tc>
          <w:tcPr>
            <w:tcW w:w="5480" w:type="dxa"/>
            <w:vAlign w:val="bottom"/>
            <w:gridSpan w:val="22"/>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89</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100" w:type="dxa"/>
            <w:vAlign w:val="bottom"/>
            <w:gridSpan w:val="38"/>
          </w:tcPr>
          <w:p>
            <w:pPr>
              <w:ind w:left="40"/>
              <w:spacing w:after="0" w:line="202" w:lineRule="exact"/>
              <w:rPr>
                <w:sz w:val="20"/>
                <w:szCs w:val="20"/>
                <w:color w:val="auto"/>
              </w:rPr>
            </w:pPr>
            <w:r>
              <w:rPr>
                <w:rFonts w:ascii="Arial" w:cs="Arial" w:eastAsia="Arial" w:hAnsi="Arial"/>
                <w:sz w:val="18"/>
                <w:szCs w:val="18"/>
                <w:color w:val="auto"/>
              </w:rPr>
              <w:t>ARTICLE VIII [RESERVED]</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89</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100" w:type="dxa"/>
            <w:vAlign w:val="bottom"/>
            <w:gridSpan w:val="38"/>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IX EVENTS OF DEFAULT AND REMEDIES</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89</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712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Events of Default</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89</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7"/>
                <w:szCs w:val="17"/>
                <w:color w:val="auto"/>
              </w:rPr>
            </w:pPr>
          </w:p>
        </w:tc>
        <w:tc>
          <w:tcPr>
            <w:tcW w:w="710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Remedies Upon Event of Default</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91</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9.03</w:t>
            </w:r>
          </w:p>
        </w:tc>
        <w:tc>
          <w:tcPr>
            <w:tcW w:w="20" w:type="dxa"/>
            <w:vAlign w:val="bottom"/>
          </w:tcPr>
          <w:p>
            <w:pPr>
              <w:spacing w:after="0"/>
              <w:rPr>
                <w:sz w:val="17"/>
                <w:szCs w:val="17"/>
                <w:color w:val="auto"/>
              </w:rPr>
            </w:pPr>
          </w:p>
        </w:tc>
        <w:tc>
          <w:tcPr>
            <w:tcW w:w="2400" w:type="dxa"/>
            <w:vAlign w:val="bottom"/>
            <w:gridSpan w:val="22"/>
          </w:tcPr>
          <w:p>
            <w:pPr>
              <w:spacing w:after="0" w:line="202" w:lineRule="exact"/>
              <w:rPr>
                <w:sz w:val="20"/>
                <w:szCs w:val="20"/>
                <w:color w:val="auto"/>
              </w:rPr>
            </w:pPr>
            <w:r>
              <w:rPr>
                <w:rFonts w:ascii="Arial" w:cs="Arial" w:eastAsia="Arial" w:hAnsi="Arial"/>
                <w:sz w:val="18"/>
                <w:szCs w:val="18"/>
                <w:color w:val="auto"/>
              </w:rPr>
              <w:t>Application of Funds</w:t>
            </w:r>
          </w:p>
        </w:tc>
        <w:tc>
          <w:tcPr>
            <w:tcW w:w="4700" w:type="dxa"/>
            <w:vAlign w:val="bottom"/>
            <w:gridSpan w:val="14"/>
          </w:tcPr>
          <w:p>
            <w:pPr>
              <w:spacing w:after="0"/>
              <w:rPr>
                <w:sz w:val="17"/>
                <w:szCs w:val="17"/>
                <w:color w:val="auto"/>
              </w:rPr>
            </w:pP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92</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100" w:type="dxa"/>
            <w:vAlign w:val="bottom"/>
            <w:gridSpan w:val="38"/>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X ADMINISTRATIVE AGENT</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93</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10.01</w:t>
            </w:r>
          </w:p>
        </w:tc>
        <w:tc>
          <w:tcPr>
            <w:tcW w:w="712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Appointment and Authority</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93</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w:t>
            </w:r>
          </w:p>
        </w:tc>
        <w:tc>
          <w:tcPr>
            <w:tcW w:w="20" w:type="dxa"/>
            <w:vAlign w:val="bottom"/>
            <w:shd w:val="clear" w:color="auto" w:fill="CCEEFF"/>
          </w:tcPr>
          <w:p>
            <w:pPr>
              <w:spacing w:after="0"/>
              <w:rPr>
                <w:sz w:val="17"/>
                <w:szCs w:val="17"/>
                <w:color w:val="auto"/>
              </w:rPr>
            </w:pPr>
          </w:p>
        </w:tc>
        <w:tc>
          <w:tcPr>
            <w:tcW w:w="136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color w:val="auto"/>
                <w:w w:val="88"/>
              </w:rPr>
              <w:t>Rights as a Lender</w:t>
            </w:r>
          </w:p>
        </w:tc>
        <w:tc>
          <w:tcPr>
            <w:tcW w:w="5740" w:type="dxa"/>
            <w:vAlign w:val="bottom"/>
            <w:gridSpan w:val="27"/>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93</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10.03</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Exculpatory Provisions</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93</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w:t>
            </w:r>
          </w:p>
        </w:tc>
        <w:tc>
          <w:tcPr>
            <w:tcW w:w="20" w:type="dxa"/>
            <w:vAlign w:val="bottom"/>
            <w:shd w:val="clear" w:color="auto" w:fill="CCEEFF"/>
          </w:tcPr>
          <w:p>
            <w:pPr>
              <w:spacing w:after="0"/>
              <w:rPr>
                <w:sz w:val="17"/>
                <w:szCs w:val="17"/>
                <w:color w:val="auto"/>
              </w:rPr>
            </w:pPr>
          </w:p>
        </w:tc>
        <w:tc>
          <w:tcPr>
            <w:tcW w:w="248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auto"/>
                <w:w w:val="93"/>
              </w:rPr>
              <w:t>Reliance by Administrative Agent</w:t>
            </w:r>
          </w:p>
        </w:tc>
        <w:tc>
          <w:tcPr>
            <w:tcW w:w="4620" w:type="dxa"/>
            <w:vAlign w:val="bottom"/>
            <w:gridSpan w:val="13"/>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95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20" w:type="dxa"/>
            <w:vAlign w:val="bottom"/>
          </w:tcPr>
          <w:p>
            <w:pPr>
              <w:spacing w:after="0"/>
              <w:rPr>
                <w:sz w:val="17"/>
                <w:szCs w:val="17"/>
                <w:color w:val="auto"/>
              </w:rPr>
            </w:pPr>
          </w:p>
        </w:tc>
        <w:tc>
          <w:tcPr>
            <w:tcW w:w="2480" w:type="dxa"/>
            <w:vAlign w:val="bottom"/>
            <w:gridSpan w:val="23"/>
          </w:tcPr>
          <w:p>
            <w:pPr>
              <w:spacing w:after="0" w:line="202" w:lineRule="exact"/>
              <w:rPr>
                <w:sz w:val="20"/>
                <w:szCs w:val="20"/>
                <w:color w:val="auto"/>
              </w:rPr>
            </w:pPr>
            <w:r>
              <w:rPr>
                <w:rFonts w:ascii="Arial" w:cs="Arial" w:eastAsia="Arial" w:hAnsi="Arial"/>
                <w:sz w:val="18"/>
                <w:szCs w:val="18"/>
                <w:color w:val="auto"/>
              </w:rPr>
              <w:t>Delegation of Duties</w:t>
            </w:r>
          </w:p>
        </w:tc>
        <w:tc>
          <w:tcPr>
            <w:tcW w:w="4620" w:type="dxa"/>
            <w:vAlign w:val="bottom"/>
            <w:gridSpan w:val="13"/>
          </w:tcPr>
          <w:p>
            <w:pPr>
              <w:spacing w:after="0"/>
              <w:rPr>
                <w:sz w:val="17"/>
                <w:szCs w:val="17"/>
                <w:color w:val="auto"/>
              </w:rPr>
            </w:pP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95</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10.06</w:t>
            </w:r>
          </w:p>
        </w:tc>
        <w:tc>
          <w:tcPr>
            <w:tcW w:w="20" w:type="dxa"/>
            <w:vAlign w:val="bottom"/>
            <w:shd w:val="clear" w:color="auto" w:fill="CCEEFF"/>
          </w:tcPr>
          <w:p>
            <w:pPr>
              <w:spacing w:after="0"/>
              <w:rPr>
                <w:sz w:val="17"/>
                <w:szCs w:val="17"/>
                <w:color w:val="auto"/>
              </w:rPr>
            </w:pPr>
          </w:p>
        </w:tc>
        <w:tc>
          <w:tcPr>
            <w:tcW w:w="268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auto"/>
                <w:w w:val="93"/>
              </w:rPr>
              <w:t>Resignation of Administrative Agent</w:t>
            </w:r>
          </w:p>
        </w:tc>
        <w:tc>
          <w:tcPr>
            <w:tcW w:w="4420" w:type="dxa"/>
            <w:vAlign w:val="bottom"/>
            <w:gridSpan w:val="11"/>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95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10.07</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Non-Reliance on Administrative Agent and Other Lenders</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97</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w:t>
            </w:r>
          </w:p>
        </w:tc>
        <w:tc>
          <w:tcPr>
            <w:tcW w:w="20" w:type="dxa"/>
            <w:vAlign w:val="bottom"/>
            <w:shd w:val="clear" w:color="auto" w:fill="CCEEFF"/>
          </w:tcPr>
          <w:p>
            <w:pPr>
              <w:spacing w:after="0"/>
              <w:rPr>
                <w:sz w:val="17"/>
                <w:szCs w:val="17"/>
                <w:color w:val="auto"/>
              </w:rPr>
            </w:pPr>
          </w:p>
        </w:tc>
        <w:tc>
          <w:tcPr>
            <w:tcW w:w="1540" w:type="dxa"/>
            <w:vAlign w:val="bottom"/>
            <w:gridSpan w:val="13"/>
            <w:shd w:val="clear" w:color="auto" w:fill="CCEEFF"/>
          </w:tcPr>
          <w:p>
            <w:pPr>
              <w:spacing w:after="0" w:line="202" w:lineRule="exact"/>
              <w:rPr>
                <w:sz w:val="20"/>
                <w:szCs w:val="20"/>
                <w:color w:val="auto"/>
              </w:rPr>
            </w:pPr>
            <w:r>
              <w:rPr>
                <w:rFonts w:ascii="Arial" w:cs="Arial" w:eastAsia="Arial" w:hAnsi="Arial"/>
                <w:sz w:val="18"/>
                <w:szCs w:val="18"/>
                <w:color w:val="auto"/>
                <w:w w:val="92"/>
              </w:rPr>
              <w:t>No Other Duties; Etc</w:t>
            </w:r>
          </w:p>
        </w:tc>
        <w:tc>
          <w:tcPr>
            <w:tcW w:w="5560" w:type="dxa"/>
            <w:vAlign w:val="bottom"/>
            <w:gridSpan w:val="23"/>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97</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Administrative Agent May File Proofs of Claim</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97</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auto"/>
                <w:w w:val="90"/>
              </w:rPr>
              <w:t>Guaranty Matters</w:t>
            </w:r>
          </w:p>
        </w:tc>
        <w:tc>
          <w:tcPr>
            <w:tcW w:w="5820" w:type="dxa"/>
            <w:vAlign w:val="bottom"/>
            <w:gridSpan w:val="29"/>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98</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Treasury Management Agreements and Hedge Agreements</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98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100" w:type="dxa"/>
            <w:vAlign w:val="bottom"/>
            <w:gridSpan w:val="38"/>
            <w:shd w:val="clear" w:color="auto" w:fill="CCEEFF"/>
          </w:tcPr>
          <w:p>
            <w:pPr>
              <w:ind w:left="40"/>
              <w:spacing w:after="0" w:line="202" w:lineRule="exact"/>
              <w:rPr>
                <w:sz w:val="20"/>
                <w:szCs w:val="20"/>
                <w:color w:val="auto"/>
              </w:rPr>
            </w:pPr>
            <w:r>
              <w:rPr>
                <w:rFonts w:ascii="Arial" w:cs="Arial" w:eastAsia="Arial" w:hAnsi="Arial"/>
                <w:sz w:val="18"/>
                <w:szCs w:val="18"/>
                <w:color w:val="auto"/>
              </w:rPr>
              <w:t>ARTICLE XI MISCELLANEOUS</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98</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11.01</w:t>
            </w:r>
          </w:p>
        </w:tc>
        <w:tc>
          <w:tcPr>
            <w:tcW w:w="712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Amendments, Etc</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98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11.02</w:t>
            </w:r>
          </w:p>
        </w:tc>
        <w:tc>
          <w:tcPr>
            <w:tcW w:w="20" w:type="dxa"/>
            <w:vAlign w:val="bottom"/>
            <w:shd w:val="clear" w:color="auto" w:fill="CCEEFF"/>
          </w:tcPr>
          <w:p>
            <w:pPr>
              <w:spacing w:after="0"/>
              <w:rPr>
                <w:sz w:val="21"/>
                <w:szCs w:val="21"/>
                <w:color w:val="auto"/>
              </w:rPr>
            </w:pPr>
          </w:p>
        </w:tc>
        <w:tc>
          <w:tcPr>
            <w:tcW w:w="710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Notices; Effectiveness; Electronic Communications</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100</w:t>
              </w:r>
            </w:hyperlink>
          </w:p>
        </w:tc>
      </w:tr>
      <w:tr>
        <w:trPr>
          <w:trHeight w:val="203"/>
        </w:trPr>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11.03</w:t>
            </w:r>
          </w:p>
        </w:tc>
        <w:tc>
          <w:tcPr>
            <w:tcW w:w="20" w:type="dxa"/>
            <w:vAlign w:val="bottom"/>
            <w:tcBorders>
              <w:top w:val="single" w:sz="8" w:color="CCEEFF"/>
            </w:tcBorders>
          </w:tcPr>
          <w:p>
            <w:pPr>
              <w:spacing w:after="0"/>
              <w:rPr>
                <w:sz w:val="17"/>
                <w:szCs w:val="17"/>
                <w:color w:val="auto"/>
              </w:rPr>
            </w:pPr>
          </w:p>
        </w:tc>
        <w:tc>
          <w:tcPr>
            <w:tcW w:w="3720" w:type="dxa"/>
            <w:vAlign w:val="bottom"/>
            <w:tcBorders>
              <w:top w:val="single" w:sz="8" w:color="auto"/>
            </w:tcBorders>
            <w:gridSpan w:val="31"/>
          </w:tcPr>
          <w:p>
            <w:pPr>
              <w:spacing w:after="0" w:line="202" w:lineRule="exact"/>
              <w:rPr>
                <w:sz w:val="20"/>
                <w:szCs w:val="20"/>
                <w:color w:val="auto"/>
              </w:rPr>
            </w:pPr>
            <w:r>
              <w:rPr>
                <w:rFonts w:ascii="Arial" w:cs="Arial" w:eastAsia="Arial" w:hAnsi="Arial"/>
                <w:sz w:val="18"/>
                <w:szCs w:val="18"/>
                <w:color w:val="auto"/>
                <w:w w:val="96"/>
              </w:rPr>
              <w:t>No Waiver; Cumulative Remedies; Enforcement</w:t>
            </w:r>
          </w:p>
        </w:tc>
        <w:tc>
          <w:tcPr>
            <w:tcW w:w="3380" w:type="dxa"/>
            <w:vAlign w:val="bottom"/>
            <w:tcBorders>
              <w:top w:val="single" w:sz="8" w:color="CCEEFF"/>
            </w:tcBorders>
            <w:gridSpan w:val="5"/>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3"/>
          </w:tcPr>
          <w:p>
            <w:pPr>
              <w:jc w:val="right"/>
              <w:spacing w:after="0" w:line="202"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102</w:t>
              </w:r>
            </w:hyperlink>
          </w:p>
        </w:tc>
        <w:tc>
          <w:tcPr>
            <w:tcW w:w="20" w:type="dxa"/>
            <w:vAlign w:val="bottom"/>
            <w:tcBorders>
              <w:top w:val="single" w:sz="8" w:color="CCEEFF"/>
            </w:tcBorders>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11.04</w:t>
            </w:r>
          </w:p>
        </w:tc>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auto"/>
            </w:tcBorders>
            <w:gridSpan w:val="26"/>
            <w:shd w:val="clear" w:color="auto" w:fill="CCEEFF"/>
          </w:tcPr>
          <w:p>
            <w:pPr>
              <w:spacing w:after="0" w:line="202" w:lineRule="exact"/>
              <w:rPr>
                <w:sz w:val="20"/>
                <w:szCs w:val="20"/>
                <w:color w:val="auto"/>
              </w:rPr>
            </w:pPr>
            <w:r>
              <w:rPr>
                <w:rFonts w:ascii="Arial" w:cs="Arial" w:eastAsia="Arial" w:hAnsi="Arial"/>
                <w:sz w:val="18"/>
                <w:szCs w:val="18"/>
                <w:color w:val="auto"/>
                <w:w w:val="90"/>
              </w:rPr>
              <w:t>Expenses; Indemnity; Damage Waiver</w:t>
            </w:r>
          </w:p>
        </w:tc>
        <w:tc>
          <w:tcPr>
            <w:tcW w:w="4320" w:type="dxa"/>
            <w:vAlign w:val="bottom"/>
            <w:tcBorders>
              <w:bottom w:val="single" w:sz="8" w:color="CCEEFF"/>
            </w:tcBorders>
            <w:gridSpan w:val="10"/>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103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11.05</w:t>
            </w:r>
          </w:p>
        </w:tc>
        <w:tc>
          <w:tcPr>
            <w:tcW w:w="712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Payments Set Aside</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105</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11.06</w:t>
            </w: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gridSpan w:val="16"/>
            <w:shd w:val="clear" w:color="auto" w:fill="CCEEFF"/>
          </w:tcPr>
          <w:p>
            <w:pPr>
              <w:spacing w:after="0" w:line="202" w:lineRule="exact"/>
              <w:rPr>
                <w:sz w:val="20"/>
                <w:szCs w:val="20"/>
                <w:color w:val="auto"/>
              </w:rPr>
            </w:pPr>
            <w:r>
              <w:rPr>
                <w:rFonts w:ascii="Arial" w:cs="Arial" w:eastAsia="Arial" w:hAnsi="Arial"/>
                <w:sz w:val="18"/>
                <w:szCs w:val="18"/>
                <w:color w:val="auto"/>
                <w:w w:val="86"/>
              </w:rPr>
              <w:t>Successors and Assigns</w:t>
            </w:r>
          </w:p>
        </w:tc>
        <w:tc>
          <w:tcPr>
            <w:tcW w:w="5380" w:type="dxa"/>
            <w:vAlign w:val="bottom"/>
            <w:tcBorders>
              <w:bottom w:val="single" w:sz="8" w:color="CCEEFF"/>
            </w:tcBorders>
            <w:gridSpan w:val="20"/>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105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11.07</w:t>
            </w:r>
          </w:p>
        </w:tc>
        <w:tc>
          <w:tcPr>
            <w:tcW w:w="7120" w:type="dxa"/>
            <w:vAlign w:val="bottom"/>
            <w:gridSpan w:val="37"/>
          </w:tcPr>
          <w:p>
            <w:pPr>
              <w:ind w:left="20"/>
              <w:spacing w:after="0" w:line="202" w:lineRule="exact"/>
              <w:rPr>
                <w:sz w:val="20"/>
                <w:szCs w:val="20"/>
                <w:color w:val="auto"/>
              </w:rPr>
            </w:pPr>
            <w:r>
              <w:rPr>
                <w:rFonts w:ascii="Arial" w:cs="Arial" w:eastAsia="Arial" w:hAnsi="Arial"/>
                <w:sz w:val="18"/>
                <w:szCs w:val="18"/>
                <w:color w:val="auto"/>
              </w:rPr>
              <w:t>Confidentiality</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0">
              <w:r>
                <w:rPr>
                  <w:rFonts w:ascii="Arial" w:cs="Arial" w:eastAsia="Arial" w:hAnsi="Arial"/>
                  <w:sz w:val="18"/>
                  <w:szCs w:val="18"/>
                  <w:color w:val="0000EE"/>
                </w:rPr>
                <w:t>111</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w:t>
            </w:r>
          </w:p>
        </w:tc>
        <w:tc>
          <w:tcPr>
            <w:tcW w:w="20" w:type="dxa"/>
            <w:vAlign w:val="bottom"/>
            <w:shd w:val="clear" w:color="auto" w:fill="CCEEFF"/>
          </w:tcPr>
          <w:p>
            <w:pPr>
              <w:spacing w:after="0"/>
              <w:rPr>
                <w:sz w:val="17"/>
                <w:szCs w:val="17"/>
                <w:color w:val="auto"/>
              </w:rPr>
            </w:pPr>
          </w:p>
        </w:tc>
        <w:tc>
          <w:tcPr>
            <w:tcW w:w="710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Set-off</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112</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Interest Rate Limitation</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112</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11.10</w:t>
            </w:r>
          </w:p>
        </w:tc>
        <w:tc>
          <w:tcPr>
            <w:tcW w:w="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88"/>
              </w:rPr>
              <w:t>Counterparts</w:t>
            </w:r>
          </w:p>
        </w:tc>
        <w:tc>
          <w:tcPr>
            <w:tcW w:w="6160" w:type="dxa"/>
            <w:vAlign w:val="bottom"/>
            <w:gridSpan w:val="32"/>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113</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11.11</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Integration; Effectiveness</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113</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11.12</w:t>
            </w:r>
          </w:p>
        </w:tc>
        <w:tc>
          <w:tcPr>
            <w:tcW w:w="20" w:type="dxa"/>
            <w:vAlign w:val="bottom"/>
            <w:shd w:val="clear" w:color="auto" w:fill="CCEEFF"/>
          </w:tcPr>
          <w:p>
            <w:pPr>
              <w:spacing w:after="0"/>
              <w:rPr>
                <w:sz w:val="17"/>
                <w:szCs w:val="17"/>
                <w:color w:val="auto"/>
              </w:rPr>
            </w:pPr>
          </w:p>
        </w:tc>
        <w:tc>
          <w:tcPr>
            <w:tcW w:w="3140" w:type="dxa"/>
            <w:vAlign w:val="bottom"/>
            <w:gridSpan w:val="28"/>
            <w:shd w:val="clear" w:color="auto" w:fill="CCEEFF"/>
          </w:tcPr>
          <w:p>
            <w:pPr>
              <w:spacing w:after="0" w:line="202" w:lineRule="exact"/>
              <w:rPr>
                <w:sz w:val="20"/>
                <w:szCs w:val="20"/>
                <w:color w:val="auto"/>
              </w:rPr>
            </w:pPr>
            <w:r>
              <w:rPr>
                <w:rFonts w:ascii="Arial" w:cs="Arial" w:eastAsia="Arial" w:hAnsi="Arial"/>
                <w:sz w:val="18"/>
                <w:szCs w:val="18"/>
                <w:color w:val="auto"/>
                <w:w w:val="89"/>
              </w:rPr>
              <w:t>Survival of Representations and Warranties</w:t>
            </w:r>
          </w:p>
        </w:tc>
        <w:tc>
          <w:tcPr>
            <w:tcW w:w="3960" w:type="dxa"/>
            <w:vAlign w:val="bottom"/>
            <w:gridSpan w:val="8"/>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113</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11.13</w:t>
            </w:r>
          </w:p>
        </w:tc>
        <w:tc>
          <w:tcPr>
            <w:tcW w:w="20" w:type="dxa"/>
            <w:vAlign w:val="bottom"/>
          </w:tcPr>
          <w:p>
            <w:pPr>
              <w:spacing w:after="0"/>
              <w:rPr>
                <w:sz w:val="17"/>
                <w:szCs w:val="17"/>
                <w:color w:val="auto"/>
              </w:rPr>
            </w:pPr>
          </w:p>
        </w:tc>
        <w:tc>
          <w:tcPr>
            <w:tcW w:w="3140" w:type="dxa"/>
            <w:vAlign w:val="bottom"/>
            <w:gridSpan w:val="28"/>
          </w:tcPr>
          <w:p>
            <w:pPr>
              <w:spacing w:after="0" w:line="202" w:lineRule="exact"/>
              <w:rPr>
                <w:sz w:val="20"/>
                <w:szCs w:val="20"/>
                <w:color w:val="auto"/>
              </w:rPr>
            </w:pPr>
            <w:r>
              <w:rPr>
                <w:rFonts w:ascii="Arial" w:cs="Arial" w:eastAsia="Arial" w:hAnsi="Arial"/>
                <w:sz w:val="18"/>
                <w:szCs w:val="18"/>
                <w:color w:val="auto"/>
              </w:rPr>
              <w:t>Severability</w:t>
            </w:r>
          </w:p>
        </w:tc>
        <w:tc>
          <w:tcPr>
            <w:tcW w:w="3960" w:type="dxa"/>
            <w:vAlign w:val="bottom"/>
            <w:gridSpan w:val="8"/>
          </w:tcPr>
          <w:p>
            <w:pPr>
              <w:spacing w:after="0"/>
              <w:rPr>
                <w:sz w:val="17"/>
                <w:szCs w:val="17"/>
                <w:color w:val="auto"/>
              </w:rPr>
            </w:pP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113</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17"/>
                <w:szCs w:val="17"/>
                <w:color w:val="auto"/>
              </w:rPr>
            </w:pPr>
          </w:p>
        </w:tc>
        <w:tc>
          <w:tcPr>
            <w:tcW w:w="710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Replacement of Lenders</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114</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11.15</w:t>
            </w:r>
          </w:p>
        </w:tc>
        <w:tc>
          <w:tcPr>
            <w:tcW w:w="20" w:type="dxa"/>
            <w:vAlign w:val="bottom"/>
          </w:tcPr>
          <w:p>
            <w:pPr>
              <w:spacing w:after="0"/>
              <w:rPr>
                <w:sz w:val="17"/>
                <w:szCs w:val="17"/>
                <w:color w:val="auto"/>
              </w:rPr>
            </w:pPr>
          </w:p>
        </w:tc>
        <w:tc>
          <w:tcPr>
            <w:tcW w:w="1760" w:type="dxa"/>
            <w:vAlign w:val="bottom"/>
            <w:gridSpan w:val="17"/>
          </w:tcPr>
          <w:p>
            <w:pPr>
              <w:spacing w:after="0" w:line="202" w:lineRule="exact"/>
              <w:rPr>
                <w:sz w:val="20"/>
                <w:szCs w:val="20"/>
                <w:color w:val="auto"/>
              </w:rPr>
            </w:pPr>
            <w:r>
              <w:rPr>
                <w:rFonts w:ascii="Arial" w:cs="Arial" w:eastAsia="Arial" w:hAnsi="Arial"/>
                <w:sz w:val="18"/>
                <w:szCs w:val="18"/>
                <w:color w:val="auto"/>
              </w:rPr>
              <w:t>Governing Law</w:t>
            </w:r>
          </w:p>
        </w:tc>
        <w:tc>
          <w:tcPr>
            <w:tcW w:w="5340" w:type="dxa"/>
            <w:vAlign w:val="bottom"/>
            <w:gridSpan w:val="19"/>
          </w:tcPr>
          <w:p>
            <w:pPr>
              <w:spacing w:after="0"/>
              <w:rPr>
                <w:sz w:val="17"/>
                <w:szCs w:val="17"/>
                <w:color w:val="auto"/>
              </w:rPr>
            </w:pP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114</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11.16</w:t>
            </w:r>
          </w:p>
        </w:tc>
        <w:tc>
          <w:tcPr>
            <w:tcW w:w="20" w:type="dxa"/>
            <w:vAlign w:val="bottom"/>
            <w:shd w:val="clear" w:color="auto" w:fill="CCEEFF"/>
          </w:tcPr>
          <w:p>
            <w:pPr>
              <w:spacing w:after="0"/>
              <w:rPr>
                <w:sz w:val="17"/>
                <w:szCs w:val="17"/>
                <w:color w:val="auto"/>
              </w:rPr>
            </w:pPr>
          </w:p>
        </w:tc>
        <w:tc>
          <w:tcPr>
            <w:tcW w:w="232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auto"/>
                <w:w w:val="93"/>
              </w:rPr>
              <w:t>Waiver of Right to Trial by Jury</w:t>
            </w:r>
          </w:p>
        </w:tc>
        <w:tc>
          <w:tcPr>
            <w:tcW w:w="4780" w:type="dxa"/>
            <w:vAlign w:val="bottom"/>
            <w:gridSpan w:val="15"/>
            <w:shd w:val="clear" w:color="auto" w:fill="CCEEFF"/>
          </w:tcPr>
          <w:p>
            <w:pPr>
              <w:spacing w:after="0"/>
              <w:rPr>
                <w:sz w:val="17"/>
                <w:szCs w:val="17"/>
                <w:color w:val="auto"/>
              </w:rPr>
            </w:pP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115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11.17</w:t>
            </w:r>
          </w:p>
        </w:tc>
        <w:tc>
          <w:tcPr>
            <w:tcW w:w="20" w:type="dxa"/>
            <w:vAlign w:val="bottom"/>
          </w:tcPr>
          <w:p>
            <w:pPr>
              <w:spacing w:after="0"/>
              <w:rPr>
                <w:sz w:val="17"/>
                <w:szCs w:val="17"/>
                <w:color w:val="auto"/>
              </w:rPr>
            </w:pPr>
          </w:p>
        </w:tc>
        <w:tc>
          <w:tcPr>
            <w:tcW w:w="2320" w:type="dxa"/>
            <w:vAlign w:val="bottom"/>
            <w:gridSpan w:val="21"/>
          </w:tcPr>
          <w:p>
            <w:pPr>
              <w:spacing w:after="0" w:line="202" w:lineRule="exact"/>
              <w:rPr>
                <w:sz w:val="20"/>
                <w:szCs w:val="20"/>
                <w:color w:val="auto"/>
              </w:rPr>
            </w:pPr>
            <w:r>
              <w:rPr>
                <w:rFonts w:ascii="Arial" w:cs="Arial" w:eastAsia="Arial" w:hAnsi="Arial"/>
                <w:sz w:val="18"/>
                <w:szCs w:val="18"/>
                <w:color w:val="auto"/>
              </w:rPr>
              <w:t>USA PATRIOT Act Notice</w:t>
            </w:r>
          </w:p>
        </w:tc>
        <w:tc>
          <w:tcPr>
            <w:tcW w:w="4780" w:type="dxa"/>
            <w:vAlign w:val="bottom"/>
            <w:gridSpan w:val="15"/>
          </w:tcPr>
          <w:p>
            <w:pPr>
              <w:spacing w:after="0"/>
              <w:rPr>
                <w:sz w:val="17"/>
                <w:szCs w:val="17"/>
                <w:color w:val="auto"/>
              </w:rPr>
            </w:pP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115</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11.18</w:t>
            </w:r>
          </w:p>
        </w:tc>
        <w:tc>
          <w:tcPr>
            <w:tcW w:w="20" w:type="dxa"/>
            <w:vAlign w:val="bottom"/>
            <w:shd w:val="clear" w:color="auto" w:fill="CCEEFF"/>
          </w:tcPr>
          <w:p>
            <w:pPr>
              <w:spacing w:after="0"/>
              <w:rPr>
                <w:sz w:val="17"/>
                <w:szCs w:val="17"/>
                <w:color w:val="auto"/>
              </w:rPr>
            </w:pPr>
          </w:p>
        </w:tc>
        <w:tc>
          <w:tcPr>
            <w:tcW w:w="710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Judgment Currency</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115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11.19</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Concerning Joint and Several Liability of the Domestic Borrowers</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116</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w:t>
            </w:r>
          </w:p>
        </w:tc>
        <w:tc>
          <w:tcPr>
            <w:tcW w:w="20" w:type="dxa"/>
            <w:vAlign w:val="bottom"/>
            <w:shd w:val="clear" w:color="auto" w:fill="CCEEFF"/>
          </w:tcPr>
          <w:p>
            <w:pPr>
              <w:spacing w:after="0"/>
              <w:rPr>
                <w:sz w:val="17"/>
                <w:szCs w:val="17"/>
                <w:color w:val="auto"/>
              </w:rPr>
            </w:pPr>
          </w:p>
        </w:tc>
        <w:tc>
          <w:tcPr>
            <w:tcW w:w="7100" w:type="dxa"/>
            <w:vAlign w:val="bottom"/>
            <w:gridSpan w:val="36"/>
            <w:shd w:val="clear" w:color="auto" w:fill="CCEEFF"/>
          </w:tcPr>
          <w:p>
            <w:pPr>
              <w:spacing w:after="0" w:line="202" w:lineRule="exact"/>
              <w:rPr>
                <w:sz w:val="20"/>
                <w:szCs w:val="20"/>
                <w:color w:val="auto"/>
              </w:rPr>
            </w:pPr>
            <w:r>
              <w:rPr>
                <w:rFonts w:ascii="Arial" w:cs="Arial" w:eastAsia="Arial" w:hAnsi="Arial"/>
                <w:sz w:val="18"/>
                <w:szCs w:val="18"/>
                <w:color w:val="auto"/>
              </w:rPr>
              <w:t>Subordination of Intercompany Debt</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6">
              <w:r>
                <w:rPr>
                  <w:rFonts w:ascii="Arial" w:cs="Arial" w:eastAsia="Arial" w:hAnsi="Arial"/>
                  <w:sz w:val="18"/>
                  <w:szCs w:val="18"/>
                  <w:color w:val="0000EE"/>
                </w:rPr>
                <w:t>118</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11.21</w:t>
            </w:r>
          </w:p>
        </w:tc>
        <w:tc>
          <w:tcPr>
            <w:tcW w:w="20" w:type="dxa"/>
            <w:vAlign w:val="bottom"/>
          </w:tcPr>
          <w:p>
            <w:pPr>
              <w:spacing w:after="0"/>
              <w:rPr>
                <w:sz w:val="17"/>
                <w:szCs w:val="17"/>
                <w:color w:val="auto"/>
              </w:rPr>
            </w:pPr>
          </w:p>
        </w:tc>
        <w:tc>
          <w:tcPr>
            <w:tcW w:w="7100" w:type="dxa"/>
            <w:vAlign w:val="bottom"/>
            <w:gridSpan w:val="36"/>
          </w:tcPr>
          <w:p>
            <w:pPr>
              <w:spacing w:after="0" w:line="202" w:lineRule="exact"/>
              <w:rPr>
                <w:sz w:val="20"/>
                <w:szCs w:val="20"/>
                <w:color w:val="auto"/>
              </w:rPr>
            </w:pPr>
            <w:r>
              <w:rPr>
                <w:rFonts w:ascii="Arial" w:cs="Arial" w:eastAsia="Arial" w:hAnsi="Arial"/>
                <w:sz w:val="18"/>
                <w:szCs w:val="18"/>
                <w:color w:val="auto"/>
              </w:rPr>
              <w:t>No Advisory or Fiduciary Responsibility</w:t>
            </w:r>
          </w:p>
        </w:tc>
        <w:tc>
          <w:tcPr>
            <w:tcW w:w="2520" w:type="dxa"/>
            <w:vAlign w:val="bottom"/>
            <w:gridSpan w:val="5"/>
          </w:tcPr>
          <w:p>
            <w:pPr>
              <w:jc w:val="right"/>
              <w:ind w:right="20"/>
              <w:spacing w:after="0" w:line="202" w:lineRule="exact"/>
              <w:rPr>
                <w:rFonts w:ascii="Arial" w:cs="Arial" w:eastAsia="Arial" w:hAnsi="Arial"/>
                <w:sz w:val="18"/>
                <w:szCs w:val="18"/>
                <w:color w:val="0000EE"/>
              </w:rPr>
            </w:pPr>
            <w:hyperlink w:anchor="page126">
              <w:r>
                <w:rPr>
                  <w:rFonts w:ascii="Arial" w:cs="Arial" w:eastAsia="Arial" w:hAnsi="Arial"/>
                  <w:sz w:val="18"/>
                  <w:szCs w:val="18"/>
                  <w:color w:val="0000EE"/>
                </w:rPr>
                <w:t>118</w:t>
              </w:r>
            </w:hyperlink>
          </w:p>
        </w:tc>
      </w:tr>
      <w:tr>
        <w:trPr>
          <w:trHeight w:val="48"/>
        </w:trPr>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w:t>
            </w:r>
          </w:p>
        </w:tc>
        <w:tc>
          <w:tcPr>
            <w:tcW w:w="7120" w:type="dxa"/>
            <w:vAlign w:val="bottom"/>
            <w:gridSpan w:val="37"/>
            <w:shd w:val="clear" w:color="auto" w:fill="CCEEFF"/>
          </w:tcPr>
          <w:p>
            <w:pPr>
              <w:ind w:left="20"/>
              <w:spacing w:after="0" w:line="202" w:lineRule="exact"/>
              <w:rPr>
                <w:sz w:val="20"/>
                <w:szCs w:val="20"/>
                <w:color w:val="auto"/>
              </w:rPr>
            </w:pPr>
            <w:r>
              <w:rPr>
                <w:rFonts w:ascii="Arial" w:cs="Arial" w:eastAsia="Arial" w:hAnsi="Arial"/>
                <w:sz w:val="18"/>
                <w:szCs w:val="18"/>
                <w:color w:val="auto"/>
              </w:rPr>
              <w:t>Electronic Execution of Assignments and Certain Other Documents</w:t>
            </w:r>
          </w:p>
        </w:tc>
        <w:tc>
          <w:tcPr>
            <w:tcW w:w="252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26">
              <w:r>
                <w:rPr>
                  <w:rFonts w:ascii="Arial" w:cs="Arial" w:eastAsia="Arial" w:hAnsi="Arial"/>
                  <w:sz w:val="18"/>
                  <w:szCs w:val="18"/>
                  <w:color w:val="0000EE"/>
                </w:rPr>
                <w:t>118</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0620"/>
          </w:cols>
          <w:pgMar w:left="240" w:top="513" w:right="10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SCHEDULES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9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Existing Letters of Credit</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2.01</w:t>
            </w:r>
          </w:p>
        </w:tc>
        <w:tc>
          <w:tcPr>
            <w:tcW w:w="9400" w:type="dxa"/>
            <w:vAlign w:val="bottom"/>
          </w:tcPr>
          <w:p>
            <w:pPr>
              <w:ind w:left="320"/>
              <w:spacing w:after="0"/>
              <w:rPr>
                <w:sz w:val="20"/>
                <w:szCs w:val="20"/>
                <w:color w:val="auto"/>
              </w:rPr>
            </w:pPr>
            <w:r>
              <w:rPr>
                <w:rFonts w:ascii="Arial" w:cs="Arial" w:eastAsia="Arial" w:hAnsi="Arial"/>
                <w:sz w:val="18"/>
                <w:szCs w:val="18"/>
                <w:color w:val="auto"/>
              </w:rPr>
              <w:t>Commitments and Pro Rata Shares</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6.08</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Subsidiaries</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7.07</w:t>
            </w:r>
          </w:p>
        </w:tc>
        <w:tc>
          <w:tcPr>
            <w:tcW w:w="9400" w:type="dxa"/>
            <w:vAlign w:val="bottom"/>
          </w:tcPr>
          <w:p>
            <w:pPr>
              <w:ind w:left="320"/>
              <w:spacing w:after="0"/>
              <w:rPr>
                <w:sz w:val="20"/>
                <w:szCs w:val="20"/>
                <w:color w:val="auto"/>
              </w:rPr>
            </w:pPr>
            <w:r>
              <w:rPr>
                <w:rFonts w:ascii="Arial" w:cs="Arial" w:eastAsia="Arial" w:hAnsi="Arial"/>
                <w:sz w:val="18"/>
                <w:szCs w:val="18"/>
                <w:color w:val="auto"/>
              </w:rPr>
              <w:t>Debt Existing on the Closing Date</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7.08</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Liens Existing on the Closing Date</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7.17</w:t>
            </w:r>
          </w:p>
        </w:tc>
        <w:tc>
          <w:tcPr>
            <w:tcW w:w="9400" w:type="dxa"/>
            <w:vAlign w:val="bottom"/>
          </w:tcPr>
          <w:p>
            <w:pPr>
              <w:ind w:left="320"/>
              <w:spacing w:after="0"/>
              <w:rPr>
                <w:sz w:val="20"/>
                <w:szCs w:val="20"/>
                <w:color w:val="auto"/>
              </w:rPr>
            </w:pPr>
            <w:r>
              <w:rPr>
                <w:rFonts w:ascii="Arial" w:cs="Arial" w:eastAsia="Arial" w:hAnsi="Arial"/>
                <w:sz w:val="18"/>
                <w:szCs w:val="18"/>
                <w:color w:val="auto"/>
              </w:rPr>
              <w:t>Investments Existing on the Closing Date</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7.18</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Burdensome Agreements Existing on the Closing Date</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11.02</w:t>
            </w:r>
          </w:p>
        </w:tc>
        <w:tc>
          <w:tcPr>
            <w:tcW w:w="9400" w:type="dxa"/>
            <w:vAlign w:val="bottom"/>
          </w:tcPr>
          <w:p>
            <w:pPr>
              <w:ind w:left="320"/>
              <w:spacing w:after="0"/>
              <w:rPr>
                <w:sz w:val="20"/>
                <w:szCs w:val="20"/>
                <w:color w:val="auto"/>
              </w:rPr>
            </w:pPr>
            <w:r>
              <w:rPr>
                <w:rFonts w:ascii="Arial" w:cs="Arial" w:eastAsia="Arial" w:hAnsi="Arial"/>
                <w:sz w:val="18"/>
                <w:szCs w:val="18"/>
                <w:color w:val="auto"/>
              </w:rPr>
              <w:t>Certain Addresses for Notices</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324"/>
        </w:trPr>
        <w:tc>
          <w:tcPr>
            <w:tcW w:w="1220" w:type="dxa"/>
            <w:vAlign w:val="bottom"/>
            <w:shd w:val="clear" w:color="auto" w:fill="CCEEFF"/>
          </w:tcPr>
          <w:p>
            <w:pPr>
              <w:spacing w:after="0"/>
              <w:rPr>
                <w:sz w:val="24"/>
                <w:szCs w:val="24"/>
                <w:color w:val="auto"/>
              </w:rPr>
            </w:pPr>
          </w:p>
        </w:tc>
        <w:tc>
          <w:tcPr>
            <w:tcW w:w="9400" w:type="dxa"/>
            <w:vAlign w:val="bottom"/>
            <w:shd w:val="clear" w:color="auto" w:fill="CCEEFF"/>
          </w:tcPr>
          <w:p>
            <w:pPr>
              <w:spacing w:after="0"/>
              <w:rPr>
                <w:sz w:val="24"/>
                <w:szCs w:val="24"/>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EXHIBITS</w:t>
            </w:r>
          </w:p>
        </w:tc>
        <w:tc>
          <w:tcPr>
            <w:tcW w:w="940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Form of Loan Notice</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2.04</w:t>
            </w:r>
          </w:p>
        </w:tc>
        <w:tc>
          <w:tcPr>
            <w:tcW w:w="9400" w:type="dxa"/>
            <w:vAlign w:val="bottom"/>
          </w:tcPr>
          <w:p>
            <w:pPr>
              <w:ind w:left="320"/>
              <w:spacing w:after="0"/>
              <w:rPr>
                <w:sz w:val="20"/>
                <w:szCs w:val="20"/>
                <w:color w:val="auto"/>
              </w:rPr>
            </w:pPr>
            <w:r>
              <w:rPr>
                <w:rFonts w:ascii="Arial" w:cs="Arial" w:eastAsia="Arial" w:hAnsi="Arial"/>
                <w:sz w:val="18"/>
                <w:szCs w:val="18"/>
                <w:color w:val="auto"/>
              </w:rPr>
              <w:t>Form of Swing Line Loan Notice</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Form of Note</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2.14(a)</w:t>
            </w:r>
          </w:p>
        </w:tc>
        <w:tc>
          <w:tcPr>
            <w:tcW w:w="9400" w:type="dxa"/>
            <w:vAlign w:val="bottom"/>
          </w:tcPr>
          <w:p>
            <w:pPr>
              <w:ind w:left="320"/>
              <w:spacing w:after="0"/>
              <w:rPr>
                <w:sz w:val="20"/>
                <w:szCs w:val="20"/>
                <w:color w:val="auto"/>
              </w:rPr>
            </w:pPr>
            <w:r>
              <w:rPr>
                <w:rFonts w:ascii="Arial" w:cs="Arial" w:eastAsia="Arial" w:hAnsi="Arial"/>
                <w:sz w:val="18"/>
                <w:szCs w:val="18"/>
                <w:color w:val="auto"/>
              </w:rPr>
              <w:t>Form of Designated Borrower Request</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2.14(b)</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Form of Designated Borrower Joinder Agreement</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3.01</w:t>
            </w:r>
          </w:p>
        </w:tc>
        <w:tc>
          <w:tcPr>
            <w:tcW w:w="9400" w:type="dxa"/>
            <w:vAlign w:val="bottom"/>
          </w:tcPr>
          <w:p>
            <w:pPr>
              <w:ind w:left="320"/>
              <w:spacing w:after="0"/>
              <w:rPr>
                <w:sz w:val="20"/>
                <w:szCs w:val="20"/>
                <w:color w:val="auto"/>
              </w:rPr>
            </w:pPr>
            <w:r>
              <w:rPr>
                <w:rFonts w:ascii="Arial" w:cs="Arial" w:eastAsia="Arial" w:hAnsi="Arial"/>
                <w:sz w:val="18"/>
                <w:szCs w:val="18"/>
                <w:color w:val="auto"/>
              </w:rPr>
              <w:t>Forms of U.S. Tax Compliance Certificates</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7.01</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Form of Compliance Certificate</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7.16</w:t>
            </w:r>
          </w:p>
        </w:tc>
        <w:tc>
          <w:tcPr>
            <w:tcW w:w="9400" w:type="dxa"/>
            <w:vAlign w:val="bottom"/>
          </w:tcPr>
          <w:p>
            <w:pPr>
              <w:ind w:left="320"/>
              <w:spacing w:after="0"/>
              <w:rPr>
                <w:sz w:val="20"/>
                <w:szCs w:val="20"/>
                <w:color w:val="auto"/>
              </w:rPr>
            </w:pPr>
            <w:r>
              <w:rPr>
                <w:rFonts w:ascii="Arial" w:cs="Arial" w:eastAsia="Arial" w:hAnsi="Arial"/>
                <w:sz w:val="18"/>
                <w:szCs w:val="18"/>
                <w:color w:val="auto"/>
              </w:rPr>
              <w:t>Form of Joinder Agreement</w:t>
            </w:r>
          </w:p>
        </w:tc>
      </w:tr>
      <w:tr>
        <w:trPr>
          <w:trHeight w:val="27"/>
        </w:trPr>
        <w:tc>
          <w:tcPr>
            <w:tcW w:w="122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11.06(b)</w:t>
            </w:r>
          </w:p>
        </w:tc>
        <w:tc>
          <w:tcPr>
            <w:tcW w:w="9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Form of Assignment and Assumption</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11.06(b)(iv)</w:t>
            </w:r>
          </w:p>
        </w:tc>
        <w:tc>
          <w:tcPr>
            <w:tcW w:w="9400" w:type="dxa"/>
            <w:vAlign w:val="bottom"/>
          </w:tcPr>
          <w:p>
            <w:pPr>
              <w:ind w:left="320"/>
              <w:spacing w:after="0"/>
              <w:rPr>
                <w:sz w:val="20"/>
                <w:szCs w:val="20"/>
                <w:color w:val="auto"/>
              </w:rPr>
            </w:pPr>
            <w:r>
              <w:rPr>
                <w:rFonts w:ascii="Arial" w:cs="Arial" w:eastAsia="Arial" w:hAnsi="Arial"/>
                <w:sz w:val="18"/>
                <w:szCs w:val="18"/>
                <w:color w:val="auto"/>
              </w:rPr>
              <w:t>Form of Administrative Questionnaire</w:t>
            </w:r>
          </w:p>
        </w:tc>
      </w:tr>
    </w:tbl>
    <w:p>
      <w:pPr>
        <w:sectPr>
          <w:pgSz w:w="11900" w:h="16838" w:orient="portrait"/>
          <w:cols w:equalWidth="0" w:num="1">
            <w:col w:w="10620"/>
          </w:cols>
          <w:pgMar w:left="240" w:top="854" w:right="10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CREDIT AGREEMENT is entered into as of September 25, 2015 among BRADY CORPORATION, a Wisconsin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certain Subsidiaries of the Company party hereto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Designated Borrower</w:t>
      </w:r>
      <w:r>
        <w:rPr>
          <w:rFonts w:ascii="Arial" w:cs="Arial" w:eastAsia="Arial" w:hAnsi="Arial"/>
          <w:sz w:val="20"/>
          <w:szCs w:val="20"/>
          <w:color w:val="auto"/>
        </w:rPr>
        <w:t>” and, together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(defined herein), the Lenders (defined herein) and BANK OF AMERICA, N.A., as Administrative Agent, Swing Line Lender and L/C Issuer.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has requested that the Lenders provide a $300,000,000 senior credit facility for the purposes set forth herein, and the Lenders are willing to do so on the terms and conditions set forth herein.</w:t>
      </w:r>
    </w:p>
    <w:p>
      <w:pPr>
        <w:spacing w:after="0" w:line="17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In consideration of the mutual covenants and agreements herein contained, the parties hereto covenant and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 transactions for the purpose of or resulting, directly or indirectly, in (a) the acquisition of all or substantially all of the assets of a Person, or of all or substantially all of any business or division of a Person (provided that the purchase of inventory from another Person in the ordinary course of business shall not constitute an Acquisition of such other Person),</w:t>
      </w:r>
    </w:p>
    <w:p>
      <w:pPr>
        <w:spacing w:after="0" w:line="1" w:lineRule="exact"/>
        <w:rPr>
          <w:sz w:val="20"/>
          <w:szCs w:val="20"/>
          <w:color w:val="auto"/>
        </w:rPr>
      </w:pPr>
    </w:p>
    <w:p>
      <w:pPr>
        <w:ind w:right="20" w:firstLine="8"/>
        <w:spacing w:after="0" w:line="298" w:lineRule="auto"/>
        <w:tabs>
          <w:tab w:leader="none" w:pos="29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acquisition of in excess of 50% of the Capital Stock of any Person, or otherwise causing any Person to become a Subsidiary, or (c) a merger or consolidation or any other combination with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or a Subsidiary is the surviving entity.</w:t>
      </w:r>
    </w:p>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11.06(b)(iv)</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of any Person means any other Person which, directly or indirectly, controls or is controlled by or is under common control with such Person.</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Commitments</w:t>
      </w:r>
      <w:r>
        <w:rPr>
          <w:rFonts w:ascii="Arial" w:cs="Arial" w:eastAsia="Arial" w:hAnsi="Arial"/>
          <w:sz w:val="19"/>
          <w:szCs w:val="19"/>
          <w:color w:val="auto"/>
        </w:rPr>
        <w:t>” means the Revolving Commitments of all the Lenders. The aggregate principal amount of the Aggregate Revolving Commitments in effect on the Closing Date is THREE HUNDRED MILLION DOLLARS ($300,000,000).</w:t>
      </w:r>
    </w:p>
    <w:p>
      <w:pPr>
        <w:spacing w:after="0" w:line="153"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 as amended, restated, modified, supplemented and extended from time to time.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6" w:right="239" w:bottom="1440" w:gutter="0" w:footer="0" w:header="0"/>
        </w:sectPr>
      </w:pPr>
    </w:p>
    <w:bookmarkStart w:id="10" w:name="page11"/>
    <w:bookmarkEnd w:id="10"/>
    <w:p>
      <w:pPr>
        <w:jc w:val="both"/>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Euro, Sterling, Australian Dollars, Japanese Yen, Canadian Dollars and each other currency (other than Dollars) that is approved in accordance with </w:t>
      </w:r>
      <w:r>
        <w:rPr>
          <w:rFonts w:ascii="Arial" w:cs="Arial" w:eastAsia="Arial" w:hAnsi="Arial"/>
          <w:sz w:val="20"/>
          <w:szCs w:val="20"/>
          <w:u w:val="single" w:color="auto"/>
          <w:color w:val="auto"/>
        </w:rPr>
        <w:t>Section 1.07</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an amount equal to the lesser of the Aggregate Revolving Commitments and $150,000,000.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Alternative Currency Sublimit is part of, and not in addition to, the Aggregate Revolving Commitments.</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Arial" w:cs="Arial" w:eastAsia="Arial" w:hAnsi="Arial"/>
          <w:sz w:val="20"/>
          <w:szCs w:val="20"/>
          <w:u w:val="single" w:color="auto"/>
          <w:color w:val="auto"/>
        </w:rPr>
        <w:t>Section 7.01(c)</w:t>
      </w:r>
      <w:r>
        <w:rPr>
          <w:rFonts w:ascii="Arial" w:cs="Arial" w:eastAsia="Arial" w:hAnsi="Arial"/>
          <w:sz w:val="20"/>
          <w:szCs w:val="20"/>
          <w:color w:val="auto"/>
        </w:rPr>
        <w:t>:</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469"/>
        </w:trPr>
        <w:tc>
          <w:tcPr>
            <w:tcW w:w="1180" w:type="dxa"/>
            <w:vAlign w:val="bottom"/>
            <w:tcBorders>
              <w:top w:val="single" w:sz="8" w:color="auto"/>
              <w:left w:val="single" w:sz="8" w:color="auto"/>
              <w:right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40" w:type="dxa"/>
            <w:vAlign w:val="bottom"/>
            <w:tcBorders>
              <w:top w:val="single" w:sz="8" w:color="auto"/>
              <w:right w:val="single" w:sz="8" w:color="auto"/>
            </w:tcBorders>
            <w:gridSpan w:val="3"/>
          </w:tcPr>
          <w:p>
            <w:pPr>
              <w:jc w:val="center"/>
              <w:ind w:right="600"/>
              <w:spacing w:after="0"/>
              <w:rPr>
                <w:sz w:val="20"/>
                <w:szCs w:val="20"/>
                <w:color w:val="auto"/>
              </w:rPr>
            </w:pPr>
            <w:r>
              <w:rPr>
                <w:rFonts w:ascii="Arial" w:cs="Arial" w:eastAsia="Arial" w:hAnsi="Arial"/>
                <w:sz w:val="20"/>
                <w:szCs w:val="20"/>
                <w:color w:val="auto"/>
                <w:w w:val="89"/>
              </w:rPr>
              <w:t>Consolidated</w:t>
            </w:r>
          </w:p>
        </w:tc>
        <w:tc>
          <w:tcPr>
            <w:tcW w:w="172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Eurocurrency Rate</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Base Rate</w:t>
            </w:r>
          </w:p>
        </w:tc>
      </w:tr>
      <w:tr>
        <w:trPr>
          <w:trHeight w:val="25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Pricing Level</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Borders>
              <w:right w:val="single" w:sz="8" w:color="auto"/>
            </w:tcBorders>
            <w:gridSpan w:val="4"/>
          </w:tcPr>
          <w:p>
            <w:pPr>
              <w:jc w:val="center"/>
              <w:ind w:right="540"/>
              <w:spacing w:after="0"/>
              <w:rPr>
                <w:sz w:val="20"/>
                <w:szCs w:val="20"/>
                <w:color w:val="auto"/>
              </w:rPr>
            </w:pPr>
            <w:r>
              <w:rPr>
                <w:rFonts w:ascii="Arial" w:cs="Arial" w:eastAsia="Arial" w:hAnsi="Arial"/>
                <w:sz w:val="20"/>
                <w:szCs w:val="20"/>
                <w:color w:val="auto"/>
                <w:w w:val="90"/>
              </w:rPr>
              <w:t>Net Leverage Ratio</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Commitment Fee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Letters of Credit*</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54"/>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620" w:type="dxa"/>
            <w:vAlign w:val="bottom"/>
            <w:tcBorders>
              <w:right w:val="single" w:sz="8" w:color="auto"/>
            </w:tcBorders>
            <w:gridSpan w:val="7"/>
          </w:tcPr>
          <w:p>
            <w:pPr>
              <w:jc w:val="right"/>
              <w:ind w:right="940"/>
              <w:spacing w:after="0"/>
              <w:rPr>
                <w:sz w:val="20"/>
                <w:szCs w:val="20"/>
                <w:color w:val="auto"/>
              </w:rPr>
            </w:pPr>
            <w:r>
              <w:rPr>
                <w:rFonts w:ascii="Arial" w:cs="Arial" w:eastAsia="Arial" w:hAnsi="Arial"/>
                <w:sz w:val="20"/>
                <w:szCs w:val="20"/>
                <w:color w:val="auto"/>
              </w:rPr>
              <w:t>&lt;1.25:1.0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0.125%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0.750%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0.750%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10"/>
        </w:trPr>
        <w:tc>
          <w:tcPr>
            <w:tcW w:w="11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2</w:t>
            </w:r>
          </w:p>
        </w:tc>
        <w:tc>
          <w:tcPr>
            <w:tcW w:w="420" w:type="dxa"/>
            <w:vAlign w:val="bottom"/>
          </w:tcPr>
          <w:p>
            <w:pPr>
              <w:spacing w:after="0"/>
              <w:rPr>
                <w:sz w:val="18"/>
                <w:szCs w:val="18"/>
                <w:color w:val="auto"/>
              </w:rPr>
            </w:pPr>
          </w:p>
        </w:tc>
        <w:tc>
          <w:tcPr>
            <w:tcW w:w="2200" w:type="dxa"/>
            <w:vAlign w:val="bottom"/>
            <w:tcBorders>
              <w:right w:val="single" w:sz="8" w:color="auto"/>
            </w:tcBorders>
            <w:gridSpan w:val="6"/>
          </w:tcPr>
          <w:p>
            <w:pPr>
              <w:jc w:val="center"/>
              <w:ind w:right="440"/>
              <w:spacing w:after="0" w:line="209" w:lineRule="exact"/>
              <w:rPr>
                <w:sz w:val="20"/>
                <w:szCs w:val="20"/>
                <w:color w:val="auto"/>
              </w:rPr>
            </w:pPr>
            <w:r>
              <w:rPr>
                <w:rFonts w:ascii="Arial" w:cs="Arial" w:eastAsia="Arial" w:hAnsi="Arial"/>
                <w:sz w:val="20"/>
                <w:szCs w:val="20"/>
                <w:color w:val="auto"/>
                <w:w w:val="89"/>
              </w:rPr>
              <w:t>&gt;1.25:1.0 but &lt;2.0:1.0</w:t>
            </w:r>
          </w:p>
        </w:tc>
        <w:tc>
          <w:tcPr>
            <w:tcW w:w="17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0.150%</w:t>
            </w:r>
          </w:p>
        </w:tc>
        <w:tc>
          <w:tcPr>
            <w:tcW w:w="18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0.875%</w:t>
            </w:r>
          </w:p>
        </w:tc>
        <w:tc>
          <w:tcPr>
            <w:tcW w:w="20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0.875%</w:t>
            </w:r>
          </w:p>
        </w:tc>
        <w:tc>
          <w:tcPr>
            <w:tcW w:w="20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0.000%</w:t>
            </w: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10"/>
        </w:trPr>
        <w:tc>
          <w:tcPr>
            <w:tcW w:w="11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Borders>
              <w:right w:val="single" w:sz="8" w:color="auto"/>
            </w:tcBorders>
            <w:gridSpan w:val="5"/>
          </w:tcPr>
          <w:p>
            <w:pPr>
              <w:jc w:val="center"/>
              <w:ind w:right="480"/>
              <w:spacing w:after="0" w:line="209" w:lineRule="exact"/>
              <w:rPr>
                <w:sz w:val="20"/>
                <w:szCs w:val="20"/>
                <w:color w:val="auto"/>
              </w:rPr>
            </w:pPr>
            <w:r>
              <w:rPr>
                <w:rFonts w:ascii="Arial" w:cs="Arial" w:eastAsia="Arial" w:hAnsi="Arial"/>
                <w:sz w:val="20"/>
                <w:szCs w:val="20"/>
                <w:color w:val="auto"/>
                <w:w w:val="90"/>
              </w:rPr>
              <w:t>&gt;2.0:1.0 but &lt;2.5:1.0</w:t>
            </w:r>
          </w:p>
        </w:tc>
        <w:tc>
          <w:tcPr>
            <w:tcW w:w="17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0.175%</w:t>
            </w:r>
          </w:p>
        </w:tc>
        <w:tc>
          <w:tcPr>
            <w:tcW w:w="18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1.125%</w:t>
            </w:r>
          </w:p>
        </w:tc>
        <w:tc>
          <w:tcPr>
            <w:tcW w:w="20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1.125%</w:t>
            </w:r>
          </w:p>
        </w:tc>
        <w:tc>
          <w:tcPr>
            <w:tcW w:w="20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0.125%</w:t>
            </w: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10"/>
        </w:trPr>
        <w:tc>
          <w:tcPr>
            <w:tcW w:w="11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4</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Borders>
              <w:right w:val="single" w:sz="8" w:color="auto"/>
            </w:tcBorders>
            <w:gridSpan w:val="5"/>
          </w:tcPr>
          <w:p>
            <w:pPr>
              <w:jc w:val="center"/>
              <w:ind w:right="480"/>
              <w:spacing w:after="0" w:line="209" w:lineRule="exact"/>
              <w:rPr>
                <w:sz w:val="20"/>
                <w:szCs w:val="20"/>
                <w:color w:val="auto"/>
              </w:rPr>
            </w:pPr>
            <w:r>
              <w:rPr>
                <w:rFonts w:ascii="Arial" w:cs="Arial" w:eastAsia="Arial" w:hAnsi="Arial"/>
                <w:sz w:val="20"/>
                <w:szCs w:val="20"/>
                <w:color w:val="auto"/>
                <w:w w:val="90"/>
              </w:rPr>
              <w:t>&gt;2.5:1.0 but &lt;3.0:1.0</w:t>
            </w:r>
          </w:p>
        </w:tc>
        <w:tc>
          <w:tcPr>
            <w:tcW w:w="17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0.225%</w:t>
            </w:r>
          </w:p>
        </w:tc>
        <w:tc>
          <w:tcPr>
            <w:tcW w:w="18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1.375%</w:t>
            </w:r>
          </w:p>
        </w:tc>
        <w:tc>
          <w:tcPr>
            <w:tcW w:w="20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1.375%</w:t>
            </w:r>
          </w:p>
        </w:tc>
        <w:tc>
          <w:tcPr>
            <w:tcW w:w="20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0.375%</w:t>
            </w: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10"/>
        </w:trPr>
        <w:tc>
          <w:tcPr>
            <w:tcW w:w="11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5</w:t>
            </w:r>
          </w:p>
        </w:tc>
        <w:tc>
          <w:tcPr>
            <w:tcW w:w="2620" w:type="dxa"/>
            <w:vAlign w:val="bottom"/>
            <w:tcBorders>
              <w:right w:val="single" w:sz="8" w:color="auto"/>
            </w:tcBorders>
            <w:gridSpan w:val="7"/>
          </w:tcPr>
          <w:p>
            <w:pPr>
              <w:jc w:val="right"/>
              <w:ind w:right="980"/>
              <w:spacing w:after="0" w:line="209" w:lineRule="exact"/>
              <w:rPr>
                <w:sz w:val="20"/>
                <w:szCs w:val="20"/>
                <w:color w:val="auto"/>
              </w:rPr>
            </w:pPr>
            <w:r>
              <w:rPr>
                <w:rFonts w:ascii="Arial" w:cs="Arial" w:eastAsia="Arial" w:hAnsi="Arial"/>
                <w:sz w:val="20"/>
                <w:szCs w:val="20"/>
                <w:color w:val="auto"/>
              </w:rPr>
              <w:t>&gt;3.0:1.0</w:t>
            </w:r>
          </w:p>
        </w:tc>
        <w:tc>
          <w:tcPr>
            <w:tcW w:w="17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0.275%</w:t>
            </w:r>
          </w:p>
        </w:tc>
        <w:tc>
          <w:tcPr>
            <w:tcW w:w="18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1.750%</w:t>
            </w:r>
          </w:p>
        </w:tc>
        <w:tc>
          <w:tcPr>
            <w:tcW w:w="20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1.750%</w:t>
            </w:r>
          </w:p>
        </w:tc>
        <w:tc>
          <w:tcPr>
            <w:tcW w:w="20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0.750%</w:t>
            </w: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bl>
    <w:p>
      <w:pPr>
        <w:spacing w:after="0" w:line="199" w:lineRule="exact"/>
        <w:rPr>
          <w:sz w:val="20"/>
          <w:szCs w:val="20"/>
          <w:color w:val="auto"/>
        </w:rPr>
      </w:pPr>
    </w:p>
    <w:p>
      <w:pPr>
        <w:ind w:left="660" w:right="40" w:hanging="4"/>
        <w:spacing w:after="0" w:line="260" w:lineRule="auto"/>
        <w:tabs>
          <w:tab w:leader="none" w:pos="814"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Applicable Rate for performance standby Letters of Credit with respect to non-financial contractual obligations shall be equal to 50% of the Applicable Rate for Letters of Credit set forth above.</w:t>
      </w:r>
    </w:p>
    <w:p>
      <w:pPr>
        <w:spacing w:after="0" w:line="177"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Any increase or decrease in the Applicable Rate resulting from a change in the Consolidated Net Leverage Ratio shall become effective as of the first Business Day immediately following the date a Compliance Certificate is required to be delivered pursuant to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Compliance Certificate is not delivered within five (5) Business Days after the date when due in accordance with such Section, then, upon the request of the Required Lenders, Pricing Level 5 shall apply as of the first Business Day after the date on which such Compliance Certificate was required to have been delivered and shall continue to apply until the first Business Day immediately following the date a Compliance Certificate is delivered pursuant to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whereupon the Applicable Rate shall be adjusted based upon the calculation of the Consolidated Net Leverage Ratio contained in such Compliance Certificate. Notwithstanding the foregoing, the Applicable Rate in effect from the Closing Date through the first Business Day immediately following the date a Compliance Certificate is required to be delivered pursuant to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for the Fiscal Quarter ending July 31, 2015 shall be determined based upon Pricing Level 2.</w:t>
      </w:r>
    </w:p>
    <w:p>
      <w:pPr>
        <w:spacing w:after="0" w:line="17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Time</w:t>
      </w:r>
      <w:r>
        <w:rPr>
          <w:rFonts w:ascii="Arial" w:cs="Arial" w:eastAsia="Arial" w:hAnsi="Arial"/>
          <w:sz w:val="19"/>
          <w:szCs w:val="19"/>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366" w:right="219" w:bottom="1440" w:gutter="0" w:footer="0" w:header="0"/>
        </w:sectPr>
      </w:pPr>
    </w:p>
    <w:bookmarkStart w:id="11" w:name="page12"/>
    <w:bookmarkEnd w:id="11"/>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11.06(b)</w:t>
      </w:r>
      <w:r>
        <w:rPr>
          <w:rFonts w:ascii="Arial" w:cs="Arial" w:eastAsia="Arial" w:hAnsi="Arial"/>
          <w:sz w:val="19"/>
          <w:szCs w:val="19"/>
          <w:color w:val="auto"/>
        </w:rPr>
        <w:t xml:space="preserve"> or any other form (including electronic documentation generated by use of MarkitClear or other electronic platform) reasonably approved by the Administrative Agent that does not conflict with the terms of this Agreement.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Company and its Subsidiaries for the Fiscal Year ended July 31, 2015, and the related consolidated statements of income or operations, shareholders’ equity and cash flows for such Fiscal Year of the Company and its Subsidiaries, including the notes thereto.</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the period from and including the Closing Date to the earliest of (a) the Maturity Date, (b) the date of termination of the Aggregate Revolving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(c) the date of termination of the commitment of each Lender to make Loans and of the obligation of the L/C Issuer to make L/C Credit Extensions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(b) the rate of interest in effect for such day as publicly announced from time to time by Bank of America as its “prime rate” and (c) the Eurocurrency Base Rate (determined pursuant to clause (b) of the definition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specified in the introductory paragraph hereto, and “</w:t>
      </w:r>
      <w:r>
        <w:rPr>
          <w:rFonts w:ascii="Arial" w:cs="Arial" w:eastAsia="Arial" w:hAnsi="Arial"/>
          <w:sz w:val="20"/>
          <w:szCs w:val="20"/>
          <w:u w:val="single" w:color="auto"/>
          <w:color w:val="auto"/>
        </w:rPr>
        <w:t>Borrower</w:t>
      </w:r>
      <w:r>
        <w:rPr>
          <w:rFonts w:ascii="Arial" w:cs="Arial" w:eastAsia="Arial" w:hAnsi="Arial"/>
          <w:sz w:val="20"/>
          <w:szCs w:val="20"/>
          <w:color w:val="auto"/>
        </w:rPr>
        <w:t>” means any one of them.</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simultaneous Loans of the same Type, in the same currency and, in the case of Eurocurrency Rate Loans, having the same Interest Period made by each of the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Brady Finance Luxembourg</w:t>
      </w:r>
      <w:r>
        <w:rPr>
          <w:rFonts w:ascii="Arial" w:cs="Arial" w:eastAsia="Arial" w:hAnsi="Arial"/>
          <w:sz w:val="19"/>
          <w:szCs w:val="19"/>
          <w:color w:val="auto"/>
        </w:rPr>
        <w:t>” means Brady Finance Luxembourg, a private limited liability company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organized under the laws of Luxembourg, having its registered office at 75, Parc d'Activités, L-8308 Capellen, Luxembourg, registered with the Luxembourg Companies Register under number B 153.389 and having a share capital of EUR 15,000.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12" w:name="page13"/>
    <w:bookmarkEnd w:id="12"/>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Brady SARL</w:t>
      </w:r>
      <w:r>
        <w:rPr>
          <w:rFonts w:ascii="Arial" w:cs="Arial" w:eastAsia="Arial" w:hAnsi="Arial"/>
          <w:sz w:val="20"/>
          <w:szCs w:val="20"/>
          <w:color w:val="auto"/>
        </w:rPr>
        <w:t>” means Brady S.à r.l., a private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Luxembourg, having its registered office at 75, Parc d'Activités, L-8308 Capellen, Luxembourg, registered with the Luxembourg Companies Register under number B 177.140 and having a share capital of USD 3,875,318.</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 (a) 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day on which dealings in Dollar deposits are conducted by and between banks in the London interbank eurodollar market; (b) 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 (c) 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 (d) 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1.03</w:t>
      </w:r>
      <w:r>
        <w:rPr>
          <w:rFonts w:ascii="Arial" w:cs="Arial" w:eastAsia="Arial" w:hAnsi="Arial"/>
          <w:sz w:val="20"/>
          <w:szCs w:val="20"/>
          <w:color w:val="auto"/>
        </w:rPr>
        <w:t>, with respect to any Person, any lease of (or other agreement conveying the right to use) any real or personal property by such Person that, in conformity with GAAP, is accounted for as a capital lease on the balance sheet of such Person.</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 interest or participation that confers on a Person the right to receive a share of the profits and losses of, or distributions of assets of, the issuing Person.</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bank deposits, time deposits, certificates of deposit and bankers acceptances, in each case of (i) any Lender or (ii) 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8"/>
          <w:szCs w:val="18"/>
          <w:color w:val="auto"/>
        </w:rPr>
        <w:t>commercial bank of recognized standing having capital and surplus in excess of $100,000,000 (each, an “Approved Lender”), (c) commercial paper issued by any Approved Lender (or by the parent company thereof) which is of investment grade provided, the aggregate principal amount of commercial paper issued by any one issuer shall not exceed $10,000,000, (d) unrated commercial paper issued by Wisconsin corporations, provided, the aggregate principal amount of commercial paper issued by any one issuer shall not exceed $5,000,000,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Internal Revenue Code and having a rating of A or above by S&amp;P, (g) investments in municipal put bonds and municipal market auction notes and bonds rated A or above by S&amp;P, (h)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Internal Revenue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Closing Date, of any of the following: (a) the adoption or taking effect of any Law,</w:t>
      </w:r>
    </w:p>
    <w:p>
      <w:pPr>
        <w:spacing w:after="0" w:line="39" w:lineRule="exact"/>
        <w:rPr>
          <w:sz w:val="20"/>
          <w:szCs w:val="20"/>
          <w:color w:val="auto"/>
        </w:rPr>
      </w:pPr>
    </w:p>
    <w:p>
      <w:pPr>
        <w:jc w:val="both"/>
        <w:ind w:firstLine="8"/>
        <w:spacing w:after="0" w:line="254" w:lineRule="auto"/>
        <w:tabs>
          <w:tab w:leader="none" w:pos="283"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except to the extent they are merely proposed and not in effect (it being understood that at the time they become effective, they shall constitute a “Change in Law”) (i) the Dodd-Frank Wall Street Reform and Consumer Protection Act and all requests, rules, guidelines or directives thereunder or issued in connection therewith by a Governmental Authority charged with the enforcement, implementation, interpretation or administration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to each Lender, the Revolving Commitment of such Lender.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any competitor of the Company or any Subsidiary that is in the same or a similar line of business as the Company or any Subsidiary designated in writing from time to time by the Company to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7.01</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Computation Period</w:t>
      </w:r>
      <w:r>
        <w:rPr>
          <w:rFonts w:ascii="Arial" w:cs="Arial" w:eastAsia="Arial" w:hAnsi="Arial"/>
          <w:sz w:val="20"/>
          <w:szCs w:val="20"/>
          <w:color w:val="auto"/>
        </w:rPr>
        <w:t>” means each period of four consecutive Fiscal Quarters ending on the last day of a Fiscal Quarter.</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to the extent deducted in computing such Consolidated Net Income and without duplication, (i) depreciation and amortization expense for such period, (ii) Consolidated Interest Expense for such period, (iii) income tax expense for such period, (iv) any unusual or non-recurring expenses or losses (including, whether or not otherwise includable as a separate item in the statement of Consolidated Net Income for such period, losses on the sales or other dispositions of assets outside the ordinary course of business and loss on early retirement of debt), (v) any other non-cash items for such period (excluding any write-down of current assets and any such non-cash charges to the extent that such charge represents an accrual of or reserve for a future cash payment), (vi) the amount of business optimization expenses and other restructuring charges (which, for the avoidance of doubt, shall include the effect of inventory optimization programs, plant closure, retention, severance, systems establishment costs and excess pension charges), (vii) the amount of cost savings, operating expense reductions and cost synergies relating to transactions consummated by the Company and its Subsidiaries and projected by the Borrowers in good faith to result from actions taken or committed to be taken no later than 12 months after the consummation of such transaction (calculated on a pro forma basis as though such cost savings, operating expense reductions and cost synergies had been realized on the first day of such period for which Consolidated EBITDA is being determined and as if such cost savings, operating expense reductions and cost synergies were realized during the entirety of such period), net of the amount of actual benefits realized during such period from such actions, (viii) any net unrealized losses resulting from currency translation losses related to currency re-measurements of Debt (including any net loss resulting from Hedging Agreements for currency exchange risk) and any unrealized foreign currency translation losses, (ix) any unrealized mark-to-market losses on Hedging Agreements and (x) any one-time costs, fees, expenses, premiums, make-whole payments and other similar items associated with the issuance, incurrence or repayment of Debt (including the closing of this Agreement), any issuance of equity interests, any Investment, any Acquisition, and any disposition of assets of the applicable Person, in each case to the extent permitted hereunder (and whether or not consummated),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included in computing such Consolidated Net Income and without duplication, (i) any unusual or non-recurring income or gains (including, whether or not otherwise includable as a separate item in the statement of Consolidated Net Income for such period, gains on the sales or other dispositions of assets outside the ordinary course of business and gain on early retirement of debt), (ii) non-cash income for such period (excluding any non-cash income to the extent that such income represents a receivable or asset for a future cash receipt), (iii) any net unrealized gains resulting from currency translation gains related to currency re-measurements of Debt (including any net gain resulting from Hedging Agreements for currency exchange risk) and any unrealized foreign currency translation gains and (iv) any unrealized mark-to-market gains on Hedging Agreements, all as determined in accordance with GAAP. For purposes of calculating Consolidated EBITDA for any period of four consecutive quarters, if during such period the Company or any Subsidiary shall have consummated an Acquisition, Consolidated EBITDA for such period shall be 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aggregate amount of add-backs made pursuant to clauses (a)(iv), (a)(vi), (a)(vii) and (a)(x) for any period shall not exceed the greater of (A) $15,000,000 and (B) an amount equal to 15% of Consolidated EBITDA for such period (determined prior to giving effect to such add-backs).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5" w:name="page16"/>
    <w:bookmarkEnd w:id="15"/>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Debt</w:t>
      </w:r>
      <w:r>
        <w:rPr>
          <w:rFonts w:ascii="Arial" w:cs="Arial" w:eastAsia="Arial" w:hAnsi="Arial"/>
          <w:sz w:val="18"/>
          <w:szCs w:val="18"/>
          <w:color w:val="auto"/>
        </w:rPr>
        <w:t>” means all Debt of the Company and its Subsidiaries, excluding (i) contingent obligations in respect of undrawn letters of credit, bank guarantees and banker’s acceptances and Suretyship Liabilities in respect of obligations not constituting Debt,</w:t>
      </w:r>
    </w:p>
    <w:p>
      <w:pPr>
        <w:spacing w:after="0" w:line="1" w:lineRule="exact"/>
        <w:rPr>
          <w:sz w:val="20"/>
          <w:szCs w:val="20"/>
          <w:color w:val="auto"/>
        </w:rPr>
      </w:pPr>
    </w:p>
    <w:p>
      <w:pPr>
        <w:jc w:val="both"/>
        <w:ind w:firstLine="8"/>
        <w:spacing w:after="0" w:line="241" w:lineRule="auto"/>
        <w:tabs>
          <w:tab w:leader="none" w:pos="322"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obligations under Hedging Agreements, (iii) Securitization Obligations to the extent such obligations would not be required to be included on the consolidated balance sheet of the Company in accordance with GAAP and (iv) obligations to pay the deferred purchase price of services.</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for any Computation Period, the ratio of (a) Consolidated EBITDA for such Computation Period to (b) Consolidated Interest Expense for such Computation Period.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means, for any Computation Period, the consolidated interest expense of the Company and its Subsidiaries for such Computation Period, as determined in accordance with GAAP.</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means, for any Computation Period, the ratio of (i) Consolidated Funded Debt as of the last day of such Computation Period to (ii) Consolidated EBITDA for such Computation Period.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for any period, for the Company and its Subsidiaries on a consolidated basis, the net income (or loss) of the Company and its Subsidiaries (excluding (i) extraordinary items and (ii)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for that period, as determined in accordance with GAAP.</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xml:space="preserve">” means, for any Computation Period, the ratio of (a) the difference of (i) Consolidated Funded Debt as of the last day of such Computation Period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Specified Cash as of the last day of such Computation Period to (b) Consolidated EBITDA for such Computation Period.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written agreement, instrument or other undertaking to which such Person is a party or by which it or any of its property is bound.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means each deposit account and securities account that is subject to an account control agreement in form and substance satisfactory to the Administrative Agent and the L/C Issuer.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Group</w:t>
      </w:r>
      <w:r>
        <w:rPr>
          <w:rFonts w:ascii="Arial" w:cs="Arial" w:eastAsia="Arial" w:hAnsi="Arial"/>
          <w:sz w:val="20"/>
          <w:szCs w:val="20"/>
          <w:color w:val="auto"/>
        </w:rPr>
        <w:t>” 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6" w:name="page17"/>
    <w:bookmarkEnd w:id="16"/>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xml:space="preserve">” of any Person means,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(c) all obligations of such Person to pay the deferred purchase price of property or services (excluding (i) trade and similar accounts payable and accrued expenses in the ordinary course of business and (ii) accrued pension costs and other employee benefit and compensation obligations arising in the ordinary course of business), (d) all indebtedness secured by a Lien on the property of such Person, whether or not such indebtedness shall have been assumed by such Person (it being understood that if such Person has not assumed or otherwise become personally liable for any such indebtedness, the amount of the Debt of such Person in connection therewith shall be limited to the lesser of the face amount of such indebtedness and the fair market value of all property of such Person securing such indebtedness), (e) all obligations, contingent or otherwise, under letters of credit (whether or not drawn), including the Letters of Credit, but otherwise excluding trade letters of credit, and banker’s acceptances issued for the account of such Person, (f) all Securitization Obligations of such Person, to the extent such obligations would be required to be included on the consolidated balance sheet of the Company in accordance with GAAP, (g) the net obligations of such Person under Hedging Agreements, (h) all Suretyship Liabilities of such Person with respect to obligations of the type described in any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(i) all Debt of any partnership in which such Person is a general partner. The amount of any net obligation under any Hedging Agreement on any date shall be deemed to be the Swap Termination Value thereof as of such date. If any of the foregoing Debt is limited to recourse against a particular asset or assets of such Person, the amount of the corresponding Debt shall be equal to the lesser of the amount of such Debt and the fair market value of such asset or assets at the date for determination of the amount of such Debt. The amount of Debt of the Company and its Subsidiaries hereunder shall be calculated without duplication of Suretyship Liabilities of the Company or any Subsidiary in respect thereof. “Debt” shall not include (1) indebtedness owing to the Company by any Subsidiary or indebtedness owing to any Subsidiary by the Company or another Subsidiary, (2) any customary earnout or holdback or similar obligations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(5) defeased and/or discharged indebtedness, (6) interest, fees, premium or expenses, if any, relating to the principal amount of Debt to the extent not paid in kind, or (7) all obligations of any Person as lessee under operating leases.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generally, moratorium, rearrangement, receivership, insolvency, reorganization, or similar debtor relief Laws of the United States or other applicable jurisdictions from time to time in effect and affecting the rights of creditors generally, including any Luxembourg Insolvency Event.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if any,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Eurocurrency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in each case to the fullest extent permitted by applicable Laws and (b) when used with respect to Letter of Credit Fees, a rate equal to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in all cases to the fullest extent permitted by applicable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17" w:name="page18"/>
    <w:bookmarkEnd w:id="17"/>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w:t>
      </w:r>
    </w:p>
    <w:p>
      <w:pPr>
        <w:spacing w:after="0" w:line="2" w:lineRule="exact"/>
        <w:rPr>
          <w:sz w:val="20"/>
          <w:szCs w:val="20"/>
          <w:color w:val="auto"/>
        </w:rPr>
      </w:pPr>
    </w:p>
    <w:p>
      <w:pPr>
        <w:jc w:val="both"/>
        <w:ind w:firstLine="8"/>
        <w:spacing w:after="0" w:line="266" w:lineRule="auto"/>
        <w:tabs>
          <w:tab w:leader="none" w:pos="285"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notified the Company, the Administrative Agent, the L/C Issuer or the Swing Line Lender in writing that it does not intend or expect to comply with all or any portion of its funding obligations hereunder or under other agreements in which it commits to extend credit generally,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(such writing to be reasonably satisfactory to the Administrative Agent or the Company, as applicable) that it will comply with, and is financially able to meet,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Company), or</w:t>
      </w:r>
    </w:p>
    <w:p>
      <w:pPr>
        <w:spacing w:after="0" w:line="1" w:lineRule="exact"/>
        <w:rPr>
          <w:rFonts w:ascii="Arial" w:cs="Arial" w:eastAsia="Arial" w:hAnsi="Arial"/>
          <w:sz w:val="18"/>
          <w:szCs w:val="18"/>
          <w:color w:val="auto"/>
        </w:rPr>
      </w:pPr>
    </w:p>
    <w:p>
      <w:pPr>
        <w:jc w:val="both"/>
        <w:ind w:firstLine="8"/>
        <w:spacing w:after="0" w:line="268" w:lineRule="auto"/>
        <w:tabs>
          <w:tab w:leader="none" w:pos="30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clauses (a) through (d) above, and of the effective date of such status, shall be conclusive and binding absent demonstrable error, and such Lender shall be deemed to be a Defaulting Lender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territory or region itself is the subject of any Sanction.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8" w:name="page19"/>
    <w:bookmarkEnd w:id="18"/>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shall mean (a) those Competitors identified on a list provided by the Company to the Administrative Agent and made available to the Lenders on the Closing Date (the “</w:t>
      </w:r>
      <w:r>
        <w:rPr>
          <w:rFonts w:ascii="Arial" w:cs="Arial" w:eastAsia="Arial" w:hAnsi="Arial"/>
          <w:sz w:val="19"/>
          <w:szCs w:val="19"/>
          <w:u w:val="single" w:color="auto"/>
          <w:color w:val="auto"/>
        </w:rPr>
        <w:t>Disqualified Institution List</w:t>
      </w:r>
      <w:r>
        <w:rPr>
          <w:rFonts w:ascii="Arial" w:cs="Arial" w:eastAsia="Arial" w:hAnsi="Arial"/>
          <w:sz w:val="19"/>
          <w:szCs w:val="19"/>
          <w:color w:val="auto"/>
        </w:rPr>
        <w:t xml:space="preserve">”) (as such Disqualified Institution List may be supplemented from time to time by the Borrowers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and (b) any other Competitor identified by legal name in writing to the Administrative Agent after the Closing Date (it being understood that the Company shall be required to provide a fully updated Disqualified Institution List to the Administrative Agent in order to supplement such list after the Closing Date and the Administrative Agent shall make such updated list available to the Lenders), which designation shall become effective one day after the date that such written designation to the Administrative Agent is made available to the Lenders on IntraLinks, Syndtrak, ClearPar or a similar electronic transmission system, but which shall not apply retroactively to disqualify any persons that have previously acquired an assignment or participation interest in the Loans and/or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continuation of an Event of Default, the Company may not designate any additional Persons as Disqualified Institutions.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Alternative Currency, the equivalent amount thereof in Dollars as determined in good faith by the Administrative Agent or the L/C Issuer, as the case may be, at such time on the basis of the Spot Rate (determined in respect of the most recent Revaluation Date) for the purchase of Dollars with such Alternative Currency.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Borrower</w:t>
      </w:r>
      <w:r>
        <w:rPr>
          <w:rFonts w:ascii="Arial" w:cs="Arial" w:eastAsia="Arial" w:hAnsi="Arial"/>
          <w:sz w:val="20"/>
          <w:szCs w:val="20"/>
          <w:color w:val="auto"/>
        </w:rPr>
        <w:t>” means, collectively, the Company and each Designated Borrower that is a Domestic Subsidiary.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any state of the United States or the District of Columbia.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Sections 11.06(b)(iii)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11.06(b)(iii)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means the economic and monetary union in accordance with the Treaty of Rome 1957, as amended by the Single European Act 1986, the Maastricht Treaty of 1992 and the Amsterdam Treaty of 1998.</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European Council for the introduction of, changeover to or operation of a single or unified European currency.</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Claims</w:t>
      </w:r>
      <w:r>
        <w:rPr>
          <w:rFonts w:ascii="Arial" w:cs="Arial" w:eastAsia="Arial" w:hAnsi="Arial"/>
          <w:sz w:val="19"/>
          <w:szCs w:val="19"/>
          <w:color w:val="auto"/>
        </w:rPr>
        <w:t>” means all claims, however asserted, by any Governmental Authority or other Person alleging potential liability or responsibility for violation of any Environmental Law, or for release of Hazardous Substances or injury to the environment.</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EUR</w:t>
      </w:r>
      <w:r>
        <w:rPr>
          <w:rFonts w:ascii="Arial" w:cs="Arial" w:eastAsia="Arial" w:hAnsi="Arial"/>
          <w:sz w:val="18"/>
          <w:szCs w:val="18"/>
          <w:color w:val="auto"/>
        </w:rPr>
        <w:t>” mean the lawful currency of the Participating Member States introduced in accordance with the EMU Legislation.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Base Rate</w:t>
      </w:r>
      <w:r>
        <w:rPr>
          <w:rFonts w:ascii="Arial" w:cs="Arial" w:eastAsia="Arial" w:hAnsi="Arial"/>
          <w:sz w:val="20"/>
          <w:szCs w:val="20"/>
          <w:color w:val="auto"/>
        </w:rPr>
        <w:t>” means,</w:t>
      </w:r>
    </w:p>
    <w:p>
      <w:pPr>
        <w:spacing w:after="0" w:line="216" w:lineRule="exact"/>
        <w:rPr>
          <w:sz w:val="20"/>
          <w:szCs w:val="20"/>
          <w:color w:val="auto"/>
        </w:rPr>
      </w:pPr>
    </w:p>
    <w:p>
      <w:pPr>
        <w:jc w:val="both"/>
        <w:ind w:left="640" w:firstLine="5"/>
        <w:spacing w:after="0" w:line="259" w:lineRule="auto"/>
        <w:tabs>
          <w:tab w:leader="none" w:pos="1080" w:val="left"/>
        </w:tabs>
        <w:numPr>
          <w:ilvl w:val="0"/>
          <w:numId w:val="8"/>
        </w:numPr>
        <w:rPr>
          <w:rFonts w:ascii="Arial" w:cs="Arial" w:eastAsia="Arial" w:hAnsi="Arial"/>
          <w:sz w:val="19"/>
          <w:szCs w:val="19"/>
          <w:color w:val="auto"/>
        </w:rPr>
      </w:pPr>
      <w:r>
        <w:rPr>
          <w:rFonts w:ascii="Arial" w:cs="Arial" w:eastAsia="Arial" w:hAnsi="Arial"/>
          <w:sz w:val="19"/>
          <w:szCs w:val="19"/>
          <w:color w:val="auto"/>
        </w:rPr>
        <w:t>(i) in the case of Eurocurrency Rate Loan denominated in a LIBOR Quoted Currency, the rate per annum equal to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or a comparable or successor rate, which rate is approved by the Administrative Agent, as published by Bloomberg (or such other commercially available source providing such quotations as may be designated by the Administrative Agent from time to time) (in such case, the “</w:t>
      </w:r>
      <w:r>
        <w:rPr>
          <w:rFonts w:ascii="Arial" w:cs="Arial" w:eastAsia="Arial" w:hAnsi="Arial"/>
          <w:sz w:val="19"/>
          <w:szCs w:val="19"/>
          <w:u w:val="single" w:color="auto"/>
          <w:color w:val="auto"/>
        </w:rPr>
        <w:t>LIBOR Rate</w:t>
      </w:r>
      <w:r>
        <w:rPr>
          <w:rFonts w:ascii="Arial" w:cs="Arial" w:eastAsia="Arial" w:hAnsi="Arial"/>
          <w:sz w:val="19"/>
          <w:szCs w:val="19"/>
          <w:color w:val="auto"/>
        </w:rPr>
        <w:t>”) at or about 11:00 a.m., London time, two Business Days prior to the commencement of such Interest Period, for deposits in the relevant currency (for delivery on the first day of such Interest Period) with a term equivalent to such Interest Period;</w:t>
      </w:r>
    </w:p>
    <w:p>
      <w:pPr>
        <w:spacing w:after="0" w:line="178" w:lineRule="exact"/>
        <w:rPr>
          <w:rFonts w:ascii="Arial" w:cs="Arial" w:eastAsia="Arial" w:hAnsi="Arial"/>
          <w:sz w:val="19"/>
          <w:szCs w:val="19"/>
          <w:color w:val="auto"/>
        </w:rPr>
      </w:pPr>
    </w:p>
    <w:p>
      <w:pPr>
        <w:jc w:val="both"/>
        <w:ind w:left="640" w:firstLine="653"/>
        <w:spacing w:after="0" w:line="278" w:lineRule="auto"/>
        <w:tabs>
          <w:tab w:leader="none" w:pos="1908"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case of Eurocurrency Rate Loan denominated in Canadian Dollars, the rate per annum equal to the Canadian Dealer Offered Rate (“</w:t>
      </w:r>
      <w:r>
        <w:rPr>
          <w:rFonts w:ascii="Arial" w:cs="Arial" w:eastAsia="Arial" w:hAnsi="Arial"/>
          <w:sz w:val="18"/>
          <w:szCs w:val="18"/>
          <w:u w:val="single" w:color="auto"/>
          <w:color w:val="auto"/>
        </w:rPr>
        <w:t>CDOR</w:t>
      </w:r>
      <w:r>
        <w:rPr>
          <w:rFonts w:ascii="Arial" w:cs="Arial" w:eastAsia="Arial" w:hAnsi="Arial"/>
          <w:sz w:val="18"/>
          <w:szCs w:val="18"/>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(in such case, the “</w:t>
      </w:r>
      <w:r>
        <w:rPr>
          <w:rFonts w:ascii="Arial" w:cs="Arial" w:eastAsia="Arial" w:hAnsi="Arial"/>
          <w:sz w:val="18"/>
          <w:szCs w:val="18"/>
          <w:u w:val="single" w:color="auto"/>
          <w:color w:val="auto"/>
        </w:rPr>
        <w:t>CDOR Rate</w:t>
      </w:r>
      <w:r>
        <w:rPr>
          <w:rFonts w:ascii="Arial" w:cs="Arial" w:eastAsia="Arial" w:hAnsi="Arial"/>
          <w:sz w:val="18"/>
          <w:szCs w:val="18"/>
          <w:color w:val="auto"/>
        </w:rPr>
        <w:t>”) at or about 10:00a.m. (Toronto, Ontario time) on the Rate Determination Date with a term equivalent to such Interest Period;</w:t>
      </w:r>
    </w:p>
    <w:p>
      <w:pPr>
        <w:spacing w:after="0" w:line="178" w:lineRule="exact"/>
        <w:rPr>
          <w:rFonts w:ascii="Arial" w:cs="Arial" w:eastAsia="Arial" w:hAnsi="Arial"/>
          <w:sz w:val="18"/>
          <w:szCs w:val="18"/>
          <w:color w:val="auto"/>
        </w:rPr>
      </w:pPr>
    </w:p>
    <w:p>
      <w:pPr>
        <w:jc w:val="both"/>
        <w:ind w:left="640" w:firstLine="653"/>
        <w:spacing w:after="0" w:line="260" w:lineRule="auto"/>
        <w:tabs>
          <w:tab w:leader="none" w:pos="1896" w:val="left"/>
        </w:tabs>
        <w:numPr>
          <w:ilvl w:val="1"/>
          <w:numId w:val="8"/>
        </w:numPr>
        <w:rPr>
          <w:rFonts w:ascii="Arial" w:cs="Arial" w:eastAsia="Arial" w:hAnsi="Arial"/>
          <w:sz w:val="19"/>
          <w:szCs w:val="19"/>
          <w:color w:val="auto"/>
        </w:rPr>
      </w:pPr>
      <w:r>
        <w:rPr>
          <w:rFonts w:ascii="Arial" w:cs="Arial" w:eastAsia="Arial" w:hAnsi="Arial"/>
          <w:sz w:val="19"/>
          <w:szCs w:val="19"/>
          <w:color w:val="auto"/>
        </w:rPr>
        <w:t>in the case of a Eurocurrency Rate Loan denominated in Australian Dollars, the rate per annum equal to the Bank Bill Swap Reference Bid Rate (“</w:t>
      </w:r>
      <w:r>
        <w:rPr>
          <w:rFonts w:ascii="Arial" w:cs="Arial" w:eastAsia="Arial" w:hAnsi="Arial"/>
          <w:sz w:val="19"/>
          <w:szCs w:val="19"/>
          <w:u w:val="single" w:color="auto"/>
          <w:color w:val="auto"/>
        </w:rPr>
        <w:t>BBSY</w:t>
      </w:r>
      <w:r>
        <w:rPr>
          <w:rFonts w:ascii="Arial" w:cs="Arial" w:eastAsia="Arial" w:hAnsi="Arial"/>
          <w:sz w:val="19"/>
          <w:szCs w:val="19"/>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10:30 a.m. (Melbourne, Australia time) on the Rate Determination Date with a term equivalent to such Interest Period;</w:t>
      </w:r>
    </w:p>
    <w:p>
      <w:pPr>
        <w:spacing w:after="0" w:line="180" w:lineRule="exact"/>
        <w:rPr>
          <w:rFonts w:ascii="Arial" w:cs="Arial" w:eastAsia="Arial" w:hAnsi="Arial"/>
          <w:sz w:val="19"/>
          <w:szCs w:val="19"/>
          <w:color w:val="auto"/>
        </w:rPr>
      </w:pPr>
    </w:p>
    <w:p>
      <w:pPr>
        <w:jc w:val="both"/>
        <w:ind w:left="640" w:firstLine="653"/>
        <w:spacing w:after="0" w:line="250" w:lineRule="auto"/>
        <w:tabs>
          <w:tab w:leader="none" w:pos="1821"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in the case of any other Eurocurrency Rate Loan denominated in a Non-LIBOR Quoted Currency (other than those specified above), the rate designated with respect to such Alternative Currency at the time such Alternative Currency is approved by the Administrative Agent and the Lenders pursuant to </w:t>
      </w:r>
      <w:r>
        <w:rPr>
          <w:rFonts w:ascii="Arial" w:cs="Arial" w:eastAsia="Arial" w:hAnsi="Arial"/>
          <w:sz w:val="20"/>
          <w:szCs w:val="20"/>
          <w:u w:val="single" w:color="auto"/>
          <w:color w:val="auto"/>
        </w:rPr>
        <w:t>Section 1.07</w:t>
      </w:r>
      <w:r>
        <w:rPr>
          <w:rFonts w:ascii="Arial" w:cs="Arial" w:eastAsia="Arial" w:hAnsi="Arial"/>
          <w:sz w:val="20"/>
          <w:szCs w:val="20"/>
          <w:color w:val="auto"/>
        </w:rPr>
        <w:t>; and</w:t>
      </w:r>
    </w:p>
    <w:p>
      <w:pPr>
        <w:spacing w:after="0" w:line="186" w:lineRule="exact"/>
        <w:rPr>
          <w:rFonts w:ascii="Arial" w:cs="Arial" w:eastAsia="Arial" w:hAnsi="Arial"/>
          <w:sz w:val="20"/>
          <w:szCs w:val="20"/>
          <w:color w:val="auto"/>
        </w:rPr>
      </w:pPr>
    </w:p>
    <w:p>
      <w:pPr>
        <w:jc w:val="both"/>
        <w:ind w:firstLine="645"/>
        <w:spacing w:after="0" w:line="250" w:lineRule="auto"/>
        <w:tabs>
          <w:tab w:leader="none" w:pos="1072"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LIBOR Rate, at approximately 11:00 a.m., London time determined two Business Days prior to such date for Dollar deposits with a term of one month commencing that day;</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to the extent a comparable or successor rate is approved by the Administrative Agent in connection herewith, the approved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to the extent such market practice is not administratively feasible for the Administrative Agent, such approved rate shall be applied as otherwise reasonably determined by the Administrative Agent and (ii) if the Eurocurrency Base Rate shall be less than zero, such rate shall be deemed zero for purposes of this Agreement.</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900" w:top="366" w:right="239" w:bottom="1440" w:gutter="0" w:footer="0" w:header="0"/>
        </w:sectPr>
      </w:pPr>
    </w:p>
    <w:bookmarkStart w:id="20" w:name="page21"/>
    <w:bookmarkEnd w:id="20"/>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xml:space="preserve">” means, for any Interest Period with respect to any Eurocurrency Rate Loan, a rate per annum determined by the Administrative Agent to be equal to the quotient obtained by dividing (a) the Eurocurrency Base Rate for such Eurocurrency Rate Loan for such Interest Period by (b) one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Eurocurrency Reserve Percentage for such Eurocurrency Rate Loan for such Interest Period.</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w:t>
      </w:r>
      <w:r>
        <w:rPr>
          <w:rFonts w:ascii="Arial" w:cs="Arial" w:eastAsia="Arial" w:hAnsi="Arial"/>
          <w:sz w:val="20"/>
          <w:szCs w:val="20"/>
          <w:color w:val="auto"/>
        </w:rPr>
        <w:t>” means a Loan that bears interest at a rate based on clause (a) of the definition of “Eurocurrency Base Rate.” All Loans denominated in an Alternative Currency must be Eurocurrency Rate Loans.</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Percentage</w:t>
      </w:r>
      <w:r>
        <w:rPr>
          <w:rFonts w:ascii="Arial" w:cs="Arial" w:eastAsia="Arial" w:hAnsi="Arial"/>
          <w:sz w:val="18"/>
          <w:szCs w:val="18"/>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Eurocurrency Rate for each outstanding Eurocurrency Rate Loan shall be adjusted automatically as of the effective date of any change in the Eurocurrency Reserve Percentage.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(i) each Subsidiary that is a captive insurance company, (ii) each Securitization Subsidiary, and (iii) each other Subsidiary (other than any Loan Party) having assets with a net book value of less than $2,000,000, calculated in accordance with GAAP.</w:t>
      </w:r>
    </w:p>
    <w:p>
      <w:pPr>
        <w:spacing w:after="0" w:line="13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Arial" w:cs="Arial" w:eastAsia="Arial" w:hAnsi="Arial"/>
          <w:sz w:val="20"/>
          <w:szCs w:val="20"/>
          <w:u w:val="single" w:color="auto"/>
          <w:color w:val="auto"/>
        </w:rPr>
        <w:t>Section 4.08</w:t>
      </w:r>
      <w:r>
        <w:rPr>
          <w:rFonts w:ascii="Arial" w:cs="Arial" w:eastAsia="Arial" w:hAnsi="Arial"/>
          <w:sz w:val="20"/>
          <w:szCs w:val="20"/>
          <w:color w:val="auto"/>
        </w:rPr>
        <w:t xml:space="preserve">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Hedging Agreement, such exclusion shall apply to only the portion of such Swap Obligation that is attributable to Hedging Agreements for which such Guaranty or security interest is or becomes illegal.</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or taxing authority subdivision thereof or therein) or (ii) 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spacing w:after="0" w:line="2"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such Lender acquires such interest in the Loan or Commitment (other than pursuant to an assignment request by the Borrower under </w:t>
      </w:r>
      <w:r>
        <w:rPr>
          <w:rFonts w:ascii="Arial" w:cs="Arial" w:eastAsia="Arial" w:hAnsi="Arial"/>
          <w:sz w:val="16"/>
          <w:szCs w:val="16"/>
          <w:u w:val="single" w:color="auto"/>
          <w:color w:val="auto"/>
        </w:rPr>
        <w:t>Section</w:t>
      </w:r>
    </w:p>
    <w:p>
      <w:pPr>
        <w:spacing w:after="0" w:line="45" w:lineRule="exact"/>
        <w:rPr>
          <w:rFonts w:ascii="Arial" w:cs="Arial" w:eastAsia="Arial" w:hAnsi="Arial"/>
          <w:sz w:val="16"/>
          <w:szCs w:val="16"/>
          <w:color w:val="auto"/>
        </w:rPr>
      </w:pPr>
    </w:p>
    <w:p>
      <w:pPr>
        <w:jc w:val="both"/>
        <w:spacing w:after="0" w:line="266" w:lineRule="auto"/>
        <w:rPr>
          <w:rFonts w:ascii="Arial" w:cs="Arial" w:eastAsia="Arial" w:hAnsi="Arial"/>
          <w:sz w:val="16"/>
          <w:szCs w:val="16"/>
          <w:color w:val="auto"/>
        </w:rPr>
      </w:pPr>
      <w:r>
        <w:rPr>
          <w:rFonts w:ascii="Arial" w:cs="Arial" w:eastAsia="Arial" w:hAnsi="Arial"/>
          <w:sz w:val="18"/>
          <w:szCs w:val="18"/>
          <w:u w:val="single" w:color="auto"/>
          <w:color w:val="auto"/>
        </w:rPr>
        <w:t>11.14</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3.01(c)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w:t>
      </w:r>
    </w:p>
    <w:p>
      <w:pPr>
        <w:ind w:left="280" w:hanging="272"/>
        <w:spacing w:after="0"/>
        <w:tabs>
          <w:tab w:leader="none" w:pos="2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U.S. federal withholding Taxes imposed pursuant to FATCA.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21" w:name="page22"/>
    <w:bookmarkEnd w:id="21"/>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Officer</w:t>
      </w:r>
      <w:r>
        <w:rPr>
          <w:rFonts w:ascii="Arial" w:cs="Arial" w:eastAsia="Arial" w:hAnsi="Arial"/>
          <w:sz w:val="20"/>
          <w:szCs w:val="20"/>
          <w:color w:val="auto"/>
        </w:rPr>
        <w:t>” means the chief financial officer, the chief executive officer, the president, any senior vice president, the treasurer or any assistant treasurer of the Company.</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February 1, 2012 among the Company, various Subsidiaries of the Company, various financial institutions and Bank of America, N.A., as administrative agent, swing line lender and letter of credit issuer.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listed on </w:t>
      </w:r>
      <w:r>
        <w:rPr>
          <w:rFonts w:ascii="Arial" w:cs="Arial" w:eastAsia="Arial" w:hAnsi="Arial"/>
          <w:sz w:val="20"/>
          <w:szCs w:val="20"/>
          <w:u w:val="single" w:color="auto"/>
          <w:color w:val="auto"/>
        </w:rPr>
        <w:t>Schedule 1.01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Internal Revenue Code, as of the Closing Date (or any amended or successor version that is substantively comparable and not materially more onerous to comply with) and any current or future regulations or official interpretations thereof and any agreement entered into pursuant Section 1471(b)(1) of the Internal Revenue Code.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the letter agreement, dated August 12, 2015 among the Company, the Administrative Agent and MLPFS.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 Fiscal Year.</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Company and its Subsidiaries, which period shall be the twelve-month period ending on July 31 of each year or, at the Company’s election, the calendar year (so long as such election is consistent with the Company’s filings with the SEC).</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 For purposes of this definition, (i) the United States, each State thereof and the District of Columbia shall be deemed to constitute a single jurisdiction and (ii) “Lender” shall include the L/C Issuer.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Loan Parties</w:t>
      </w:r>
      <w:r>
        <w:rPr>
          <w:rFonts w:ascii="Arial" w:cs="Arial" w:eastAsia="Arial" w:hAnsi="Arial"/>
          <w:sz w:val="20"/>
          <w:szCs w:val="20"/>
          <w:color w:val="auto"/>
        </w:rPr>
        <w:t>” means, collectively, the Foreign Subsidiaries of the Company that are Designated Borrowers.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 (or any successor thereto).</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6" w:right="239" w:bottom="1440" w:gutter="0" w:footer="0" w:header="0"/>
        </w:sectPr>
      </w:pPr>
    </w:p>
    <w:bookmarkStart w:id="22" w:name="page23"/>
    <w:bookmarkEnd w:id="22"/>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in accordance with the terms hereof.</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financial statements of Foreign Subsidiaries (except to the extent included in the consolidated financial statements of the Company), “GAAP” 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 any nation or government, any state or other political subdivision thereof, any central bank (or similar monetary or regulatory authority) thereof and any entity exercising executive, legislative, judicial, regulatory or administrative functions of or pertaining to government (including any supra-national bodies such as the European Union or the European Central Bank) and (b) the National Association of Insurance Commissioners.</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made by the Guarantors in favor of the Administrative Agent and the other holders of the Obligations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(a) with respect to all Obligations, each Domestic Subsidiary of the Company that is not an Excluded Subsidiary and is identified as a “Guarantor” on the signature pages hereto and each other Person that joins as a Guarantor pursuant to </w:t>
      </w:r>
      <w:r>
        <w:rPr>
          <w:rFonts w:ascii="Arial" w:cs="Arial" w:eastAsia="Arial" w:hAnsi="Arial"/>
          <w:sz w:val="20"/>
          <w:szCs w:val="20"/>
          <w:u w:val="single" w:color="auto"/>
          <w:color w:val="auto"/>
        </w:rPr>
        <w:t>Section 7.16</w:t>
      </w:r>
      <w:r>
        <w:rPr>
          <w:rFonts w:ascii="Arial" w:cs="Arial" w:eastAsia="Arial" w:hAnsi="Arial"/>
          <w:sz w:val="20"/>
          <w:szCs w:val="20"/>
          <w:color w:val="auto"/>
        </w:rPr>
        <w:t xml:space="preserve"> and (b) solely for purposes of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with respect to (i) the Obligations owing by the Designated Borrowers that are Foreign Subsidiaries, (ii) Obligations under any Hedging Agreement between any Loan Party or any Subsidiary and any Hedge Bank, (iii) Obligations under any Treasury Management Agreement between any Loan Party or any Subsidiary and any Treasury Management Bank and (iv) any Swap Obligation of a Specified Loan Party (determined before giving effect to </w:t>
      </w:r>
      <w:r>
        <w:rPr>
          <w:rFonts w:ascii="Arial" w:cs="Arial" w:eastAsia="Arial" w:hAnsi="Arial"/>
          <w:sz w:val="20"/>
          <w:szCs w:val="20"/>
          <w:u w:val="single" w:color="auto"/>
          <w:color w:val="auto"/>
        </w:rPr>
        <w:t>Sections 4.01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4.08</w:t>
      </w:r>
      <w:r>
        <w:rPr>
          <w:rFonts w:ascii="Arial" w:cs="Arial" w:eastAsia="Arial" w:hAnsi="Arial"/>
          <w:sz w:val="20"/>
          <w:szCs w:val="20"/>
          <w:color w:val="auto"/>
        </w:rPr>
        <w:t>) under the Guaranty, each Domestic Borrower, in each case, together with their successors and permitted assigns. For the avoidance of doubt, in no event shall a Foreign Subsidiary be a Guarantor.</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Substances</w:t>
      </w:r>
      <w:r>
        <w:rPr>
          <w:rFonts w:ascii="Arial" w:cs="Arial" w:eastAsia="Arial" w:hAnsi="Arial"/>
          <w:sz w:val="20"/>
          <w:szCs w:val="20"/>
          <w:color w:val="auto"/>
        </w:rPr>
        <w:t>” 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23" w:name="page24"/>
    <w:bookmarkEnd w:id="23"/>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Agreement</w:t>
      </w:r>
      <w:r>
        <w:rPr>
          <w:rFonts w:ascii="Arial" w:cs="Arial" w:eastAsia="Arial" w:hAnsi="Arial"/>
          <w:sz w:val="20"/>
          <w:szCs w:val="20"/>
          <w:color w:val="auto"/>
        </w:rPr>
        <w:t>” means (a) any interest rate, currency or commodity swap agreement, cap agreement or collar agreement, and any other agreement or arrangement designed to protect against fluctuations in interest rates, currency exchange rates or commodity prices,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(i) at the time it enters into a Hedging Agreement, is a Lender or the Administrative Agent or an Affiliate of a Lender or the Administrative Agent, (ii) in the case of any Hedging Agreement in effect on or prior to the Closing Date, is, as of the Closing Date or within 30 days thereafter, a Lender or the Administrative Agent or an Affiliate of a Lender or the Administrative Agent and a party to a Hedging Agreement or (iii) within 30 days after the time it enters into the applicable Hedging Agreement, becomes a Lender, the Administrative Agent or an Affiliate of a Lender or the Administrative Agent, in each case, in its capacity as a party to such Hedging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a Hedge Agreement with a Person who is no longer a Lender (or Affiliate of a Lender), such Person shall be considered a Hedge Bank only through the stated termination date (without extension or renewal) of such Hedge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Obligations</w:t>
      </w:r>
      <w:r>
        <w:rPr>
          <w:rFonts w:ascii="Arial" w:cs="Arial" w:eastAsia="Arial" w:hAnsi="Arial"/>
          <w:sz w:val="20"/>
          <w:szCs w:val="20"/>
          <w:color w:val="auto"/>
        </w:rPr>
        <w:t>” means, with respect to any Person, all liabilities of such Person under Hedging Agreements.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accounting standards within the meaning of IAS Regulation 1606/2002 to the extent applicable to the relevant financial statements delivered under or referred to herein.</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 other than Excluded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Auditor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Eurocurrency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Eurocurrency Rate Loan, the period commencing on the date such Eurocurrency Rate Loan is disbursed or converted to or continued as a Eurocurrency Rate Loan and ending on the date seven days or one, two, three or six months thereafter (or such other period as all Lenders may agree) (in each case, subject to availability) as selected by the applicable Borrower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4" w:name="page25"/>
    <w:bookmarkEnd w:id="24"/>
    <w:p>
      <w:pPr>
        <w:jc w:val="both"/>
        <w:ind w:left="660" w:firstLine="645"/>
        <w:spacing w:after="0" w:line="250" w:lineRule="auto"/>
        <w:tabs>
          <w:tab w:leader="none" w:pos="1722"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68"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acquisition or investment by such Person, whether by means of (a) the purchase or other acquisition of Capital Stock of another Person, (b) a loan, advance or capital contribution to, incurrence of Suretyship Liability in respect of,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L/C Issuer and the applicable Borrower (or any Subsidiary) or in favor of the L/C Issuer and relating to any such Letter of Credit.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7.16</w:t>
      </w:r>
      <w:r>
        <w:rPr>
          <w:rFonts w:ascii="Arial" w:cs="Arial" w:eastAsia="Arial" w:hAnsi="Arial"/>
          <w:sz w:val="20"/>
          <w:szCs w:val="20"/>
          <w:color w:val="auto"/>
        </w:rPr>
        <w:t xml:space="preserve"> executed and delivered by a Domestic Subsidiary in accordance with the provisions of </w:t>
      </w:r>
      <w:r>
        <w:rPr>
          <w:rFonts w:ascii="Arial" w:cs="Arial" w:eastAsia="Arial" w:hAnsi="Arial"/>
          <w:sz w:val="20"/>
          <w:szCs w:val="20"/>
          <w:u w:val="single" w:color="auto"/>
          <w:color w:val="auto"/>
        </w:rPr>
        <w:t>Section 7.16</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Laws</w:t>
      </w:r>
      <w:r>
        <w:rPr>
          <w:rFonts w:ascii="Arial" w:cs="Arial" w:eastAsia="Arial" w:hAnsi="Arial"/>
          <w:sz w:val="19"/>
          <w:szCs w:val="19"/>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Lender, such Lender’s funding of its participation in any L/C Borrowing in accordance with its Pro Rata Share. All L/C Advances shall be denominated in Dollars.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25" w:name="page26"/>
    <w:bookmarkEnd w:id="25"/>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Bank of America, through itself or through one of its designated Affiliates or branch offices, in its capacity as issuer of Letters of Credit hereunder, or any successor issuer of Letters of Credit hereunder. Letters of Credit may be issued in Dollars or in an Alternative Currency.</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undrawn amount of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each of the Persons identified as a “Lender” on the signature pages hereto, each other Person that becomes a “Lender” in accordance with this Agreement and their successors and assigns and, unless the context requires otherwise, includes the Swing Line Lender and any foreign branch or Affiliate of a Lender as is referenced in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branch or Affiliate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w:t>
      </w:r>
    </w:p>
    <w:p>
      <w:pPr>
        <w:spacing w:after="0" w:line="13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Application</w:t>
      </w:r>
      <w:r>
        <w:rPr>
          <w:rFonts w:ascii="Arial" w:cs="Arial" w:eastAsia="Arial" w:hAnsi="Arial"/>
          <w:sz w:val="19"/>
          <w:szCs w:val="19"/>
          <w:color w:val="auto"/>
        </w:rPr>
        <w:t>” means an application and agreement for the issuance or amendment of a letter of credit in the form from time to time in use by the L/C Issuer with such modifications as the Company and the L/C Issuer may reasonably approve.</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days prior to the Maturity Date then in effect (or, if such day is not a Business Day,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the Aggregate Revolving Commitments and (b) $25,000,000.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Letter of Credit Sublimit is part of, and not in addition to, the Aggregate Revolving Commitments.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Eurocurrency Base Rate.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Quoted Currency</w:t>
      </w:r>
      <w:r>
        <w:rPr>
          <w:rFonts w:ascii="Arial" w:cs="Arial" w:eastAsia="Arial" w:hAnsi="Arial"/>
          <w:sz w:val="20"/>
          <w:szCs w:val="20"/>
          <w:color w:val="auto"/>
        </w:rPr>
        <w:t>” means Dollars, Euros, Sterling and Japanese Yen and each other currency for which there is a published LIBOR rate, in each case as long as there is a published LIBOR rate with respect 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26" w:name="page27"/>
    <w:bookmarkEnd w:id="26"/>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for security purposes, deposit arrangement,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(but excluding the interest of a lessor under an operating lease)).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Loan or a Swing Line Loan.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each Note, each Issuer Document, each Designated Borrower Request and Assumption Agreement, each Joinder Agreement, any agreement entered into by a Loan Party creating or perfecting rights in Cash Collateral pursuant to the provisions of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and the Fee Letter.</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means a notice of (a) a Borrowing of Revolving Loans, (b) a conversion of Loans from one Type to the other, or (c) a continuation of Eurocurrency Rate Loans, in each case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2.02</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each Borrower and each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w:t>
      </w:r>
      <w:r>
        <w:rPr>
          <w:rFonts w:ascii="Arial" w:cs="Arial" w:eastAsia="Arial" w:hAnsi="Arial"/>
          <w:sz w:val="20"/>
          <w:szCs w:val="20"/>
          <w:color w:val="auto"/>
        </w:rPr>
        <w:t>” means the Grand Duchy of Luxembourg.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Companies Register</w:t>
      </w:r>
      <w:r>
        <w:rPr>
          <w:rFonts w:ascii="Arial" w:cs="Arial" w:eastAsia="Arial" w:hAnsi="Arial"/>
          <w:sz w:val="20"/>
          <w:szCs w:val="20"/>
          <w:color w:val="auto"/>
        </w:rPr>
        <w:t>” means the Luxembourg register of commerce and companies.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Insolvency Event</w:t>
      </w:r>
      <w:r>
        <w:rPr>
          <w:rFonts w:ascii="Arial" w:cs="Arial" w:eastAsia="Arial" w:hAnsi="Arial"/>
          <w:sz w:val="20"/>
          <w:szCs w:val="20"/>
          <w:color w:val="auto"/>
        </w:rPr>
        <w:t>” means, in relation to a Luxembourg Loan Party or any of its assets, any corporate action, legal proceedings or other procedure or step in relation to bankruptcy (</w:t>
      </w:r>
      <w:r>
        <w:rPr>
          <w:rFonts w:ascii="Arial" w:cs="Arial" w:eastAsia="Arial" w:hAnsi="Arial"/>
          <w:sz w:val="20"/>
          <w:szCs w:val="20"/>
          <w:i w:val="1"/>
          <w:iCs w:val="1"/>
          <w:color w:val="auto"/>
        </w:rPr>
        <w:t>faillite</w:t>
      </w:r>
      <w:r>
        <w:rPr>
          <w:rFonts w:ascii="Arial" w:cs="Arial" w:eastAsia="Arial" w:hAnsi="Arial"/>
          <w:sz w:val="20"/>
          <w:szCs w:val="20"/>
          <w:color w:val="auto"/>
        </w:rPr>
        <w:t>), insolvency, liquidation, composition with creditors (</w:t>
      </w:r>
      <w:r>
        <w:rPr>
          <w:rFonts w:ascii="Arial" w:cs="Arial" w:eastAsia="Arial" w:hAnsi="Arial"/>
          <w:sz w:val="20"/>
          <w:szCs w:val="20"/>
          <w:i w:val="1"/>
          <w:iCs w:val="1"/>
          <w:color w:val="auto"/>
        </w:rPr>
        <w:t>concordat</w:t>
      </w:r>
      <w:r>
        <w:rPr>
          <w:rFonts w:ascii="Arial" w:cs="Arial" w:eastAsia="Arial" w:hAnsi="Arial"/>
          <w:sz w:val="20"/>
          <w:szCs w:val="20"/>
          <w:color w:val="auto"/>
        </w:rPr>
        <w:t xml:space="preserve"> </w:t>
      </w:r>
      <w:r>
        <w:rPr>
          <w:rFonts w:ascii="Arial" w:cs="Arial" w:eastAsia="Arial" w:hAnsi="Arial"/>
          <w:sz w:val="20"/>
          <w:szCs w:val="20"/>
          <w:i w:val="1"/>
          <w:iCs w:val="1"/>
          <w:color w:val="auto"/>
        </w:rPr>
        <w:t>préventif de faillite</w:t>
      </w:r>
      <w:r>
        <w:rPr>
          <w:rFonts w:ascii="Arial" w:cs="Arial" w:eastAsia="Arial" w:hAnsi="Arial"/>
          <w:sz w:val="20"/>
          <w:szCs w:val="20"/>
          <w:color w:val="auto"/>
        </w:rPr>
        <w:t>), moratorium or reprieve from payment (</w:t>
      </w:r>
      <w:r>
        <w:rPr>
          <w:rFonts w:ascii="Arial" w:cs="Arial" w:eastAsia="Arial" w:hAnsi="Arial"/>
          <w:sz w:val="20"/>
          <w:szCs w:val="20"/>
          <w:i w:val="1"/>
          <w:iCs w:val="1"/>
          <w:color w:val="auto"/>
        </w:rPr>
        <w:t>sursis de paiement</w:t>
      </w:r>
      <w:r>
        <w:rPr>
          <w:rFonts w:ascii="Arial" w:cs="Arial" w:eastAsia="Arial" w:hAnsi="Arial"/>
          <w:sz w:val="20"/>
          <w:szCs w:val="20"/>
          <w:color w:val="auto"/>
        </w:rPr>
        <w:t>), controlled management (</w:t>
      </w:r>
      <w:r>
        <w:rPr>
          <w:rFonts w:ascii="Arial" w:cs="Arial" w:eastAsia="Arial" w:hAnsi="Arial"/>
          <w:sz w:val="20"/>
          <w:szCs w:val="20"/>
          <w:i w:val="1"/>
          <w:iCs w:val="1"/>
          <w:color w:val="auto"/>
        </w:rPr>
        <w:t>gestion contrôlée</w:t>
      </w:r>
      <w:r>
        <w:rPr>
          <w:rFonts w:ascii="Arial" w:cs="Arial" w:eastAsia="Arial" w:hAnsi="Arial"/>
          <w:sz w:val="20"/>
          <w:szCs w:val="20"/>
          <w:color w:val="auto"/>
        </w:rPr>
        <w:t>), fraudulent</w:t>
      </w:r>
      <w:r>
        <w:rPr>
          <w:rFonts w:ascii="Arial" w:cs="Arial" w:eastAsia="Arial" w:hAnsi="Arial"/>
          <w:sz w:val="20"/>
          <w:szCs w:val="20"/>
          <w:i w:val="1"/>
          <w:iCs w:val="1"/>
          <w:color w:val="auto"/>
        </w:rPr>
        <w:t xml:space="preserve"> </w:t>
      </w:r>
      <w:r>
        <w:rPr>
          <w:rFonts w:ascii="Arial" w:cs="Arial" w:eastAsia="Arial" w:hAnsi="Arial"/>
          <w:sz w:val="20"/>
          <w:szCs w:val="20"/>
          <w:color w:val="auto"/>
        </w:rPr>
        <w:t>conveyance (</w:t>
      </w:r>
      <w:r>
        <w:rPr>
          <w:rFonts w:ascii="Arial" w:cs="Arial" w:eastAsia="Arial" w:hAnsi="Arial"/>
          <w:sz w:val="20"/>
          <w:szCs w:val="20"/>
          <w:i w:val="1"/>
          <w:iCs w:val="1"/>
          <w:color w:val="auto"/>
        </w:rPr>
        <w:t>action paulienne</w:t>
      </w:r>
      <w:r>
        <w:rPr>
          <w:rFonts w:ascii="Arial" w:cs="Arial" w:eastAsia="Arial" w:hAnsi="Arial"/>
          <w:sz w:val="20"/>
          <w:szCs w:val="20"/>
          <w:color w:val="auto"/>
        </w:rPr>
        <w:t>) within the meaning of Article 448 of the Luxembourg Code of Commerce, general settlement with creditors, reorganisation or similar laws affecting the rights of creditors generally.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Loan Party</w:t>
      </w:r>
      <w:r>
        <w:rPr>
          <w:rFonts w:ascii="Arial" w:cs="Arial" w:eastAsia="Arial" w:hAnsi="Arial"/>
          <w:sz w:val="20"/>
          <w:szCs w:val="20"/>
          <w:color w:val="auto"/>
        </w:rPr>
        <w:t>” means a Loan Party that is organized under the laws of Luxembourg.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any “margin stock” as defined in Regulation U of the FRB.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“Hedging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business, assets, liabilities (actual or contingent), operations or financial condition of the Company and its Subsidiaries taken as a whole or (b) a material adverse effect upon the legality, validity, binding effect or enforceability against the Company or any other Loan Party of any Loan Document to which it is a party.</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September 25, 2020;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date is not a Business Day, the Maturity Date shall be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11.09</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6" w:right="239" w:bottom="1440" w:gutter="0" w:footer="0" w:header="0"/>
        </w:sectPr>
      </w:pPr>
    </w:p>
    <w:bookmarkStart w:id="27" w:name="page28"/>
    <w:bookmarkEnd w:id="27"/>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(or 103% of the Fronting Exposure in the case of a Letter of Credit denominated in an Alternative Currency) of the L/C Issuer with respect to Letters of Credit issued and outstanding at such time, (b) with respect to Cash Collateral consisting of cash or deposit account balances provided in accordance with the provisions of </w:t>
      </w:r>
      <w:r>
        <w:rPr>
          <w:rFonts w:ascii="Arial" w:cs="Arial" w:eastAsia="Arial" w:hAnsi="Arial"/>
          <w:sz w:val="18"/>
          <w:szCs w:val="18"/>
          <w:u w:val="single" w:color="auto"/>
          <w:color w:val="auto"/>
        </w:rPr>
        <w:t>Section 2.03(a)(ii)(B)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2.15(a)(i)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the 100% of the Outstanding Amount of all L/C Obligations (or 103% of the Outstanding Amount in the case of L/C Obligations denominated in an Alternative Currency), and (c) otherwise, an amount determined by the Administrative Agent and the L/C Issuer in their sole discretion.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w:t>
      </w:r>
      <w:r>
        <w:rPr>
          <w:rFonts w:ascii="Arial" w:cs="Arial" w:eastAsia="Arial" w:hAnsi="Arial"/>
          <w:sz w:val="18"/>
          <w:szCs w:val="18"/>
          <w:color w:val="auto"/>
        </w:rPr>
        <w:t>” means Merrill Lynch, Pierce, Fenner &amp; Smith Incorporated, in its capacity as a joint lead arranger and joint bookrunner.</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Pension Plan</w:t>
      </w:r>
      <w:r>
        <w:rPr>
          <w:rFonts w:ascii="Arial" w:cs="Arial" w:eastAsia="Arial" w:hAnsi="Arial"/>
          <w:sz w:val="20"/>
          <w:szCs w:val="20"/>
          <w:color w:val="auto"/>
        </w:rPr>
        <w:t>” means a multiemployer plan, as such term is defined in Section 4001(a)(3) of ERISA, and to which the Company or any member of the Controlled Group may have any liability.</w:t>
      </w:r>
    </w:p>
    <w:p>
      <w:pPr>
        <w:spacing w:after="0" w:line="177"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any Lender that does not approve any consent, waiver or amendment that (a) requires the approval of all Lenders or all directly affected Lenders in accordance with the terms of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(b) has been approved by the Required Lenders.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Non-LIBOR Quoted Currency</w:t>
      </w:r>
      <w:r>
        <w:rPr>
          <w:rFonts w:ascii="Arial" w:cs="Arial" w:eastAsia="Arial" w:hAnsi="Arial"/>
          <w:sz w:val="20"/>
          <w:szCs w:val="20"/>
          <w:color w:val="auto"/>
        </w:rPr>
        <w:t>” means any currency other than a LIBOR Quoted Currency.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Purchase Agreement</w:t>
      </w:r>
      <w:r>
        <w:rPr>
          <w:rFonts w:ascii="Arial" w:cs="Arial" w:eastAsia="Arial" w:hAnsi="Arial"/>
          <w:sz w:val="18"/>
          <w:szCs w:val="18"/>
          <w:color w:val="auto"/>
        </w:rPr>
        <w:t xml:space="preserve">” means (a) the Note Purchase Agreement dated as of June 28, 2004 among the Company, Worldwide, Tricor and the purchasers of notes issued pursuant thereto, together with that certain First Supplement to Note Purchase Agreement dated as of February 14, 2006, that certain Second Supplement to Note Purchase Agreement dated as of March 23, 2007 and any further supplement thereto from time to time, (b) the Note Purchase Agreement dated as of May 13, 2010 among the Company, Worldwide, Tricor and the purchasers of notes issued pursuant thereto and any supplement thereto from time to time and (c) any other note purchase agreement entered into after the Closing Date pursuant to which one or more investors purchase unsecured notes issued by the Company and/or one or more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note purchase agreement shall not be on terms materially less favorable to the Company and its Subsidiaries than the Note Purchase Agreements identified in clauses (a) and (b) above.</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Hedging Agreement between any Loan Party or any Subsidiary and any Hedge Bank and (b) all obligations under any Treasury Management Agreement between any Loan Party or any Subsidiary and Treasury Management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“Obligations” of a Loan Party shall exclude any Excluded Swap Obligations with respect to such Loan Party.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6"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w:t>
      </w:r>
      <w:r>
        <w:rPr>
          <w:rFonts w:ascii="MS PGothic" w:cs="MS PGothic" w:eastAsia="MS PGothic" w:hAnsi="MS PGothic"/>
          <w:sz w:val="18"/>
          <w:szCs w:val="18"/>
          <w:color w:val="auto"/>
        </w:rPr>
        <w:t>‑</w:t>
      </w:r>
      <w:r>
        <w:rPr>
          <w:rFonts w:ascii="Arial" w:cs="Arial" w:eastAsia="Arial" w:hAnsi="Arial"/>
          <w:sz w:val="18"/>
          <w:szCs w:val="18"/>
          <w:color w:val="auto"/>
        </w:rPr>
        <w:t>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(i)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 and (ii) Excluded Taxes.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any Revolving Loans on any date, the Dollar Equivalent amount of the aggregate outstanding principal amount thereof after giving effect to any 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each state so described in any EMU Legislation.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and any entity succeeding to any or all of its functions under ERISA.</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 “pension plan”, as such term is defined in Section 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the Company or a Subsidiary which satisfies each of the following requirements:</w:t>
      </w:r>
    </w:p>
    <w:p>
      <w:pPr>
        <w:spacing w:after="0" w:line="39" w:lineRule="exact"/>
        <w:rPr>
          <w:sz w:val="20"/>
          <w:szCs w:val="20"/>
          <w:color w:val="auto"/>
        </w:rPr>
      </w:pPr>
    </w:p>
    <w:p>
      <w:pPr>
        <w:jc w:val="both"/>
        <w:ind w:firstLine="8"/>
        <w:spacing w:after="0" w:line="230" w:lineRule="exact"/>
        <w:tabs>
          <w:tab w:leader="none" w:pos="297"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no Default has occurred and is continuing at the time of, or immediately after giving effect to, such Acquisition; (b) the Person to be acquired is in, or the assets to be acquired are for use in, the same or a similar line of business as the Company and its Subsidiaries or a reasonable extension thereof; (c) upon giving effect to such Acquisition on a pro forma basis, the Loan Parties would be in compliance with the financial covenants set forth in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as of the most recent Fiscal Quarter for which the Company was required to deliver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(and if the aggregate consideration (including cash and non</w:t>
      </w:r>
      <w:r>
        <w:rPr>
          <w:rFonts w:ascii="MS PGothic" w:cs="MS PGothic" w:eastAsia="MS PGothic" w:hAnsi="MS PGothic"/>
          <w:sz w:val="19"/>
          <w:szCs w:val="19"/>
          <w:color w:val="auto"/>
        </w:rPr>
        <w:t>‑</w:t>
      </w:r>
      <w:r>
        <w:rPr>
          <w:rFonts w:ascii="Arial" w:cs="Arial" w:eastAsia="Arial" w:hAnsi="Arial"/>
          <w:sz w:val="19"/>
          <w:szCs w:val="19"/>
          <w:color w:val="auto"/>
        </w:rPr>
        <w:t>cash consideration, any assumption of Debt, any acquired Debt, deferred purchase price and any earn</w:t>
      </w:r>
      <w:r>
        <w:rPr>
          <w:rFonts w:ascii="MS PGothic" w:cs="MS PGothic" w:eastAsia="MS PGothic" w:hAnsi="MS PGothic"/>
          <w:sz w:val="19"/>
          <w:szCs w:val="19"/>
          <w:color w:val="auto"/>
        </w:rPr>
        <w:t>‑</w:t>
      </w:r>
      <w:r>
        <w:rPr>
          <w:rFonts w:ascii="Arial" w:cs="Arial" w:eastAsia="Arial" w:hAnsi="Arial"/>
          <w:sz w:val="19"/>
          <w:szCs w:val="19"/>
          <w:color w:val="auto"/>
        </w:rPr>
        <w:t>out payments) paid by the Company or any Subsidiary for any such Acquisition exceeds $100,000,000, the Company shall have delivered to the Administrative Agent a certificate demonstrating such compliance); (d)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in which case they shall be true and correct in all material respects as of such earlier date; (e)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 and (f) in the case of the Acquisition of a Person, the board of directors (or equivalent governing body) of the Person being acquired shall have approved such Acquisition.</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at any time, Liens in respect of property of the Company or any of its Subsidiaries permitted to exist at such time pursuant to the terms of </w:t>
      </w:r>
      <w:r>
        <w:rPr>
          <w:rFonts w:ascii="Arial" w:cs="Arial" w:eastAsia="Arial" w:hAnsi="Arial"/>
          <w:sz w:val="20"/>
          <w:szCs w:val="20"/>
          <w:u w:val="single" w:color="auto"/>
          <w:color w:val="auto"/>
        </w:rPr>
        <w:t>Section 7.08</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Securitization</w:t>
      </w:r>
      <w:r>
        <w:rPr>
          <w:rFonts w:ascii="Arial" w:cs="Arial" w:eastAsia="Arial" w:hAnsi="Arial"/>
          <w:sz w:val="18"/>
          <w:szCs w:val="18"/>
          <w:color w:val="auto"/>
        </w:rPr>
        <w:t>” 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outside legal counsel reasonably satisfactory to the Administrative Agent in connection therewith to constitute) true sales or true contributions to such Securitization Subsidiary and (b) the provision of financing secured by the assets so sold, contributed and/or transferred, whether in the form of secured loans or the acquisition of undivided interests in such assets.</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 Regulation</w:t>
      </w:r>
      <w:r>
        <w:rPr>
          <w:rFonts w:ascii="Arial" w:cs="Arial" w:eastAsia="Arial" w:hAnsi="Arial"/>
          <w:sz w:val="20"/>
          <w:szCs w:val="20"/>
          <w:color w:val="auto"/>
        </w:rPr>
        <w:t>” means the U.S. Department of Labor regulation located at 29 C.F.R. Section 2510.3-101, or any successor regulation thereto, as in effect at the time of reference, as modified by Section 3(42)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Assets</w:t>
      </w:r>
      <w:r>
        <w:rPr>
          <w:rFonts w:ascii="Arial" w:cs="Arial" w:eastAsia="Arial" w:hAnsi="Arial"/>
          <w:sz w:val="20"/>
          <w:szCs w:val="20"/>
          <w:color w:val="auto"/>
        </w:rPr>
        <w:t>” means “plan assets” as defined in the Plan Asset Regulation.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6"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commitment of each Lender to make Revolving Loans and the obligation of the L/C Issuer to make L/C Credit Extensions have been terminated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 The Pro Rata Shares shall be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(other than a Foreign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the L/C Issuer or any other recipient of any payment to be made by or on account of any obligation of any Loan Party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holding in the aggregate more than fifty percent (50%) of (a) the Commitments or (b) if the Commitments have been terminated, the outstanding Loans, L/C Obligations, Swing Line Loans and participations therein. The Commitments of, and the outstanding Loans held or deemed held by, any Defaulting Lender shall be disregarded for purposes of making a determination of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6" w:right="239" w:bottom="1440" w:gutter="0" w:footer="0" w:header="0"/>
        </w:sectPr>
      </w:pPr>
    </w:p>
    <w:bookmarkStart w:id="31" w:name="page32"/>
    <w:bookmarkEnd w:id="31"/>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xml:space="preserve">” means any Executive Officer, and, solely for purposes of the delivery of incumbency certificates, the secretary or any assistant secretary of a Loan Party and, solely for purposes of notices given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any other officer of the applicable Loan Party so designated by any of the foregoing officers in a notice to the Administrative Agent or any other officer or employee of the applicable Loan Party designated as such in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With respect to a Luxembourg Loan Party a "Responsible Officer" means a person who is authorized to represent that Loan Party.</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reasonably determine or the Required Lenders shall reasonably require; and (b) with respect to any Letter of Credit, each of the following: (i) each date of an issuance of a Letter of Credit denominated in an Alternative Currency, (ii) each date of an amendment of any such Letter of Credit having the effect of increasing the amount thereof (solely with respect to the increased amount), (iii) each date of any payment by the L/C Issuer of any Letter of Credit denominated in an Alternative Currency, (iv) in the case of the Existing Letters of Credit, the Closing Date and (v) such additional dates as the Administrative Agent or the L/C Issuer shall reasonably determine or the Required Lenders shall reasonably require.</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Lender, its obligation to (a) make Revolving Loans to the Borrowers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in any documentation executed by such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or in the Assignment and Assumption pursuant to which such Lender becomes a party hereto, as applicable, as such amount may be adjusted from time to time in accordance with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16"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The McGraw</w:t>
      </w:r>
      <w:r>
        <w:rPr>
          <w:rFonts w:ascii="MS PGothic" w:cs="MS PGothic" w:eastAsia="MS PGothic" w:hAnsi="MS PGothic"/>
          <w:sz w:val="19"/>
          <w:szCs w:val="19"/>
          <w:color w:val="auto"/>
        </w:rPr>
        <w:t>‑</w:t>
      </w:r>
      <w:r>
        <w:rPr>
          <w:rFonts w:ascii="Arial" w:cs="Arial" w:eastAsia="Arial" w:hAnsi="Arial"/>
          <w:sz w:val="19"/>
          <w:szCs w:val="19"/>
          <w:color w:val="auto"/>
        </w:rPr>
        <w:t>Hill Companies, Inc. and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OFAC, the United Nations Security Council, the European Union, Her Majesty’s Treasury (“HMT”) or other relevant sanctions authority.</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in good faith by the Administrative Agent or the L/C Issuer, as the case may be, to be customary in the place of disbursement or payment for the settlement of international banking transactions in the relevant Alternative Currency.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6" w:right="239" w:bottom="1440" w:gutter="0" w:footer="0" w:header="0"/>
        </w:sectPr>
      </w:pPr>
    </w:p>
    <w:bookmarkStart w:id="32" w:name="page33"/>
    <w:bookmarkEnd w:id="3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Obligations</w:t>
      </w:r>
      <w:r>
        <w:rPr>
          <w:rFonts w:ascii="Arial" w:cs="Arial" w:eastAsia="Arial" w:hAnsi="Arial"/>
          <w:sz w:val="18"/>
          <w:szCs w:val="18"/>
          <w:color w:val="auto"/>
        </w:rPr>
        <w:t>” 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 of Capital Leases) and related rights of the Company or any Subsidiary in connection with Permitted Securitizations.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Subsidiary</w:t>
      </w:r>
      <w:r>
        <w:rPr>
          <w:rFonts w:ascii="Arial" w:cs="Arial" w:eastAsia="Arial" w:hAnsi="Arial"/>
          <w:sz w:val="19"/>
          <w:szCs w:val="19"/>
          <w:color w:val="auto"/>
        </w:rPr>
        <w:t>” 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w:t>
      </w:r>
      <w:r>
        <w:rPr>
          <w:rFonts w:ascii="Arial" w:cs="Arial" w:eastAsia="Arial" w:hAnsi="Arial"/>
          <w:sz w:val="20"/>
          <w:szCs w:val="20"/>
          <w:color w:val="auto"/>
        </w:rPr>
        <w:t>” means any note issued pursuant to a Note Purchase Agreement.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at any time, (a) any Subsidiary having (i) assets (after intercompany eliminations) with a value not less than 2.5% of the total value of the consolidated assets of 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Loan Party.</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Cash</w:t>
      </w:r>
      <w:r>
        <w:rPr>
          <w:rFonts w:ascii="Arial" w:cs="Arial" w:eastAsia="Arial" w:hAnsi="Arial"/>
          <w:sz w:val="20"/>
          <w:szCs w:val="20"/>
          <w:color w:val="auto"/>
        </w:rPr>
        <w:t xml:space="preserve">” means the aggregate amount of unrestricted cash and Cash Equivalents of the Company and its Domestic Subsidiaries (other than Excluded Subsidiaries) in excess of $25,000,000; </w:t>
      </w:r>
      <w:r>
        <w:rPr>
          <w:rFonts w:ascii="Arial" w:cs="Arial" w:eastAsia="Arial" w:hAnsi="Arial"/>
          <w:sz w:val="20"/>
          <w:szCs w:val="20"/>
          <w:u w:val="single" w:color="auto"/>
          <w:color w:val="auto"/>
        </w:rPr>
        <w:t>provided</w:t>
      </w:r>
      <w:r>
        <w:rPr>
          <w:rFonts w:ascii="Arial" w:cs="Arial" w:eastAsia="Arial" w:hAnsi="Arial"/>
          <w:sz w:val="20"/>
          <w:szCs w:val="20"/>
          <w:color w:val="auto"/>
        </w:rPr>
        <w:t>, that the aggregate amount of Specified Cash shall not exceed $50,000,000 at any one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4.08</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any Debt of the Company or any Subsidiary that (a) is subordinated to the Obligations in a manner approved in writing by the Required Lenders and (b) has (i) no amortization prior to the date that is at least 91 days after the Maturity Date,</w:t>
      </w:r>
    </w:p>
    <w:p>
      <w:pPr>
        <w:spacing w:after="0" w:line="1" w:lineRule="exact"/>
        <w:rPr>
          <w:sz w:val="20"/>
          <w:szCs w:val="20"/>
          <w:color w:val="auto"/>
        </w:rPr>
      </w:pPr>
    </w:p>
    <w:p>
      <w:pPr>
        <w:ind w:right="20" w:firstLine="8"/>
        <w:spacing w:after="0" w:line="244" w:lineRule="auto"/>
        <w:tabs>
          <w:tab w:leader="none" w:pos="313" w:val="left"/>
        </w:tabs>
        <w:numPr>
          <w:ilvl w:val="0"/>
          <w:numId w:val="13"/>
        </w:numPr>
        <w:rPr>
          <w:rFonts w:ascii="Arial" w:cs="Arial" w:eastAsia="Arial" w:hAnsi="Arial"/>
          <w:sz w:val="20"/>
          <w:szCs w:val="20"/>
          <w:color w:val="auto"/>
        </w:rPr>
      </w:pPr>
      <w:r>
        <w:rPr>
          <w:rFonts w:ascii="Arial" w:cs="Arial" w:eastAsia="Arial" w:hAnsi="Arial"/>
          <w:sz w:val="20"/>
          <w:szCs w:val="20"/>
          <w:color w:val="auto"/>
        </w:rPr>
        <w:t>financial covenants and events of default (and related definitions) that are acceptable to the Required Lenders and (iii) no limitation on senior Debt (or any guaranty thereof) that is unacceptable to the Required Lenders.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6" w:right="239" w:bottom="1440" w:gutter="0" w:footer="0" w:header="0"/>
        </w:sectPr>
      </w:pPr>
    </w:p>
    <w:bookmarkStart w:id="33" w:name="page34"/>
    <w:bookmarkEnd w:id="33"/>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Voting Stock is at the time beneficially owned, directly, or indirectly through one or more intermediaries, or both, by such Person. Unless otherwise specified, all references herein to a “Subsidiary” or to “Subsidiaries” shall refer to a Subsidiary or Subsidiaries of the Company.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Suretyship Liability</w:t>
      </w:r>
      <w:r>
        <w:rPr>
          <w:rFonts w:ascii="Arial" w:cs="Arial" w:eastAsia="Arial" w:hAnsi="Arial"/>
          <w:sz w:val="19"/>
          <w:szCs w:val="19"/>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means Bank of America in its capacity as provider of Swing Line Loans, or any successor swing line lender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Borrowing of Swing Line Loans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2.04</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applicable Borrower.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an amount equal to the lesser of (a) $30,000,000 and (b) the Aggregate Revolving Commitments. The Swing Line Sublimit is part of, and not in addition to, the Aggregate Revolving Commitments.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6" w:right="239" w:bottom="1440" w:gutter="0" w:footer="0" w:header="0"/>
        </w:sectPr>
      </w:pPr>
    </w:p>
    <w:bookmarkStart w:id="34" w:name="page35"/>
    <w:bookmarkEnd w:id="3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Outstandings</w:t>
      </w:r>
      <w:r>
        <w:rPr>
          <w:rFonts w:ascii="Arial" w:cs="Arial" w:eastAsia="Arial" w:hAnsi="Arial"/>
          <w:sz w:val="20"/>
          <w:szCs w:val="20"/>
          <w:color w:val="auto"/>
        </w:rPr>
        <w:t>” means the aggregate Outstanding Amount of all Revolving Loans, all Swing Line Loans and all L/C Obligations.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Management Agreement</w:t>
      </w:r>
      <w:r>
        <w:rPr>
          <w:rFonts w:ascii="Arial" w:cs="Arial" w:eastAsia="Arial" w:hAnsi="Arial"/>
          <w:sz w:val="19"/>
          <w:szCs w:val="19"/>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reporting and trade finance services, overnight draft, credit cards, debit cards, p-cards (including purchasing cards and commercial cards), e-payables and other treasury management services.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Bank</w:t>
      </w:r>
      <w:r>
        <w:rPr>
          <w:rFonts w:ascii="Arial" w:cs="Arial" w:eastAsia="Arial" w:hAnsi="Arial"/>
          <w:sz w:val="18"/>
          <w:szCs w:val="18"/>
          <w:color w:val="auto"/>
        </w:rPr>
        <w:t>” means any Person that (a) at the time it enters into a Treasury Management Agreement, is a Lender or the Administrative Agent or an Affiliate of a Lender or the Administrative Agent, (b) in the case of any Treasury Management Agreement in effect on or prior to the Closing Date, is, as of the Closing Date or within 30 days thereafter, a Lender or the Administrative Agent or an Affiliate of a Lender or the Administrative Agent and a party to a Treasury Management Management Agreement or (c) within 30 days after the time it enters into the applicable Treasury Management Agreement, becomes a Lender, the Administrative Agent or an Affiliate of a Lender or the Administrative Agent, in each case, in its capacity as a party to such Treasury Management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Tricor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any Loan, its character as a Base Rate Loan or a Eurocurrency Rate Loan.</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any Person 100% of whose Capital Stock is at the time owned by the Company directly or indirectly through other Persons 100% of whose Capital Stock is at the time owned, directly or indirectly, by the Company.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Worldwide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6" w:right="239" w:bottom="1440" w:gutter="0" w:footer="0" w:header="0"/>
        </w:sectPr>
      </w:pPr>
    </w:p>
    <w:bookmarkStart w:id="35" w:name="page36"/>
    <w:bookmarkEnd w:id="35"/>
    <w:p>
      <w:pPr>
        <w:spacing w:after="0"/>
        <w:tabs>
          <w:tab w:leader="none" w:pos="5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39" w:lineRule="exact"/>
        <w:rPr>
          <w:sz w:val="20"/>
          <w:szCs w:val="20"/>
          <w:color w:val="auto"/>
        </w:rPr>
      </w:pPr>
    </w:p>
    <w:p>
      <w:pPr>
        <w:ind w:left="1700" w:hanging="395"/>
        <w:spacing w:after="0"/>
        <w:tabs>
          <w:tab w:leader="none" w:pos="1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15" w:lineRule="exact"/>
        <w:rPr>
          <w:rFonts w:ascii="Arial" w:cs="Arial" w:eastAsia="Arial" w:hAnsi="Arial"/>
          <w:sz w:val="20"/>
          <w:szCs w:val="20"/>
          <w:color w:val="auto"/>
        </w:rPr>
      </w:pPr>
    </w:p>
    <w:p>
      <w:pPr>
        <w:ind w:left="1300" w:firstLine="5"/>
        <w:spacing w:after="0" w:line="260" w:lineRule="auto"/>
        <w:tabs>
          <w:tab w:leader="none" w:pos="1832" w:val="left"/>
        </w:tabs>
        <w:numPr>
          <w:ilvl w:val="0"/>
          <w:numId w:val="14"/>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u w:val="single" w:color="auto"/>
          <w:color w:val="auto"/>
        </w:rPr>
        <w:t>herein</w:t>
      </w:r>
      <w:r>
        <w:rPr>
          <w:rFonts w:ascii="Arial" w:cs="Arial" w:eastAsia="Arial" w:hAnsi="Arial"/>
          <w:sz w:val="20"/>
          <w:szCs w:val="20"/>
          <w:color w:val="auto"/>
        </w:rPr>
        <w:t>,” “</w:t>
      </w:r>
      <w:r>
        <w:rPr>
          <w:rFonts w:ascii="Arial" w:cs="Arial" w:eastAsia="Arial" w:hAnsi="Arial"/>
          <w:sz w:val="20"/>
          <w:szCs w:val="20"/>
          <w:u w:val="single" w:color="auto"/>
          <w:color w:val="auto"/>
        </w:rPr>
        <w:t>hereto</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refer to such Loan Document as a whole and not to any particular provision thereof.</w:t>
      </w:r>
    </w:p>
    <w:p>
      <w:pPr>
        <w:spacing w:after="0" w:line="176" w:lineRule="exact"/>
        <w:rPr>
          <w:rFonts w:ascii="Arial" w:cs="Arial" w:eastAsia="Arial" w:hAnsi="Arial"/>
          <w:sz w:val="20"/>
          <w:szCs w:val="20"/>
          <w:color w:val="auto"/>
        </w:rPr>
      </w:pPr>
    </w:p>
    <w:p>
      <w:pPr>
        <w:ind w:left="2380" w:hanging="427"/>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238" w:lineRule="exact"/>
        <w:rPr>
          <w:rFonts w:ascii="Arial" w:cs="Arial" w:eastAsia="Arial" w:hAnsi="Arial"/>
          <w:sz w:val="18"/>
          <w:szCs w:val="18"/>
          <w:color w:val="auto"/>
        </w:rPr>
      </w:pPr>
    </w:p>
    <w:p>
      <w:pPr>
        <w:ind w:left="2420" w:hanging="467"/>
        <w:spacing w:after="0"/>
        <w:tabs>
          <w:tab w:leader="none" w:pos="242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including</w:t>
      </w:r>
      <w:r>
        <w:rPr>
          <w:rFonts w:ascii="Arial" w:cs="Arial" w:eastAsia="Arial" w:hAnsi="Arial"/>
          <w:sz w:val="20"/>
          <w:szCs w:val="20"/>
          <w:color w:val="auto"/>
        </w:rPr>
        <w:t>” is by way of example and not limitation.</w:t>
      </w:r>
    </w:p>
    <w:p>
      <w:pPr>
        <w:spacing w:after="0" w:line="215" w:lineRule="exact"/>
        <w:rPr>
          <w:rFonts w:ascii="Arial" w:cs="Arial" w:eastAsia="Arial" w:hAnsi="Arial"/>
          <w:sz w:val="20"/>
          <w:szCs w:val="20"/>
          <w:color w:val="auto"/>
        </w:rPr>
      </w:pPr>
    </w:p>
    <w:p>
      <w:pPr>
        <w:ind w:left="1300" w:firstLine="653"/>
        <w:spacing w:after="0" w:line="287" w:lineRule="auto"/>
        <w:tabs>
          <w:tab w:leader="none" w:pos="2481"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documents</w:t>
      </w:r>
      <w:r>
        <w:rPr>
          <w:rFonts w:ascii="Arial" w:cs="Arial" w:eastAsia="Arial" w:hAnsi="Arial"/>
          <w:sz w:val="19"/>
          <w:szCs w:val="19"/>
          <w:color w:val="auto"/>
        </w:rPr>
        <w:t>” includes any and all instruments, documents, agreements, certificates, notices, reports, financial statements and other writings, however evidenced, whether in physical or electronic form.</w:t>
      </w:r>
    </w:p>
    <w:p>
      <w:pPr>
        <w:spacing w:after="0" w:line="152" w:lineRule="exact"/>
        <w:rPr>
          <w:rFonts w:ascii="Arial" w:cs="Arial" w:eastAsia="Arial" w:hAnsi="Arial"/>
          <w:sz w:val="19"/>
          <w:szCs w:val="19"/>
          <w:color w:val="auto"/>
        </w:rPr>
      </w:pPr>
    </w:p>
    <w:p>
      <w:pPr>
        <w:ind w:left="660" w:firstLine="645"/>
        <w:spacing w:after="0" w:line="287" w:lineRule="auto"/>
        <w:tabs>
          <w:tab w:leader="none" w:pos="1762"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660" w:firstLine="645"/>
        <w:spacing w:after="0" w:line="260" w:lineRule="auto"/>
        <w:tabs>
          <w:tab w:leader="none" w:pos="1773"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6" w:lineRule="auto"/>
        <w:tabs>
          <w:tab w:leader="none" w:pos="112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Notwithstanding anything to the contrary in this Agreement or any other Loan Document, for purposes of determining compliance with any covenant (including the computation of any financial covenant) contained in any Loan Document, Debt of the Loan Parties and their Subsidiaries shall be deemed to be carried at 100% of the outstanding principal amount thereof, and the effects of FASB ASC 825 on financial liabilities shall be disregarded.</w:t>
      </w:r>
    </w:p>
    <w:p>
      <w:pPr>
        <w:spacing w:after="0" w:line="165" w:lineRule="exact"/>
        <w:rPr>
          <w:rFonts w:ascii="Arial" w:cs="Arial" w:eastAsia="Arial" w:hAnsi="Arial"/>
          <w:sz w:val="18"/>
          <w:szCs w:val="18"/>
          <w:color w:val="auto"/>
        </w:rPr>
      </w:pPr>
    </w:p>
    <w:p>
      <w:pPr>
        <w:jc w:val="both"/>
        <w:ind w:firstLine="656"/>
        <w:spacing w:after="0" w:line="270" w:lineRule="auto"/>
        <w:tabs>
          <w:tab w:leader="none" w:pos="11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set forth in any Loan Document or the determination of compliance with any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w:t>
      </w:r>
    </w:p>
    <w:p>
      <w:pPr>
        <w:spacing w:after="0" w:line="2" w:lineRule="exact"/>
        <w:rPr>
          <w:rFonts w:ascii="Arial" w:cs="Arial" w:eastAsia="Arial" w:hAnsi="Arial"/>
          <w:sz w:val="18"/>
          <w:szCs w:val="18"/>
          <w:color w:val="auto"/>
        </w:rPr>
      </w:pPr>
    </w:p>
    <w:p>
      <w:pPr>
        <w:jc w:val="both"/>
        <w:ind w:firstLine="8"/>
        <w:spacing w:after="0" w:line="241" w:lineRule="auto"/>
        <w:tabs>
          <w:tab w:leader="none" w:pos="245"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and notwithstanding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6" w:right="2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9"/>
          <w:szCs w:val="19"/>
          <w:color w:val="auto"/>
        </w:rPr>
        <w:t xml:space="preserve">any change in GAAP following the Closing Date, operating leases shall continue to be treated in accordance with GAAP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for purposes of the financial statements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so long as the Compliance Certificate delivered by the Company in connection with such financial statements includes an explanation of the differences resulting from such treatment of leases in a manner reasonably satisfactory to the Administrative Agent.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References to Agreements and Laws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4" w:lineRule="auto"/>
        <w:tabs>
          <w:tab w:leader="none" w:pos="11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Administrative Agent or the L/C Issuer, as applicable, shall determine in good faith the Spot Rates as of each Revaluation Date to be used for calculating Dollar Equivalent amounts of Credit Extensions and Outstanding Amounts denominated in Alternative Currencies (and, upon request, shall promptly notify the Company of such determination).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in good faith by the Administrative Agent or the L/C Issuer, as applicable.</w:t>
      </w:r>
    </w:p>
    <w:p>
      <w:pPr>
        <w:spacing w:after="0" w:line="169" w:lineRule="exact"/>
        <w:rPr>
          <w:rFonts w:ascii="Arial" w:cs="Arial" w:eastAsia="Arial" w:hAnsi="Arial"/>
          <w:sz w:val="18"/>
          <w:szCs w:val="18"/>
          <w:color w:val="auto"/>
        </w:rPr>
      </w:pPr>
    </w:p>
    <w:p>
      <w:pPr>
        <w:jc w:val="both"/>
        <w:ind w:firstLine="656"/>
        <w:spacing w:after="0" w:line="278" w:lineRule="auto"/>
        <w:tabs>
          <w:tab w:leader="none" w:pos="11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Additional Alternative Currencies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3" w:lineRule="auto"/>
        <w:tabs>
          <w:tab w:leader="none" w:pos="1142"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requested currency is a lawful currency (other than Dollars) that is readily available and freely transferable and convertible into Dollars and (ii) such requested currency shall only be a LIBOR Quoted Currency to the extent that there is published LIBOR rate for such currency. In the case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6" w:right="239" w:bottom="1440" w:gutter="0" w:footer="0" w:header="0"/>
        </w:sectPr>
      </w:pPr>
    </w:p>
    <w:bookmarkStart w:id="37" w:name="page38"/>
    <w:bookmarkEnd w:id="37"/>
    <w:p>
      <w:pPr>
        <w:jc w:val="both"/>
        <w:spacing w:after="0" w:line="250" w:lineRule="auto"/>
        <w:rPr>
          <w:sz w:val="20"/>
          <w:szCs w:val="20"/>
          <w:color w:val="auto"/>
        </w:rPr>
      </w:pPr>
      <w:r>
        <w:rPr>
          <w:rFonts w:ascii="Arial" w:cs="Arial" w:eastAsia="Arial" w:hAnsi="Arial"/>
          <w:sz w:val="20"/>
          <w:szCs w:val="20"/>
          <w:color w:val="auto"/>
        </w:rPr>
        <w:t>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86" w:lineRule="exact"/>
        <w:rPr>
          <w:sz w:val="20"/>
          <w:szCs w:val="20"/>
          <w:color w:val="auto"/>
        </w:rPr>
      </w:pPr>
    </w:p>
    <w:p>
      <w:pPr>
        <w:jc w:val="both"/>
        <w:ind w:firstLine="656"/>
        <w:spacing w:after="0" w:line="273" w:lineRule="auto"/>
        <w:tabs>
          <w:tab w:leader="none" w:pos="10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seven Business Days after receipt of such request whether it consents, in its sole discretion, to the making of Eurocurrency Rate Loans or the issuance of Letters of Credit, as the case may be, in such requested currency.</w:t>
      </w:r>
    </w:p>
    <w:p>
      <w:pPr>
        <w:spacing w:after="0" w:line="169" w:lineRule="exact"/>
        <w:rPr>
          <w:rFonts w:ascii="Arial" w:cs="Arial" w:eastAsia="Arial" w:hAnsi="Arial"/>
          <w:sz w:val="18"/>
          <w:szCs w:val="18"/>
          <w:color w:val="auto"/>
        </w:rPr>
      </w:pPr>
    </w:p>
    <w:p>
      <w:pPr>
        <w:jc w:val="both"/>
        <w:ind w:firstLine="656"/>
        <w:spacing w:after="0" w:line="269" w:lineRule="auto"/>
        <w:tabs>
          <w:tab w:leader="none" w:pos="10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and the Administrative Agent and such Lenders reasonably determine that a Eurocurrency Base Rate is available to be used for such requested currency, the Administrative Agent shall so notify the Company and (i) the Administrative Agent and such Lenders may amend the definition of Eurocurrency Base Rate for any Non-LIBOR Quoted Currency to the extent necessary to add the applicable Eurocurrency Base Rate for such currency and (ii) to the extent the definition of Eurocurrency Base Rate reflects the appropriate interest rate for such currency or has been amended to reflect the appropriate rate for such currency, such currency shall thereupon be deemed for all purposes to be a LIBOR Quoted Currency or a Non-LIBOR Quoted Currency, as applicable, for purposes of any Borrowings of Eurocurrency Rate Loans. If the Administrative Agent and the L/C Issuer consent to the issuance of Letters of Credit in such requested currency, the Administrative Agent shall so notify the Company and (A) the Administrative Agent and the L/C Issuer may amend the definition of Eurocurrency Base Rate for any Non-LIBOR Quoted Currency to the extent necessary to add the applicable Eurocurrency Base Rate for such currency and (B) to the extent the definition of Eurocurrency Base Rate reflects the appropriate interest rate for such currency or has been amended to reflect the appropriate rate for such currency, such currency shall thereupon be deemed for all purposes to be a LIBOR Quoted Currency or a Non-LIBOR Quoted Currency, as applicable, for purposes of any Letter of Credit issuances. If the Administrative Agent shall fail to obtain consent to any request for an additional currency under this </w:t>
      </w:r>
      <w:r>
        <w:rPr>
          <w:rFonts w:ascii="Arial" w:cs="Arial" w:eastAsia="Arial" w:hAnsi="Arial"/>
          <w:sz w:val="18"/>
          <w:szCs w:val="18"/>
          <w:u w:val="single" w:color="auto"/>
          <w:color w:val="auto"/>
        </w:rPr>
        <w:t>Section 1.07</w:t>
      </w:r>
      <w:r>
        <w:rPr>
          <w:rFonts w:ascii="Arial" w:cs="Arial" w:eastAsia="Arial" w:hAnsi="Arial"/>
          <w:sz w:val="18"/>
          <w:szCs w:val="18"/>
          <w:color w:val="auto"/>
        </w:rPr>
        <w:t>, the Administrative Agent shall promptly so notify the Company.</w:t>
      </w:r>
    </w:p>
    <w:p>
      <w:pPr>
        <w:spacing w:after="0" w:line="17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u w:val="single" w:color="auto"/>
          <w:color w:val="auto"/>
        </w:rPr>
        <w:t>Change of Currency</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3" w:lineRule="auto"/>
        <w:tabs>
          <w:tab w:leader="none" w:pos="1156" w:val="left"/>
        </w:tabs>
        <w:numPr>
          <w:ilvl w:val="0"/>
          <w:numId w:val="20"/>
        </w:numPr>
        <w:rPr>
          <w:rFonts w:ascii="Arial" w:cs="Arial" w:eastAsia="Arial" w:hAnsi="Arial"/>
          <w:sz w:val="20"/>
          <w:szCs w:val="20"/>
          <w:color w:val="auto"/>
        </w:rPr>
      </w:pPr>
      <w:r>
        <w:rPr>
          <w:rFonts w:ascii="Arial" w:cs="Arial" w:eastAsia="Arial" w:hAnsi="Arial"/>
          <w:sz w:val="20"/>
          <w:szCs w:val="20"/>
          <w:color w:val="auto"/>
        </w:rPr>
        <w:t>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6" w:right="239" w:bottom="1440" w:gutter="0" w:footer="0" w:header="0"/>
        </w:sectPr>
      </w:pPr>
    </w:p>
    <w:bookmarkStart w:id="38" w:name="page39"/>
    <w:bookmarkEnd w:id="38"/>
    <w:p>
      <w:pPr>
        <w:ind w:right="20"/>
        <w:spacing w:after="0" w:line="260" w:lineRule="auto"/>
        <w:rPr>
          <w:sz w:val="20"/>
          <w:szCs w:val="20"/>
          <w:color w:val="auto"/>
        </w:rPr>
      </w:pPr>
      <w:r>
        <w:rPr>
          <w:rFonts w:ascii="Arial" w:cs="Arial" w:eastAsia="Arial" w:hAnsi="Arial"/>
          <w:sz w:val="20"/>
          <w:szCs w:val="20"/>
          <w:color w:val="auto"/>
        </w:rPr>
        <w:t xml:space="preserve">Euro as its lawful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77" w:lineRule="exact"/>
        <w:rPr>
          <w:sz w:val="20"/>
          <w:szCs w:val="20"/>
          <w:color w:val="auto"/>
        </w:rPr>
      </w:pPr>
    </w:p>
    <w:p>
      <w:pPr>
        <w:jc w:val="both"/>
        <w:ind w:firstLine="656"/>
        <w:spacing w:after="0" w:line="243" w:lineRule="auto"/>
        <w:tabs>
          <w:tab w:leader="none" w:pos="1113" w:val="left"/>
        </w:tabs>
        <w:numPr>
          <w:ilvl w:val="0"/>
          <w:numId w:val="21"/>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reasonably specify, in consultation with the Borrowers, to be appropriate to reflect (i) the adoption of the Euro by any member state of the European Union and any relevant market conventions or practices relating to the Euro and (ii) any change in currency of another country and any relevant market conventions or practices relating to the change in currency; provided, in each case, the Administrative Agent shall have generally implemented such changes of construction (with respect to the applicable currency) in other credit facilities under similar circumstances.</w:t>
      </w:r>
    </w:p>
    <w:p>
      <w:pPr>
        <w:spacing w:after="0" w:line="21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u w:val="single" w:color="auto"/>
          <w:color w:val="auto"/>
        </w:rPr>
        <w:t>Times of Day</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specified, all references herein to times of day shall be references to Central time (daylight or standard, as applicable).</w:t>
      </w: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u w:val="single" w:color="auto"/>
          <w:color w:val="auto"/>
        </w:rPr>
        <w:t>Luxembourg Terms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Without prejudice to the generality of any provision of this Agreement, in this Agreement where it relates to a Luxembourg Loan Party, a reference to: (a) a winding-up, administration or dissolution includes, without limitation, bankruptcy (</w:t>
      </w:r>
      <w:r>
        <w:rPr>
          <w:rFonts w:ascii="Arial" w:cs="Arial" w:eastAsia="Arial" w:hAnsi="Arial"/>
          <w:sz w:val="19"/>
          <w:szCs w:val="19"/>
          <w:i w:val="1"/>
          <w:iCs w:val="1"/>
          <w:color w:val="auto"/>
        </w:rPr>
        <w:t>faillite</w:t>
      </w:r>
      <w:r>
        <w:rPr>
          <w:rFonts w:ascii="Arial" w:cs="Arial" w:eastAsia="Arial" w:hAnsi="Arial"/>
          <w:sz w:val="19"/>
          <w:szCs w:val="19"/>
          <w:color w:val="auto"/>
        </w:rPr>
        <w:t>), liquidation, composition with creditors (</w:t>
      </w:r>
      <w:r>
        <w:rPr>
          <w:rFonts w:ascii="Arial" w:cs="Arial" w:eastAsia="Arial" w:hAnsi="Arial"/>
          <w:sz w:val="19"/>
          <w:szCs w:val="19"/>
          <w:i w:val="1"/>
          <w:iCs w:val="1"/>
          <w:color w:val="auto"/>
        </w:rPr>
        <w:t>concordat préventif de faillite</w:t>
      </w:r>
      <w:r>
        <w:rPr>
          <w:rFonts w:ascii="Arial" w:cs="Arial" w:eastAsia="Arial" w:hAnsi="Arial"/>
          <w:sz w:val="19"/>
          <w:szCs w:val="19"/>
          <w:color w:val="auto"/>
        </w:rPr>
        <w:t>), a suspension of payments (</w:t>
      </w:r>
      <w:r>
        <w:rPr>
          <w:rFonts w:ascii="Arial" w:cs="Arial" w:eastAsia="Arial" w:hAnsi="Arial"/>
          <w:sz w:val="19"/>
          <w:szCs w:val="19"/>
          <w:i w:val="1"/>
          <w:iCs w:val="1"/>
          <w:color w:val="auto"/>
        </w:rPr>
        <w:t>sursis de paiement</w:t>
      </w:r>
      <w:r>
        <w:rPr>
          <w:rFonts w:ascii="Arial" w:cs="Arial" w:eastAsia="Arial" w:hAnsi="Arial"/>
          <w:sz w:val="19"/>
          <w:szCs w:val="19"/>
          <w:color w:val="auto"/>
        </w:rPr>
        <w:t>), procedure, controlled management (</w:t>
      </w:r>
      <w:r>
        <w:rPr>
          <w:rFonts w:ascii="Arial" w:cs="Arial" w:eastAsia="Arial" w:hAnsi="Arial"/>
          <w:sz w:val="19"/>
          <w:szCs w:val="19"/>
          <w:i w:val="1"/>
          <w:iCs w:val="1"/>
          <w:color w:val="auto"/>
        </w:rPr>
        <w:t>gestion</w:t>
      </w:r>
      <w:r>
        <w:rPr>
          <w:rFonts w:ascii="Arial" w:cs="Arial" w:eastAsia="Arial" w:hAnsi="Arial"/>
          <w:sz w:val="19"/>
          <w:szCs w:val="19"/>
          <w:color w:val="auto"/>
        </w:rPr>
        <w:t xml:space="preserve"> </w:t>
      </w:r>
      <w:r>
        <w:rPr>
          <w:rFonts w:ascii="Arial" w:cs="Arial" w:eastAsia="Arial" w:hAnsi="Arial"/>
          <w:sz w:val="19"/>
          <w:szCs w:val="19"/>
          <w:i w:val="1"/>
          <w:iCs w:val="1"/>
          <w:color w:val="auto"/>
        </w:rPr>
        <w:t>controlée</w:t>
      </w:r>
      <w:r>
        <w:rPr>
          <w:rFonts w:ascii="Arial" w:cs="Arial" w:eastAsia="Arial" w:hAnsi="Arial"/>
          <w:sz w:val="19"/>
          <w:szCs w:val="19"/>
          <w:color w:val="auto"/>
        </w:rPr>
        <w:t>); (b) a receiver, administrative receiver, administrator, trustee, custodian, sequestrator, conservator or similar officer includes, without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limitation, a </w:t>
      </w:r>
      <w:r>
        <w:rPr>
          <w:rFonts w:ascii="Arial" w:cs="Arial" w:eastAsia="Arial" w:hAnsi="Arial"/>
          <w:sz w:val="19"/>
          <w:szCs w:val="19"/>
          <w:i w:val="1"/>
          <w:iCs w:val="1"/>
          <w:color w:val="auto"/>
        </w:rPr>
        <w:t>juge délégué, commissaire, juge-commissaire, mandataire ad hoc, administrateur provisoire, liquidateur or curateur</w:t>
      </w:r>
      <w:r>
        <w:rPr>
          <w:rFonts w:ascii="Arial" w:cs="Arial" w:eastAsia="Arial" w:hAnsi="Arial"/>
          <w:sz w:val="19"/>
          <w:szCs w:val="19"/>
          <w:color w:val="auto"/>
        </w:rPr>
        <w:t xml:space="preserve">; (c) a lien or security interest includes any </w:t>
      </w:r>
      <w:r>
        <w:rPr>
          <w:rFonts w:ascii="Arial" w:cs="Arial" w:eastAsia="Arial" w:hAnsi="Arial"/>
          <w:sz w:val="19"/>
          <w:szCs w:val="19"/>
          <w:i w:val="1"/>
          <w:iCs w:val="1"/>
          <w:color w:val="auto"/>
        </w:rPr>
        <w:t>hypothèque, nantissement, gage, privilège, sûreté réelle, droit de rétention</w:t>
      </w:r>
      <w:r>
        <w:rPr>
          <w:rFonts w:ascii="Arial" w:cs="Arial" w:eastAsia="Arial" w:hAnsi="Arial"/>
          <w:sz w:val="19"/>
          <w:szCs w:val="19"/>
          <w:color w:val="auto"/>
        </w:rPr>
        <w:t>, and any type of security in rem (</w:t>
      </w:r>
      <w:r>
        <w:rPr>
          <w:rFonts w:ascii="Arial" w:cs="Arial" w:eastAsia="Arial" w:hAnsi="Arial"/>
          <w:sz w:val="19"/>
          <w:szCs w:val="19"/>
          <w:i w:val="1"/>
          <w:iCs w:val="1"/>
          <w:color w:val="auto"/>
        </w:rPr>
        <w:t>sûreté</w:t>
      </w:r>
      <w:r>
        <w:rPr>
          <w:rFonts w:ascii="Arial" w:cs="Arial" w:eastAsia="Arial" w:hAnsi="Arial"/>
          <w:sz w:val="19"/>
          <w:szCs w:val="19"/>
          <w:color w:val="auto"/>
        </w:rPr>
        <w:t xml:space="preserve"> </w:t>
      </w:r>
      <w:r>
        <w:rPr>
          <w:rFonts w:ascii="Arial" w:cs="Arial" w:eastAsia="Arial" w:hAnsi="Arial"/>
          <w:sz w:val="19"/>
          <w:szCs w:val="19"/>
          <w:i w:val="1"/>
          <w:iCs w:val="1"/>
          <w:color w:val="auto"/>
        </w:rPr>
        <w:t>réelle</w:t>
      </w:r>
      <w:r>
        <w:rPr>
          <w:rFonts w:ascii="Arial" w:cs="Arial" w:eastAsia="Arial" w:hAnsi="Arial"/>
          <w:sz w:val="19"/>
          <w:szCs w:val="19"/>
          <w:color w:val="auto"/>
        </w:rPr>
        <w:t>) and any transfer of title by way of security; (d) a person being unable to pay its debts includes that person being a state of</w:t>
      </w:r>
      <w:r>
        <w:rPr>
          <w:rFonts w:ascii="Arial" w:cs="Arial" w:eastAsia="Arial" w:hAnsi="Arial"/>
          <w:sz w:val="19"/>
          <w:szCs w:val="19"/>
          <w:i w:val="1"/>
          <w:iCs w:val="1"/>
          <w:color w:val="auto"/>
        </w:rPr>
        <w:t xml:space="preserve"> cessation de paiements</w:t>
      </w:r>
      <w:r>
        <w:rPr>
          <w:rFonts w:ascii="Arial" w:cs="Arial" w:eastAsia="Arial" w:hAnsi="Arial"/>
          <w:sz w:val="19"/>
          <w:szCs w:val="19"/>
          <w:color w:val="auto"/>
        </w:rPr>
        <w:t>; (e) creditors process means an executory attachment (</w:t>
      </w:r>
      <w:r>
        <w:rPr>
          <w:rFonts w:ascii="Arial" w:cs="Arial" w:eastAsia="Arial" w:hAnsi="Arial"/>
          <w:sz w:val="19"/>
          <w:szCs w:val="19"/>
          <w:i w:val="1"/>
          <w:iCs w:val="1"/>
          <w:color w:val="auto"/>
        </w:rPr>
        <w:t>saisie exécutoire</w:t>
      </w:r>
      <w:r>
        <w:rPr>
          <w:rFonts w:ascii="Arial" w:cs="Arial" w:eastAsia="Arial" w:hAnsi="Arial"/>
          <w:sz w:val="19"/>
          <w:szCs w:val="19"/>
          <w:color w:val="auto"/>
        </w:rPr>
        <w:t>) or conservatory attachment (</w:t>
      </w:r>
      <w:r>
        <w:rPr>
          <w:rFonts w:ascii="Arial" w:cs="Arial" w:eastAsia="Arial" w:hAnsi="Arial"/>
          <w:sz w:val="19"/>
          <w:szCs w:val="19"/>
          <w:i w:val="1"/>
          <w:iCs w:val="1"/>
          <w:color w:val="auto"/>
        </w:rPr>
        <w:t>saisie conservatoire</w:t>
      </w:r>
      <w:r>
        <w:rPr>
          <w:rFonts w:ascii="Arial" w:cs="Arial" w:eastAsia="Arial" w:hAnsi="Arial"/>
          <w:sz w:val="19"/>
          <w:szCs w:val="19"/>
          <w:color w:val="auto"/>
        </w:rPr>
        <w:t>); (f) a</w:t>
      </w:r>
      <w:r>
        <w:rPr>
          <w:rFonts w:ascii="Arial" w:cs="Arial" w:eastAsia="Arial" w:hAnsi="Arial"/>
          <w:sz w:val="19"/>
          <w:szCs w:val="19"/>
          <w:i w:val="1"/>
          <w:iCs w:val="1"/>
          <w:color w:val="auto"/>
        </w:rPr>
        <w:t xml:space="preserve"> </w:t>
      </w:r>
      <w:r>
        <w:rPr>
          <w:rFonts w:ascii="Arial" w:cs="Arial" w:eastAsia="Arial" w:hAnsi="Arial"/>
          <w:sz w:val="19"/>
          <w:szCs w:val="19"/>
          <w:color w:val="auto"/>
        </w:rPr>
        <w:t>guarantee includes any guarantee which is independent from the debt to which it relates and excludes any suretyship (</w:t>
      </w:r>
      <w:r>
        <w:rPr>
          <w:rFonts w:ascii="Arial" w:cs="Arial" w:eastAsia="Arial" w:hAnsi="Arial"/>
          <w:sz w:val="19"/>
          <w:szCs w:val="19"/>
          <w:i w:val="1"/>
          <w:iCs w:val="1"/>
          <w:color w:val="auto"/>
        </w:rPr>
        <w:t>cautionnement</w:t>
      </w:r>
      <w:r>
        <w:rPr>
          <w:rFonts w:ascii="Arial" w:cs="Arial" w:eastAsia="Arial" w:hAnsi="Arial"/>
          <w:sz w:val="19"/>
          <w:szCs w:val="19"/>
          <w:color w:val="auto"/>
        </w:rPr>
        <w:t>) within the meaning of Articles 2011 and seq. of the Luxembourg Civil Code; and (g) by-laws or constitutional documents includes its up-to-date (restated) articles of association (</w:t>
      </w:r>
      <w:r>
        <w:rPr>
          <w:rFonts w:ascii="Arial" w:cs="Arial" w:eastAsia="Arial" w:hAnsi="Arial"/>
          <w:sz w:val="19"/>
          <w:szCs w:val="19"/>
          <w:i w:val="1"/>
          <w:iCs w:val="1"/>
          <w:color w:val="auto"/>
        </w:rPr>
        <w:t>statuts coordonnés</w:t>
      </w:r>
      <w:r>
        <w:rPr>
          <w:rFonts w:ascii="Arial" w:cs="Arial" w:eastAsia="Arial" w:hAnsi="Arial"/>
          <w:sz w:val="19"/>
          <w:szCs w:val="19"/>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6" w:right="239" w:bottom="1440" w:gutter="0" w:footer="0" w:header="0"/>
        </w:sectPr>
      </w:pPr>
    </w:p>
    <w:bookmarkStart w:id="39" w:name="page40"/>
    <w:bookmarkEnd w:id="39"/>
    <w:p>
      <w:pPr>
        <w:ind w:left="5540"/>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COMMITMENTS AND CREDIT EXTENSIONS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5" w:lineRule="auto"/>
        <w:tabs>
          <w:tab w:leader="none" w:pos="104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Revolving Loans</w:t>
      </w:r>
      <w:r>
        <w:rPr>
          <w:rFonts w:ascii="Arial" w:cs="Arial" w:eastAsia="Arial" w:hAnsi="Arial"/>
          <w:sz w:val="19"/>
          <w:szCs w:val="19"/>
          <w:color w:val="auto"/>
        </w:rPr>
        <w:t>. Subject to the terms and conditions set forth herein, each Lender severally agrees to make loans (each such loan, a “</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Borrowing of Revolving Loans, (i) the Total Revolving Outstandings shall not exceed the Aggregate Revolving Commitments, (ii) the aggregate Outstanding Amount of the Revolving Loans of any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Pro Rata Share of the Outstanding Amount of all L/C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Pro Rata Share of the Outstanding Amount of all Swing Line Loans shall not exceed such Lender’s Revolving Commitment, and (iii) the aggregate Outstanding Amount of all Revolving Loans and L/C Obligations denominated in Alternative Currencies shall not exceed the Alternative Currency Sublimit. Within the limits of each Lender’s Revolving Commitment, and subject to the other terms and conditions hereof, the Borrowers may 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Revolving Loans may be Base Rate Loans or Eurocurrency Rate Loans, as further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that all Loans to Brady Finance Luxembourg and Brady SARL that are denominated in Dollars shall be Eurocurrency Rate Loans.</w:t>
      </w:r>
    </w:p>
    <w:p>
      <w:pPr>
        <w:spacing w:after="0" w:line="185" w:lineRule="exact"/>
        <w:rPr>
          <w:rFonts w:ascii="Arial" w:cs="Arial" w:eastAsia="Arial" w:hAnsi="Arial"/>
          <w:sz w:val="19"/>
          <w:szCs w:val="19"/>
          <w:color w:val="auto"/>
        </w:rPr>
      </w:pPr>
    </w:p>
    <w:p>
      <w:pPr>
        <w:jc w:val="both"/>
        <w:ind w:firstLine="656"/>
        <w:spacing w:after="0" w:line="244" w:lineRule="auto"/>
        <w:tabs>
          <w:tab w:leader="none" w:pos="1086"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Increase of Aggregate Revolving Commitments</w:t>
      </w:r>
      <w:r>
        <w:rPr>
          <w:rFonts w:ascii="Arial" w:cs="Arial" w:eastAsia="Arial" w:hAnsi="Arial"/>
          <w:sz w:val="20"/>
          <w:szCs w:val="20"/>
          <w:color w:val="auto"/>
        </w:rPr>
        <w:t xml:space="preserve">. The Company may at any time and from time to time, upon prior written notice by the Company to the Administrative Agent, increase the Aggregate Revolving Commitments (but not the Alternative Currency Sublimit, Letter of Credit Sublimit or Swing Line Sublimit) by up to ONE HUNDRED FIFTY MILLION DOLLARS ($150,000,000) with additional Revolving Commitments from any existing Lender or new Revolving Commitments from any other Person selected by the Company that would qualify as an Eligible Assignee;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4" w:lineRule="exact"/>
        <w:rPr>
          <w:rFonts w:ascii="Arial" w:cs="Arial" w:eastAsia="Arial" w:hAnsi="Arial"/>
          <w:sz w:val="20"/>
          <w:szCs w:val="20"/>
          <w:color w:val="auto"/>
        </w:rPr>
      </w:pPr>
    </w:p>
    <w:p>
      <w:pPr>
        <w:ind w:left="1680" w:hanging="375"/>
        <w:spacing w:after="0"/>
        <w:tabs>
          <w:tab w:leader="none" w:pos="1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such increase shall be in a minimum principal amount of $5,000,000 and in integral multiples of $5,000,000 in excess</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ind w:left="1720" w:hanging="415"/>
        <w:spacing w:after="0"/>
        <w:tabs>
          <w:tab w:leader="none" w:pos="17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no Default shall be continuing at the time of any such increase;</w:t>
      </w:r>
    </w:p>
    <w:p>
      <w:pPr>
        <w:spacing w:after="0" w:line="215" w:lineRule="exact"/>
        <w:rPr>
          <w:rFonts w:ascii="Arial" w:cs="Arial" w:eastAsia="Arial" w:hAnsi="Arial"/>
          <w:sz w:val="20"/>
          <w:szCs w:val="20"/>
          <w:color w:val="auto"/>
        </w:rPr>
      </w:pPr>
    </w:p>
    <w:p>
      <w:pPr>
        <w:ind w:left="660" w:firstLine="645"/>
        <w:spacing w:after="0" w:line="260" w:lineRule="auto"/>
        <w:tabs>
          <w:tab w:leader="none" w:pos="1785" w:val="left"/>
        </w:tabs>
        <w:numPr>
          <w:ilvl w:val="1"/>
          <w:numId w:val="22"/>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increase its Revolving Commitment and any such decision whether to increase its Revolving Commitment shall be in such Lender’s sole and absolute discretion;</w:t>
      </w:r>
    </w:p>
    <w:p>
      <w:pPr>
        <w:spacing w:after="0" w:line="176" w:lineRule="exact"/>
        <w:rPr>
          <w:rFonts w:ascii="Arial" w:cs="Arial" w:eastAsia="Arial" w:hAnsi="Arial"/>
          <w:sz w:val="20"/>
          <w:szCs w:val="20"/>
          <w:color w:val="auto"/>
        </w:rPr>
      </w:pPr>
    </w:p>
    <w:p>
      <w:pPr>
        <w:ind w:left="660" w:firstLine="645"/>
        <w:spacing w:after="0" w:line="260" w:lineRule="auto"/>
        <w:tabs>
          <w:tab w:leader="none" w:pos="2017"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new Lender shall join this Agreement by executing such joinder documents reasonably required by the Administrative Agent;</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Administrative Agent shall have received all documents (including resolutions of the board of directors of the Loan Parties and opinions of counsel to the Loan Parties) it may reasonably request relating to the corporate or other necessary authority for such increase, and any other matters relevant thereto, all in form and substance reasonably satisfactory to the Administrative Agent; and</w:t>
      </w:r>
    </w:p>
    <w:p>
      <w:pPr>
        <w:spacing w:after="0" w:line="191" w:lineRule="exact"/>
        <w:rPr>
          <w:rFonts w:ascii="Arial" w:cs="Arial" w:eastAsia="Arial" w:hAnsi="Arial"/>
          <w:sz w:val="20"/>
          <w:szCs w:val="20"/>
          <w:color w:val="auto"/>
        </w:rPr>
      </w:pPr>
    </w:p>
    <w:p>
      <w:pPr>
        <w:jc w:val="both"/>
        <w:ind w:left="660" w:right="20" w:firstLine="645"/>
        <w:spacing w:after="0" w:line="250" w:lineRule="auto"/>
        <w:tabs>
          <w:tab w:leader="none" w:pos="1774" w:val="left"/>
        </w:tabs>
        <w:numPr>
          <w:ilvl w:val="1"/>
          <w:numId w:val="22"/>
        </w:numPr>
        <w:rPr>
          <w:rFonts w:ascii="Arial" w:cs="Arial" w:eastAsia="Arial" w:hAnsi="Arial"/>
          <w:sz w:val="20"/>
          <w:szCs w:val="20"/>
          <w:color w:val="auto"/>
        </w:rPr>
      </w:pPr>
      <w:r>
        <w:rPr>
          <w:rFonts w:ascii="Arial" w:cs="Arial" w:eastAsia="Arial" w:hAnsi="Arial"/>
          <w:sz w:val="20"/>
          <w:szCs w:val="20"/>
          <w:color w:val="auto"/>
        </w:rPr>
        <w:t xml:space="preserve">if any Loans are outstanding at the time of the increase in the Aggregate Revolving Commitments, the Borrowers shall, if applicable due to a nonratable increase in the Commitments, prepay one or more existing Loans (such prepayment to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in an amount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6" w:right="239" w:bottom="1440" w:gutter="0" w:footer="0" w:header="0"/>
        </w:sectPr>
      </w:pPr>
    </w:p>
    <w:bookmarkStart w:id="40" w:name="page41"/>
    <w:bookmarkEnd w:id="40"/>
    <w:p>
      <w:pPr>
        <w:ind w:left="660" w:right="20"/>
        <w:spacing w:after="0" w:line="260" w:lineRule="auto"/>
        <w:rPr>
          <w:sz w:val="20"/>
          <w:szCs w:val="20"/>
          <w:color w:val="auto"/>
        </w:rPr>
      </w:pPr>
      <w:r>
        <w:rPr>
          <w:rFonts w:ascii="Arial" w:cs="Arial" w:eastAsia="Arial" w:hAnsi="Arial"/>
          <w:sz w:val="20"/>
          <w:szCs w:val="20"/>
          <w:color w:val="auto"/>
        </w:rPr>
        <w:t>necessary such that after giving effect to the increase in the Aggregate Revolving Commitments, each Lender will hold its Pro Rata Share (based on its Pro Rata Share of the increased Aggregate Revolving Commitments) of outstanding Loans.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shall be deemed revised to include any increase in the Commitments under this Section and to include thereon any Person that becomes a Lender pursuant to this Section.</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8" w:lineRule="auto"/>
        <w:tabs>
          <w:tab w:leader="none" w:pos="10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Eurocurrency Rate Loans shall be made upon the applicable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notice must be received by the Administrative Agent not later than 10:00 a.m. (i) two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 continuation of Eurocurrency Rate Loans denominated in Alternative Currencies and (iii) on the requested date of any Borrowing of Base Rate Loans. Each Borrowing of, conversion to or continuation of Eurocurrency Rate Loans shall be in a principal amount of $5,000,000 or a whole multiple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Borrowing of or conversion to Base Rate Loans shall be in a principal amount of $1,000,000 or a whole multiple of $500,000 in excess thereof. Each Loan Notice shall specify (i) whether such Borrower is requesting a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Loans denominated in an Alternative Currency, such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a Borrower requests a Borrowing of, conversion to, or continuation of Eurocurrency Rate Loans in any Loan Notice,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w:t>
      </w:r>
    </w:p>
    <w:p>
      <w:pPr>
        <w:spacing w:after="0" w:line="180" w:lineRule="exact"/>
        <w:rPr>
          <w:rFonts w:ascii="Arial" w:cs="Arial" w:eastAsia="Arial" w:hAnsi="Arial"/>
          <w:sz w:val="18"/>
          <w:szCs w:val="18"/>
          <w:color w:val="auto"/>
        </w:rPr>
      </w:pPr>
    </w:p>
    <w:p>
      <w:pPr>
        <w:jc w:val="both"/>
        <w:ind w:firstLine="656"/>
        <w:spacing w:after="0" w:line="243" w:lineRule="auto"/>
        <w:tabs>
          <w:tab w:leader="none" w:pos="1072" w:val="left"/>
        </w:tabs>
        <w:numPr>
          <w:ilvl w:val="0"/>
          <w:numId w:val="23"/>
        </w:numPr>
        <w:rPr>
          <w:rFonts w:ascii="Arial" w:cs="Arial" w:eastAsia="Arial" w:hAnsi="Arial"/>
          <w:sz w:val="20"/>
          <w:szCs w:val="20"/>
          <w:color w:val="auto"/>
        </w:rPr>
      </w:pPr>
      <w:r>
        <w:rPr>
          <w:rFonts w:ascii="Arial" w:cs="Arial" w:eastAsia="Arial" w:hAnsi="Arial"/>
          <w:sz w:val="20"/>
          <w:szCs w:val="20"/>
          <w:color w:val="auto"/>
        </w:rPr>
        <w:t>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6" w:right="239" w:bottom="1440" w:gutter="0" w:footer="0" w:header="0"/>
        </w:sectPr>
      </w:pPr>
    </w:p>
    <w:bookmarkStart w:id="41" w:name="page42"/>
    <w:bookmarkEnd w:id="41"/>
    <w:p>
      <w:pPr>
        <w:jc w:val="both"/>
        <w:spacing w:after="0" w:line="270" w:lineRule="auto"/>
        <w:rPr>
          <w:sz w:val="20"/>
          <w:szCs w:val="20"/>
          <w:color w:val="auto"/>
        </w:rPr>
      </w:pPr>
      <w:r>
        <w:rPr>
          <w:rFonts w:ascii="Arial" w:cs="Arial" w:eastAsia="Arial" w:hAnsi="Arial"/>
          <w:sz w:val="18"/>
          <w:szCs w:val="18"/>
          <w:color w:val="auto"/>
        </w:rPr>
        <w:t xml:space="preserve">Administrative Agent in the case of any Loan in an Alternative Currency,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w:t>
      </w:r>
      <w:r>
        <w:rPr>
          <w:rFonts w:ascii="Arial" w:cs="Arial" w:eastAsia="Arial" w:hAnsi="Arial"/>
          <w:sz w:val="18"/>
          <w:szCs w:val="18"/>
          <w:color w:val="auto"/>
        </w:rPr>
        <w:t>), the Administrative Agent shall make all funds so received available to the applicable Borrower in like funds as received by the Administrative Agent either by (i) crediting the account of such Borrower on the books of Bank of America with the amount of such funds or</w:t>
      </w:r>
    </w:p>
    <w:p>
      <w:pPr>
        <w:spacing w:after="0" w:line="3" w:lineRule="exact"/>
        <w:rPr>
          <w:sz w:val="20"/>
          <w:szCs w:val="20"/>
          <w:color w:val="auto"/>
        </w:rPr>
      </w:pPr>
    </w:p>
    <w:p>
      <w:pPr>
        <w:jc w:val="both"/>
        <w:ind w:firstLine="8"/>
        <w:spacing w:after="0"/>
        <w:tabs>
          <w:tab w:leader="none" w:pos="315"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wire transfer of such funds, in each case in accordance with instructions provided to (and reasonably acceptable to) the Administrative Agent by such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on the date the Loan Notice with respect to a Borrowing of Revolving Loans denominated in Dollars is given by a Borrower, there are L/C Borrowings outstanding, then the proceeds of such Borrowing, first, shall be applied to the payment in full of any such L/C Borrowings and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shall be made available to such Borrower as provided above. Each Lender, at its option, may make any Loan by causing any domestic or foreign branch or Affiliate of such Lender to make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the applicable Borrower to repay such Loan in accordance with the terms of this Agreement.</w:t>
      </w:r>
    </w:p>
    <w:p>
      <w:pPr>
        <w:spacing w:after="0" w:line="197" w:lineRule="exact"/>
        <w:rPr>
          <w:rFonts w:ascii="Arial" w:cs="Arial" w:eastAsia="Arial" w:hAnsi="Arial"/>
          <w:sz w:val="20"/>
          <w:szCs w:val="20"/>
          <w:color w:val="auto"/>
        </w:rPr>
      </w:pPr>
    </w:p>
    <w:p>
      <w:pPr>
        <w:jc w:val="both"/>
        <w:ind w:firstLine="656"/>
        <w:spacing w:after="0" w:line="243" w:lineRule="auto"/>
        <w:tabs>
          <w:tab w:leader="none" w:pos="1048" w:val="left"/>
        </w:tabs>
        <w:numPr>
          <w:ilvl w:val="1"/>
          <w:numId w:val="24"/>
        </w:numPr>
        <w:rPr>
          <w:rFonts w:ascii="Arial" w:cs="Arial" w:eastAsia="Arial" w:hAnsi="Arial"/>
          <w:sz w:val="20"/>
          <w:szCs w:val="20"/>
          <w:color w:val="auto"/>
        </w:rPr>
      </w:pPr>
      <w:r>
        <w:rPr>
          <w:rFonts w:ascii="Arial" w:cs="Arial" w:eastAsia="Arial" w:hAnsi="Arial"/>
          <w:sz w:val="20"/>
          <w:szCs w:val="20"/>
          <w:color w:val="auto"/>
        </w:rPr>
        <w:t>Except as otherwise provided herein, a Eurocurrency Rate Loan may be continued or converted only on the last day of the Interest Period for such Eurocurrency Rate Loan. During the existence of a Default, no Loans may be requested as, converted to or continued as Eurocurrency Rate Loans (whether in Dollars or an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196" w:lineRule="exact"/>
        <w:rPr>
          <w:rFonts w:ascii="Arial" w:cs="Arial" w:eastAsia="Arial" w:hAnsi="Arial"/>
          <w:sz w:val="20"/>
          <w:szCs w:val="20"/>
          <w:color w:val="auto"/>
        </w:rPr>
      </w:pPr>
    </w:p>
    <w:p>
      <w:pPr>
        <w:jc w:val="both"/>
        <w:ind w:firstLine="656"/>
        <w:spacing w:after="0" w:line="246" w:lineRule="auto"/>
        <w:tabs>
          <w:tab w:leader="none" w:pos="1153"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Borrowers and the Lenders of the interest rate applicable to any Interest Period for Eurocurrency Rate Loans upon determination of such interest rate. At any time that Base Rate Loans are outstanding, the Administrative Agent shall notify the Borrowers and the Lenders of any change in Bank of America’s prime rate used in determining the Base Rate promptly following the public announcement of such change.</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88" w:val="left"/>
        </w:tabs>
        <w:numPr>
          <w:ilvl w:val="1"/>
          <w:numId w:val="24"/>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from one Type to the other, and all continuations of Loans as the same Type, there shall not be more than 12 Interest Periods in effect with respect to Revolving Loans (no more than 4 of such Interest Periods may be for 7 days).</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ind w:left="1060" w:hanging="404"/>
        <w:spacing w:after="0"/>
        <w:tabs>
          <w:tab w:leader="none" w:pos="10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72" w:lineRule="auto"/>
        <w:tabs>
          <w:tab w:leader="none" w:pos="17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the L/C Issuer agrees, in reliance upon the agreements of the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Closing Date until the Letter of Credit Expiration Date, 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6" w:right="2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8"/>
          <w:szCs w:val="18"/>
          <w:color w:val="auto"/>
        </w:rPr>
        <w:t>Amount of all Swing Line Loans shall not exceed such Lender’s Revolving Commitment, (y) the Outstanding Amount of the L/C Obligations shall not exceed the Letter of Credit Sublimit or (z) the aggregate Outstanding Amount of all L/C Obligations and all Loans, in each case, denominated in Alternative Currencies shall not exceed the Alternative Currency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71"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The L/C Issuer shall not issue any Letter of Credit if:</w:t>
      </w:r>
    </w:p>
    <w:p>
      <w:pPr>
        <w:spacing w:after="0" w:line="216" w:lineRule="exact"/>
        <w:rPr>
          <w:sz w:val="20"/>
          <w:szCs w:val="20"/>
          <w:color w:val="auto"/>
        </w:rPr>
      </w:pPr>
    </w:p>
    <w:p>
      <w:pPr>
        <w:ind w:left="640" w:firstLine="653"/>
        <w:spacing w:after="0" w:line="316" w:lineRule="auto"/>
        <w:tabs>
          <w:tab w:leader="none" w:pos="18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have approved such expiry date; or</w:t>
      </w:r>
    </w:p>
    <w:p>
      <w:pPr>
        <w:spacing w:after="0" w:line="130" w:lineRule="exact"/>
        <w:rPr>
          <w:rFonts w:ascii="Arial" w:cs="Arial" w:eastAsia="Arial" w:hAnsi="Arial"/>
          <w:sz w:val="18"/>
          <w:szCs w:val="18"/>
          <w:color w:val="auto"/>
        </w:rPr>
      </w:pPr>
    </w:p>
    <w:p>
      <w:pPr>
        <w:jc w:val="both"/>
        <w:ind w:left="640" w:firstLine="653"/>
        <w:spacing w:after="0" w:line="259" w:lineRule="auto"/>
        <w:tabs>
          <w:tab w:leader="none" w:pos="1759"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the expiry date of such requested Letter of Credit would occur after the Letter of Credit Expiration Date, unless all the Lenders have approved such expiry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agreement of the Borrowers set forth below in this clause (B), the L/C Issuer may issue Letters of Credit with an expiry date of up to one year after the Letter of Credit Expiration Date (but the L/C Issuer shall not have an obligation to issue such Letter of Credit). Each Borrower hereby agrees that if any Letter of Credit is issued pursuant to the foregoing proviso, it shall Cash Collateralize such Letter of Credit on the date such Letter of Credit is issued in an amount equal to the Minimum Collateral Amount.</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The L/C Issuer shall not be under any obligation to issue any Letter of Credit if:</w:t>
      </w:r>
    </w:p>
    <w:p>
      <w:pPr>
        <w:spacing w:after="0" w:line="216" w:lineRule="exact"/>
        <w:rPr>
          <w:sz w:val="20"/>
          <w:szCs w:val="20"/>
          <w:color w:val="auto"/>
        </w:rPr>
      </w:pPr>
    </w:p>
    <w:p>
      <w:pPr>
        <w:jc w:val="both"/>
        <w:ind w:left="640" w:firstLine="653"/>
        <w:spacing w:after="0" w:line="256" w:lineRule="auto"/>
        <w:tabs>
          <w:tab w:leader="none" w:pos="1756"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if later, the date on which such Person became the L/C Issuer), or shall impose upon the L/C Issuer any unreimbursed loss, cost or expense which was not applicable on the Closing Date (or, if later, the date on which such Person became the L/C Issuer) and which the L/C Issuer in good faith deems material to it;</w:t>
      </w:r>
    </w:p>
    <w:p>
      <w:pPr>
        <w:spacing w:after="0" w:line="184" w:lineRule="exact"/>
        <w:rPr>
          <w:rFonts w:ascii="Arial" w:cs="Arial" w:eastAsia="Arial" w:hAnsi="Arial"/>
          <w:sz w:val="19"/>
          <w:szCs w:val="19"/>
          <w:color w:val="auto"/>
        </w:rPr>
      </w:pPr>
    </w:p>
    <w:p>
      <w:pPr>
        <w:ind w:left="640" w:firstLine="653"/>
        <w:spacing w:after="0" w:line="260" w:lineRule="auto"/>
        <w:tabs>
          <w:tab w:leader="none" w:pos="1745"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the L/C Issuer applicable to letters of credit generally;</w:t>
      </w:r>
    </w:p>
    <w:p>
      <w:pPr>
        <w:spacing w:after="0" w:line="176" w:lineRule="exact"/>
        <w:rPr>
          <w:rFonts w:ascii="Arial" w:cs="Arial" w:eastAsia="Arial" w:hAnsi="Arial"/>
          <w:sz w:val="20"/>
          <w:szCs w:val="20"/>
          <w:color w:val="auto"/>
        </w:rPr>
      </w:pPr>
    </w:p>
    <w:p>
      <w:pPr>
        <w:jc w:val="both"/>
        <w:ind w:left="640" w:right="20" w:firstLine="653"/>
        <w:spacing w:after="0" w:line="250" w:lineRule="auto"/>
        <w:tabs>
          <w:tab w:leader="none" w:pos="1759"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200" w:lineRule="exact"/>
        <w:rPr>
          <w:sz w:val="20"/>
          <w:szCs w:val="20"/>
          <w:color w:val="auto"/>
        </w:rPr>
      </w:pP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60"/>
          </w:cols>
          <w:pgMar w:left="900" w:top="366" w:right="239" w:bottom="1440" w:gutter="0" w:footer="0" w:header="0"/>
        </w:sectPr>
      </w:pPr>
    </w:p>
    <w:bookmarkStart w:id="43" w:name="page44"/>
    <w:bookmarkEnd w:id="43"/>
    <w:p>
      <w:pPr>
        <w:ind w:left="644" w:firstLine="653"/>
        <w:spacing w:after="0" w:line="260" w:lineRule="auto"/>
        <w:tabs>
          <w:tab w:leader="none" w:pos="1801" w:val="left"/>
        </w:tabs>
        <w:numPr>
          <w:ilvl w:val="2"/>
          <w:numId w:val="28"/>
        </w:numPr>
        <w:rPr>
          <w:rFonts w:ascii="Arial" w:cs="Arial" w:eastAsia="Arial" w:hAnsi="Arial"/>
          <w:sz w:val="20"/>
          <w:szCs w:val="20"/>
          <w:color w:val="auto"/>
        </w:rPr>
      </w:pPr>
      <w:r>
        <w:rPr>
          <w:rFonts w:ascii="Arial" w:cs="Arial" w:eastAsia="Arial" w:hAnsi="Arial"/>
          <w:sz w:val="20"/>
          <w:szCs w:val="20"/>
          <w:color w:val="auto"/>
        </w:rPr>
        <w:t>the L/C Issuer does not as of the issuance date of such requested Letter of Credit issue Letters of Credit in the requested currency;</w:t>
      </w:r>
    </w:p>
    <w:p>
      <w:pPr>
        <w:spacing w:after="0" w:line="176" w:lineRule="exact"/>
        <w:rPr>
          <w:rFonts w:ascii="Arial" w:cs="Arial" w:eastAsia="Arial" w:hAnsi="Arial"/>
          <w:sz w:val="20"/>
          <w:szCs w:val="20"/>
          <w:color w:val="auto"/>
        </w:rPr>
      </w:pPr>
    </w:p>
    <w:p>
      <w:pPr>
        <w:ind w:left="644" w:firstLine="653"/>
        <w:spacing w:after="0" w:line="260" w:lineRule="auto"/>
        <w:tabs>
          <w:tab w:leader="none" w:pos="1752" w:val="left"/>
        </w:tabs>
        <w:numPr>
          <w:ilvl w:val="2"/>
          <w:numId w:val="28"/>
        </w:numPr>
        <w:rPr>
          <w:rFonts w:ascii="Arial" w:cs="Arial" w:eastAsia="Arial" w:hAnsi="Arial"/>
          <w:sz w:val="20"/>
          <w:szCs w:val="20"/>
          <w:color w:val="auto"/>
        </w:rPr>
      </w:pPr>
      <w:r>
        <w:rPr>
          <w:rFonts w:ascii="Arial" w:cs="Arial" w:eastAsia="Arial" w:hAnsi="Arial"/>
          <w:sz w:val="20"/>
          <w:szCs w:val="20"/>
          <w:color w:val="auto"/>
        </w:rPr>
        <w:t>such Letter of Credit contains any provisions for automatic reinstatement of the stated amount after any drawing thereunder; or</w:t>
      </w:r>
    </w:p>
    <w:p>
      <w:pPr>
        <w:spacing w:after="0" w:line="176" w:lineRule="exact"/>
        <w:rPr>
          <w:rFonts w:ascii="Arial" w:cs="Arial" w:eastAsia="Arial" w:hAnsi="Arial"/>
          <w:sz w:val="20"/>
          <w:szCs w:val="20"/>
          <w:color w:val="auto"/>
        </w:rPr>
      </w:pPr>
    </w:p>
    <w:p>
      <w:pPr>
        <w:jc w:val="both"/>
        <w:ind w:left="644" w:firstLine="653"/>
        <w:spacing w:after="0" w:line="243" w:lineRule="auto"/>
        <w:tabs>
          <w:tab w:leader="none" w:pos="1714" w:val="left"/>
        </w:tabs>
        <w:numPr>
          <w:ilvl w:val="2"/>
          <w:numId w:val="28"/>
        </w:numPr>
        <w:rPr>
          <w:rFonts w:ascii="Arial" w:cs="Arial" w:eastAsia="Arial" w:hAnsi="Arial"/>
          <w:sz w:val="20"/>
          <w:szCs w:val="20"/>
          <w:color w:val="auto"/>
        </w:rPr>
      </w:pPr>
      <w:r>
        <w:rPr>
          <w:rFonts w:ascii="Arial" w:cs="Arial" w:eastAsia="Arial" w:hAnsi="Arial"/>
          <w:sz w:val="20"/>
          <w:szCs w:val="20"/>
          <w:color w:val="auto"/>
        </w:rPr>
        <w:t xml:space="preserve">any Lender is at that time a Defaulting Lender, unless the L/C Issuer has entered into arrangements, including the delivery of Cash Collateral, satisfactory to the L/C Issuer (in its sole discretion) with the applicable Borrower or such Defaulting Lender to eliminate the L/C Issuer’s actual or potential Fronting Exposure (after giving effect to </w:t>
      </w:r>
      <w:r>
        <w:rPr>
          <w:rFonts w:ascii="Arial" w:cs="Arial" w:eastAsia="Arial" w:hAnsi="Arial"/>
          <w:sz w:val="20"/>
          <w:szCs w:val="20"/>
          <w:u w:val="single" w:color="auto"/>
          <w:color w:val="auto"/>
        </w:rPr>
        <w:t>Section 2.16(b)</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96" w:lineRule="exact"/>
        <w:rPr>
          <w:rFonts w:ascii="Arial" w:cs="Arial" w:eastAsia="Arial" w:hAnsi="Arial"/>
          <w:sz w:val="20"/>
          <w:szCs w:val="20"/>
          <w:color w:val="auto"/>
        </w:rPr>
      </w:pPr>
    </w:p>
    <w:p>
      <w:pPr>
        <w:ind w:left="4" w:firstLine="645"/>
        <w:spacing w:after="0" w:line="260" w:lineRule="auto"/>
        <w:tabs>
          <w:tab w:leader="none" w:pos="1145"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L/C Issuer shall not amend any Letter of Credit if the L/C Issuer would not be permitted at such time to issue such Letter of Credit in its amended form under the terms hereof.</w:t>
      </w:r>
    </w:p>
    <w:p>
      <w:pPr>
        <w:spacing w:after="0" w:line="176" w:lineRule="exact"/>
        <w:rPr>
          <w:rFonts w:ascii="Arial" w:cs="Arial" w:eastAsia="Arial" w:hAnsi="Arial"/>
          <w:sz w:val="20"/>
          <w:szCs w:val="20"/>
          <w:color w:val="auto"/>
        </w:rPr>
      </w:pPr>
    </w:p>
    <w:p>
      <w:pPr>
        <w:jc w:val="both"/>
        <w:ind w:left="4" w:firstLine="645"/>
        <w:spacing w:after="0" w:line="250" w:lineRule="auto"/>
        <w:tabs>
          <w:tab w:leader="none" w:pos="1076"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6" w:lineRule="exact"/>
        <w:rPr>
          <w:rFonts w:ascii="Arial" w:cs="Arial" w:eastAsia="Arial" w:hAnsi="Arial"/>
          <w:sz w:val="20"/>
          <w:szCs w:val="20"/>
          <w:color w:val="auto"/>
        </w:rPr>
      </w:pPr>
    </w:p>
    <w:p>
      <w:pPr>
        <w:jc w:val="both"/>
        <w:ind w:left="4" w:firstLine="645"/>
        <w:spacing w:after="0" w:line="242" w:lineRule="auto"/>
        <w:tabs>
          <w:tab w:leader="none" w:pos="1172" w:val="left"/>
        </w:tabs>
        <w:numPr>
          <w:ilvl w:val="1"/>
          <w:numId w:val="29"/>
        </w:numPr>
        <w:rPr>
          <w:rFonts w:ascii="Arial" w:cs="Arial" w:eastAsia="Arial" w:hAnsi="Arial"/>
          <w:sz w:val="20"/>
          <w:szCs w:val="20"/>
          <w:color w:val="auto"/>
        </w:rPr>
      </w:pPr>
      <w:r>
        <w:rPr>
          <w:rFonts w:ascii="Arial" w:cs="Arial" w:eastAsia="Arial" w:hAnsi="Arial"/>
          <w:sz w:val="20"/>
          <w:szCs w:val="20"/>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included the L/C Issuer with respect to such acts or omissions (it being understood that this clause (A) shall apply to the relationship among the L/C Issuer and the Lenders and shall not impair the obligations of the L/C Issuer to the Company or any of its Subsidiaries under the terms of the applicable Letters of Credit and Issuer Documents) and (B) as additionally provided herein with respect to the L/C Issuer.</w:t>
      </w:r>
    </w:p>
    <w:p>
      <w:pPr>
        <w:spacing w:after="0" w:line="197" w:lineRule="exact"/>
        <w:rPr>
          <w:rFonts w:ascii="Arial" w:cs="Arial" w:eastAsia="Arial" w:hAnsi="Arial"/>
          <w:sz w:val="20"/>
          <w:szCs w:val="20"/>
          <w:color w:val="auto"/>
        </w:rPr>
      </w:pPr>
    </w:p>
    <w:p>
      <w:pPr>
        <w:ind w:left="404" w:hanging="404"/>
        <w:spacing w:after="0"/>
        <w:tabs>
          <w:tab w:leader="none" w:pos="404"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71"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(A) 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satisfactory to the L/C Issuer: (A)</w:t>
      </w:r>
    </w:p>
    <w:p>
      <w:pPr>
        <w:spacing w:after="0" w:line="20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4"/>
          </w:cols>
          <w:pgMar w:left="896" w:top="366" w:right="239" w:bottom="1440" w:gutter="0" w:footer="0" w:header="0"/>
        </w:sectPr>
      </w:pPr>
    </w:p>
    <w:bookmarkStart w:id="44" w:name="page45"/>
    <w:bookmarkEnd w:id="44"/>
    <w:p>
      <w:pPr>
        <w:jc w:val="both"/>
        <w:spacing w:after="0" w:line="256" w:lineRule="auto"/>
        <w:rPr>
          <w:sz w:val="20"/>
          <w:szCs w:val="20"/>
          <w:color w:val="auto"/>
        </w:rPr>
      </w:pPr>
      <w:r>
        <w:rPr>
          <w:rFonts w:ascii="Arial" w:cs="Arial" w:eastAsia="Arial" w:hAnsi="Arial"/>
          <w:sz w:val="19"/>
          <w:szCs w:val="19"/>
          <w:color w:val="auto"/>
        </w:rPr>
        <w:t>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181" w:lineRule="exact"/>
        <w:rPr>
          <w:sz w:val="20"/>
          <w:szCs w:val="20"/>
          <w:color w:val="auto"/>
        </w:rPr>
      </w:pPr>
    </w:p>
    <w:p>
      <w:pPr>
        <w:jc w:val="both"/>
        <w:ind w:firstLine="645"/>
        <w:spacing w:after="0" w:line="255" w:lineRule="auto"/>
        <w:tabs>
          <w:tab w:leader="none" w:pos="1083"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not be satisfied,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187" w:lineRule="exact"/>
        <w:rPr>
          <w:rFonts w:ascii="Arial" w:cs="Arial" w:eastAsia="Arial" w:hAnsi="Arial"/>
          <w:sz w:val="19"/>
          <w:szCs w:val="19"/>
          <w:color w:val="auto"/>
        </w:rPr>
      </w:pPr>
    </w:p>
    <w:p>
      <w:pPr>
        <w:jc w:val="both"/>
        <w:ind w:firstLine="645"/>
        <w:spacing w:after="0" w:line="269" w:lineRule="auto"/>
        <w:tabs>
          <w:tab w:leader="none" w:pos="11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last expiry date permitted under </w:t>
      </w:r>
      <w:r>
        <w:rPr>
          <w:rFonts w:ascii="Arial" w:cs="Arial" w:eastAsia="Arial" w:hAnsi="Arial"/>
          <w:sz w:val="18"/>
          <w:szCs w:val="18"/>
          <w:u w:val="single" w:color="auto"/>
          <w:color w:val="auto"/>
        </w:rPr>
        <w:t>Section 2.03(a)(ii)(B)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2.03(a)</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and in each case directing the L/C Issuer not to permit such extension.</w:t>
      </w: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60"/>
          </w:cols>
          <w:pgMar w:left="900" w:top="366" w:right="239" w:bottom="1440" w:gutter="0" w:footer="0" w:header="0"/>
        </w:sectPr>
      </w:pPr>
    </w:p>
    <w:bookmarkStart w:id="45" w:name="page46"/>
    <w:bookmarkEnd w:id="45"/>
    <w:p>
      <w:pPr>
        <w:jc w:val="both"/>
        <w:ind w:left="4" w:firstLine="645"/>
        <w:spacing w:after="0" w:line="250" w:lineRule="auto"/>
        <w:tabs>
          <w:tab w:leader="none" w:pos="1212" w:val="left"/>
        </w:tabs>
        <w:numPr>
          <w:ilvl w:val="1"/>
          <w:numId w:val="32"/>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86" w:lineRule="exact"/>
        <w:rPr>
          <w:rFonts w:ascii="Arial" w:cs="Arial" w:eastAsia="Arial" w:hAnsi="Arial"/>
          <w:sz w:val="20"/>
          <w:szCs w:val="20"/>
          <w:color w:val="auto"/>
        </w:rPr>
      </w:pPr>
    </w:p>
    <w:p>
      <w:pPr>
        <w:ind w:left="404" w:hanging="404"/>
        <w:spacing w:after="0"/>
        <w:tabs>
          <w:tab w:leader="none" w:pos="40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68" w:lineRule="auto"/>
        <w:tabs>
          <w:tab w:leader="none" w:pos="1073" w:val="left"/>
        </w:tabs>
        <w:numPr>
          <w:ilvl w:val="1"/>
          <w:numId w:val="33"/>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 reimbursement in Dollars, or (B) in the absence of any such requirement for reimbursement in Dollars, the Borrower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applicable Borrower of the Dollar Equivalent of the amount of the drawing promptly following the determination thereof. Not later than 11:00 a.m. on the Business Day following the date of any payment by the L/C Issuer under a Letter of Credit to be reimbursed in Dollars, or the Applicable Time on the Business Day following the date of any payment by the L/C Issuer under a Letter of Credit to be reimbursed in an Alternative Currency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applicable Borrower shall reimburse the L/C Issuer through the Administrative Agent in an amount equal to the amount of such drawing and in the applicable currency (together with interest thereon).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Lender’s Pro Rata Share thereof. In such event, the applicable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unutilized portion of the Aggregate Revolving Commitments and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the delivery of a Loan Notice). Any notice given by the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(including by facsimile or e-mail if permitted by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82" w:lineRule="exact"/>
        <w:rPr>
          <w:rFonts w:ascii="Arial" w:cs="Arial" w:eastAsia="Arial" w:hAnsi="Arial"/>
          <w:sz w:val="18"/>
          <w:szCs w:val="18"/>
          <w:color w:val="auto"/>
        </w:rPr>
      </w:pPr>
    </w:p>
    <w:p>
      <w:pPr>
        <w:jc w:val="both"/>
        <w:ind w:left="4" w:firstLine="645"/>
        <w:spacing w:after="0" w:line="243" w:lineRule="auto"/>
        <w:tabs>
          <w:tab w:leader="none" w:pos="1141" w:val="left"/>
        </w:tabs>
        <w:numPr>
          <w:ilvl w:val="1"/>
          <w:numId w:val="33"/>
        </w:numPr>
        <w:rPr>
          <w:rFonts w:ascii="Arial" w:cs="Arial" w:eastAsia="Arial" w:hAnsi="Arial"/>
          <w:sz w:val="20"/>
          <w:szCs w:val="20"/>
          <w:color w:val="auto"/>
        </w:rPr>
      </w:pPr>
      <w:r>
        <w:rPr>
          <w:rFonts w:ascii="Arial" w:cs="Arial" w:eastAsia="Arial" w:hAnsi="Arial"/>
          <w:sz w:val="20"/>
          <w:szCs w:val="20"/>
          <w:color w:val="auto"/>
        </w:rPr>
        <w:t xml:space="preserve">Each Lender shall upon any notice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Pro Rata Share of the Unreimbursed Amount not later than 1:00 p.m. on the Business Day specified in such notice by the Administrative Agent, whereupon, subject to the provisions of </w:t>
      </w:r>
      <w:r>
        <w:rPr>
          <w:rFonts w:ascii="Arial" w:cs="Arial" w:eastAsia="Arial" w:hAnsi="Arial"/>
          <w:sz w:val="20"/>
          <w:szCs w:val="20"/>
          <w:u w:val="single" w:color="auto"/>
          <w:color w:val="auto"/>
        </w:rPr>
        <w:t>Section 2.03(c)(iii)</w:t>
      </w:r>
      <w:r>
        <w:rPr>
          <w:rFonts w:ascii="Arial" w:cs="Arial" w:eastAsia="Arial" w:hAnsi="Arial"/>
          <w:sz w:val="20"/>
          <w:szCs w:val="20"/>
          <w:color w:val="auto"/>
        </w:rPr>
        <w:t>, each Lender that so makes funds available shall be deemed to have made a Revolving Loan that is a Base Rate Loan to the applicable Borrower in such amount. The Administrative Agent shall remit the funds so received to the L/C Issuer in Dollars.</w:t>
      </w:r>
    </w:p>
    <w:p>
      <w:pPr>
        <w:spacing w:after="0" w:line="200" w:lineRule="exact"/>
        <w:rPr>
          <w:sz w:val="20"/>
          <w:szCs w:val="20"/>
          <w:color w:val="auto"/>
        </w:rPr>
      </w:pPr>
    </w:p>
    <w:p>
      <w:pPr>
        <w:spacing w:after="0" w:line="23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64"/>
          </w:cols>
          <w:pgMar w:left="896" w:top="582" w:right="239" w:bottom="1440" w:gutter="0" w:footer="0" w:header="0"/>
        </w:sectPr>
      </w:pPr>
    </w:p>
    <w:bookmarkStart w:id="46" w:name="page47"/>
    <w:bookmarkEnd w:id="46"/>
    <w:p>
      <w:pPr>
        <w:jc w:val="both"/>
        <w:ind w:left="4" w:firstLine="645"/>
        <w:spacing w:after="0" w:line="258" w:lineRule="auto"/>
        <w:tabs>
          <w:tab w:leader="none" w:pos="1142"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promptly on demand (together with interest) and shall bear interest at the Default Rate. In such event, each Lender’s payment to the Administrative Agent for the account of the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left="4" w:firstLine="645"/>
        <w:spacing w:after="0" w:line="250" w:lineRule="auto"/>
        <w:tabs>
          <w:tab w:leader="none" w:pos="1131" w:val="left"/>
        </w:tabs>
        <w:numPr>
          <w:ilvl w:val="1"/>
          <w:numId w:val="34"/>
        </w:numPr>
        <w:rPr>
          <w:rFonts w:ascii="Arial" w:cs="Arial" w:eastAsia="Arial" w:hAnsi="Arial"/>
          <w:sz w:val="20"/>
          <w:szCs w:val="20"/>
          <w:color w:val="auto"/>
        </w:rPr>
      </w:pPr>
      <w:r>
        <w:rPr>
          <w:rFonts w:ascii="Arial" w:cs="Arial" w:eastAsia="Arial" w:hAnsi="Arial"/>
          <w:sz w:val="20"/>
          <w:szCs w:val="20"/>
          <w:color w:val="auto"/>
        </w:rPr>
        <w:t xml:space="preserve">Until each Lender funds its Revolving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L/C Issuer for any amount drawn under any Letter of Credit, interest in respect of such Lender’s Pro Rata Share of such amount shall be solely for the account of the L/C Issuer.</w:t>
      </w:r>
    </w:p>
    <w:p>
      <w:pPr>
        <w:spacing w:after="0" w:line="186" w:lineRule="exact"/>
        <w:rPr>
          <w:rFonts w:ascii="Arial" w:cs="Arial" w:eastAsia="Arial" w:hAnsi="Arial"/>
          <w:sz w:val="20"/>
          <w:szCs w:val="20"/>
          <w:color w:val="auto"/>
        </w:rPr>
      </w:pPr>
    </w:p>
    <w:p>
      <w:pPr>
        <w:jc w:val="both"/>
        <w:ind w:left="4" w:firstLine="645"/>
        <w:spacing w:after="0" w:line="256" w:lineRule="auto"/>
        <w:tabs>
          <w:tab w:leader="none" w:pos="1144"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Each Lender’s obligation to make Revolving Loans or L/C Advances to reimburse the L/C Issuer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L/C Issuer, the Borrowers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Lender’s obligation to make Revolving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delivery by the applicable Borrower of a Loan Notice). No such making of an L/C Advance shall relieve or otherwise impair the obligation of any Borrower to reimburse the L/C Issuer for the amount of any payment made by the L/C Issuer under any Letter of Credit, together with interest as provided herein.</w:t>
      </w:r>
    </w:p>
    <w:p>
      <w:pPr>
        <w:spacing w:after="0" w:line="184" w:lineRule="exact"/>
        <w:rPr>
          <w:rFonts w:ascii="Arial" w:cs="Arial" w:eastAsia="Arial" w:hAnsi="Arial"/>
          <w:sz w:val="19"/>
          <w:szCs w:val="19"/>
          <w:color w:val="auto"/>
        </w:rPr>
      </w:pPr>
    </w:p>
    <w:p>
      <w:pPr>
        <w:jc w:val="both"/>
        <w:ind w:left="4" w:firstLine="645"/>
        <w:spacing w:after="0" w:line="256" w:lineRule="auto"/>
        <w:tabs>
          <w:tab w:leader="none" w:pos="1145"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81" w:lineRule="exact"/>
        <w:rPr>
          <w:rFonts w:ascii="Arial" w:cs="Arial" w:eastAsia="Arial" w:hAnsi="Arial"/>
          <w:sz w:val="19"/>
          <w:szCs w:val="19"/>
          <w:color w:val="auto"/>
        </w:rPr>
      </w:pPr>
    </w:p>
    <w:p>
      <w:pPr>
        <w:ind w:left="404" w:hanging="404"/>
        <w:spacing w:after="0"/>
        <w:tabs>
          <w:tab w:leader="none" w:pos="404"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63" w:lineRule="auto"/>
        <w:tabs>
          <w:tab w:leader="none" w:pos="1059"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w:t>
      </w:r>
    </w:p>
    <w:p>
      <w:pPr>
        <w:spacing w:after="0" w:line="20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64"/>
          </w:cols>
          <w:pgMar w:left="896" w:top="366" w:right="239" w:bottom="1440" w:gutter="0" w:footer="0" w:header="0"/>
        </w:sectPr>
      </w:pPr>
    </w:p>
    <w:bookmarkStart w:id="47" w:name="page48"/>
    <w:bookmarkEnd w:id="47"/>
    <w:p>
      <w:pPr>
        <w:ind w:left="660" w:right="20"/>
        <w:spacing w:after="0" w:line="260" w:lineRule="auto"/>
        <w:rPr>
          <w:sz w:val="20"/>
          <w:szCs w:val="20"/>
          <w:color w:val="auto"/>
        </w:rPr>
      </w:pPr>
      <w:r>
        <w:rPr>
          <w:rFonts w:ascii="Arial" w:cs="Arial" w:eastAsia="Arial" w:hAnsi="Arial"/>
          <w:sz w:val="20"/>
          <w:szCs w:val="20"/>
          <w:color w:val="auto"/>
        </w:rPr>
        <w:t>Administrative Agent), the Administrative Agent will distribute to such Lender its Pro Rata Share thereof in Dollars and in the same funds as those received by the Administrative Agent.</w:t>
      </w:r>
    </w:p>
    <w:p>
      <w:pPr>
        <w:spacing w:after="0" w:line="177" w:lineRule="exact"/>
        <w:rPr>
          <w:sz w:val="20"/>
          <w:szCs w:val="20"/>
          <w:color w:val="auto"/>
        </w:rPr>
      </w:pPr>
    </w:p>
    <w:p>
      <w:pPr>
        <w:jc w:val="both"/>
        <w:ind w:left="660" w:firstLine="645"/>
        <w:spacing w:after="0" w:line="276" w:lineRule="auto"/>
        <w:tabs>
          <w:tab w:leader="none" w:pos="17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65" w:lineRule="exact"/>
        <w:rPr>
          <w:rFonts w:ascii="Arial" w:cs="Arial" w:eastAsia="Arial" w:hAnsi="Arial"/>
          <w:sz w:val="18"/>
          <w:szCs w:val="18"/>
          <w:color w:val="auto"/>
        </w:rPr>
      </w:pPr>
    </w:p>
    <w:p>
      <w:pPr>
        <w:jc w:val="both"/>
        <w:ind w:firstLine="656"/>
        <w:spacing w:after="0" w:line="250" w:lineRule="auto"/>
        <w:tabs>
          <w:tab w:leader="none" w:pos="1075"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6" w:lineRule="exact"/>
        <w:rPr>
          <w:rFonts w:ascii="Arial" w:cs="Arial" w:eastAsia="Arial" w:hAnsi="Arial"/>
          <w:sz w:val="20"/>
          <w:szCs w:val="20"/>
          <w:color w:val="auto"/>
        </w:rPr>
      </w:pPr>
    </w:p>
    <w:p>
      <w:pPr>
        <w:ind w:left="2320" w:hanging="367"/>
        <w:spacing w:after="0"/>
        <w:tabs>
          <w:tab w:leader="none" w:pos="2320" w:val="left"/>
        </w:tabs>
        <w:numPr>
          <w:ilvl w:val="2"/>
          <w:numId w:val="37"/>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227" w:lineRule="exact"/>
        <w:rPr>
          <w:rFonts w:ascii="Arial" w:cs="Arial" w:eastAsia="Arial" w:hAnsi="Arial"/>
          <w:sz w:val="19"/>
          <w:szCs w:val="19"/>
          <w:color w:val="auto"/>
        </w:rPr>
      </w:pPr>
    </w:p>
    <w:p>
      <w:pPr>
        <w:jc w:val="both"/>
        <w:ind w:left="660" w:right="20" w:firstLine="1293"/>
        <w:spacing w:after="0" w:line="282" w:lineRule="auto"/>
        <w:tabs>
          <w:tab w:leader="none" w:pos="2392"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61" w:lineRule="exact"/>
        <w:rPr>
          <w:rFonts w:ascii="Arial" w:cs="Arial" w:eastAsia="Arial" w:hAnsi="Arial"/>
          <w:sz w:val="18"/>
          <w:szCs w:val="18"/>
          <w:color w:val="auto"/>
        </w:rPr>
      </w:pPr>
    </w:p>
    <w:p>
      <w:pPr>
        <w:jc w:val="both"/>
        <w:ind w:left="660" w:firstLine="1293"/>
        <w:spacing w:after="0" w:line="291" w:lineRule="auto"/>
        <w:tabs>
          <w:tab w:leader="none" w:pos="2514"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1" w:lineRule="exact"/>
        <w:rPr>
          <w:rFonts w:ascii="Arial" w:cs="Arial" w:eastAsia="Arial" w:hAnsi="Arial"/>
          <w:sz w:val="18"/>
          <w:szCs w:val="18"/>
          <w:color w:val="auto"/>
        </w:rPr>
      </w:pPr>
    </w:p>
    <w:p>
      <w:pPr>
        <w:jc w:val="both"/>
        <w:ind w:left="660" w:firstLine="1293"/>
        <w:spacing w:after="0" w:line="244" w:lineRule="auto"/>
        <w:tabs>
          <w:tab w:leader="none" w:pos="2449" w:val="left"/>
        </w:tabs>
        <w:numPr>
          <w:ilvl w:val="2"/>
          <w:numId w:val="37"/>
        </w:numPr>
        <w:rPr>
          <w:rFonts w:ascii="Arial" w:cs="Arial" w:eastAsia="Arial" w:hAnsi="Arial"/>
          <w:sz w:val="20"/>
          <w:szCs w:val="20"/>
          <w:color w:val="auto"/>
        </w:rPr>
      </w:pPr>
      <w:r>
        <w:rPr>
          <w:rFonts w:ascii="Arial" w:cs="Arial" w:eastAsia="Arial" w:hAnsi="Arial"/>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94" w:lineRule="exact"/>
        <w:rPr>
          <w:rFonts w:ascii="Arial" w:cs="Arial" w:eastAsia="Arial" w:hAnsi="Arial"/>
          <w:sz w:val="20"/>
          <w:szCs w:val="20"/>
          <w:color w:val="auto"/>
        </w:rPr>
      </w:pPr>
    </w:p>
    <w:p>
      <w:pPr>
        <w:ind w:left="660" w:firstLine="645"/>
        <w:spacing w:after="0" w:line="260" w:lineRule="auto"/>
        <w:tabs>
          <w:tab w:leader="none" w:pos="1814" w:val="left"/>
        </w:tabs>
        <w:numPr>
          <w:ilvl w:val="1"/>
          <w:numId w:val="37"/>
        </w:numPr>
        <w:rPr>
          <w:rFonts w:ascii="Arial" w:cs="Arial" w:eastAsia="Arial" w:hAnsi="Arial"/>
          <w:sz w:val="20"/>
          <w:szCs w:val="20"/>
          <w:color w:val="auto"/>
        </w:rPr>
      </w:pPr>
      <w:r>
        <w:rPr>
          <w:rFonts w:ascii="Arial" w:cs="Arial" w:eastAsia="Arial" w:hAnsi="Arial"/>
          <w:sz w:val="20"/>
          <w:szCs w:val="20"/>
          <w:color w:val="auto"/>
        </w:rPr>
        <w:t>waiver by the L/C Issuer of any requirement that exists for the L/C Issuer’s protection and not the protection of any Borrower or any waiver by the L/C Issuer which does not in fact materially prejudice any Borrower;</w:t>
      </w:r>
    </w:p>
    <w:p>
      <w:pPr>
        <w:spacing w:after="0" w:line="177" w:lineRule="exact"/>
        <w:rPr>
          <w:sz w:val="20"/>
          <w:szCs w:val="20"/>
          <w:color w:val="auto"/>
        </w:rPr>
      </w:pPr>
    </w:p>
    <w:p>
      <w:pPr>
        <w:ind w:left="1780" w:hanging="475"/>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requires that demand be in the form</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of a draft;</w:t>
      </w:r>
    </w:p>
    <w:p>
      <w:pPr>
        <w:spacing w:after="0" w:line="199" w:lineRule="exact"/>
        <w:rPr>
          <w:rFonts w:ascii="Arial" w:cs="Arial" w:eastAsia="Arial" w:hAnsi="Arial"/>
          <w:sz w:val="18"/>
          <w:szCs w:val="18"/>
          <w:color w:val="auto"/>
        </w:rPr>
      </w:pPr>
    </w:p>
    <w:p>
      <w:pPr>
        <w:jc w:val="both"/>
        <w:ind w:left="660" w:firstLine="645"/>
        <w:spacing w:after="0" w:line="250" w:lineRule="auto"/>
        <w:tabs>
          <w:tab w:leader="none" w:pos="1842"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6" w:right="239" w:bottom="1440" w:gutter="0" w:footer="0" w:header="0"/>
        </w:sectPr>
      </w:pPr>
    </w:p>
    <w:bookmarkStart w:id="48" w:name="page49"/>
    <w:bookmarkEnd w:id="48"/>
    <w:p>
      <w:pPr>
        <w:ind w:left="660" w:firstLine="645"/>
        <w:spacing w:after="0" w:line="260" w:lineRule="auto"/>
        <w:tabs>
          <w:tab w:leader="none" w:pos="1979"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to the Borrowers or any Subsidiary or in the relevant currency markets generally; or</w:t>
      </w:r>
    </w:p>
    <w:p>
      <w:pPr>
        <w:spacing w:after="0" w:line="176" w:lineRule="exact"/>
        <w:rPr>
          <w:rFonts w:ascii="Arial" w:cs="Arial" w:eastAsia="Arial" w:hAnsi="Arial"/>
          <w:sz w:val="20"/>
          <w:szCs w:val="20"/>
          <w:color w:val="auto"/>
        </w:rPr>
      </w:pPr>
    </w:p>
    <w:p>
      <w:pPr>
        <w:ind w:left="660" w:firstLine="1293"/>
        <w:spacing w:after="0" w:line="316" w:lineRule="auto"/>
        <w:tabs>
          <w:tab w:leader="none" w:pos="246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promptly notify the L/C Issuer. The Borrowers shall be conclusively deemed to have waived any such claim against the L/C Issuer and its correspondents unless such notice is given as aforesaid.</w:t>
      </w:r>
    </w:p>
    <w:p>
      <w:pPr>
        <w:spacing w:after="0" w:line="192" w:lineRule="exact"/>
        <w:rPr>
          <w:sz w:val="20"/>
          <w:szCs w:val="20"/>
          <w:color w:val="auto"/>
        </w:rPr>
      </w:pPr>
    </w:p>
    <w:p>
      <w:pPr>
        <w:jc w:val="both"/>
        <w:ind w:firstLine="656"/>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xml:space="preserve">. Each Lender and each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The L/C Issuer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2"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message or overnight courier, or any other commercially reasonable means of communicating with a beneficiary.</w:t>
      </w:r>
    </w:p>
    <w:p>
      <w:pPr>
        <w:spacing w:after="0" w:line="216" w:lineRule="exact"/>
        <w:rPr>
          <w:sz w:val="20"/>
          <w:szCs w:val="20"/>
          <w:color w:val="auto"/>
        </w:rPr>
      </w:pPr>
    </w:p>
    <w:p>
      <w:pPr>
        <w:jc w:val="both"/>
        <w:ind w:firstLine="656"/>
        <w:spacing w:after="0" w:line="271" w:lineRule="auto"/>
        <w:tabs>
          <w:tab w:leader="none" w:pos="10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UCP shall apply to each commercial Letter of Credit (it being understood that the applicable Borrower may request that any particular Letter of Credit be governed by either the ISP or the UCP, as selected by such Borrower or the beneficiary of such Letter of Credit). Notwithstanding the foregoing, the L/C Issuer shall not be responsible to any Borrower for, and the L/C Issuer’s rights and remedies against such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4" w:lineRule="exact"/>
        <w:rPr>
          <w:rFonts w:ascii="Arial" w:cs="Arial" w:eastAsia="Arial" w:hAnsi="Arial"/>
          <w:sz w:val="18"/>
          <w:szCs w:val="18"/>
          <w:color w:val="auto"/>
        </w:rPr>
      </w:pPr>
    </w:p>
    <w:p>
      <w:pPr>
        <w:jc w:val="both"/>
        <w:ind w:firstLine="656"/>
        <w:spacing w:after="0" w:line="271" w:lineRule="auto"/>
        <w:tabs>
          <w:tab w:leader="none" w:pos="10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Borrowers shall pay to the Administrative Agent for the account of each Lender in accordance,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with its Pro Rata Share, in Dollars,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each Letter of Credit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Dollar Equivalent of the actual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74" w:lineRule="exact"/>
        <w:rPr>
          <w:rFonts w:ascii="Arial" w:cs="Arial" w:eastAsia="Arial" w:hAnsi="Arial"/>
          <w:sz w:val="18"/>
          <w:szCs w:val="18"/>
          <w:color w:val="auto"/>
        </w:rPr>
      </w:pPr>
    </w:p>
    <w:p>
      <w:pPr>
        <w:jc w:val="both"/>
        <w:ind w:firstLine="656"/>
        <w:spacing w:after="0" w:line="270" w:lineRule="auto"/>
        <w:tabs>
          <w:tab w:leader="none" w:pos="102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xml:space="preserve">. The Borrowers shall pay directly to the L/C Issuer for its own account, in Dollars, a fronting fee (i) with respect to each commercial Letter of Credit, at the rate specified in the Fee Letter, computed on the Dollar Equivalent of the amount of such Letter of Credit, and payable upon the issuance thereof, (ii) with respect to any amendment of a commercial Letter of Credit increasing the amount of such Letter of Credit, at a rate separately agreed between the Borrowers and the L/C Issuer, computed on the Dollar Equivalent of the amount of such increase, and payable upon the effectiveness of such amendment, and (iii) with respect to each standby Letter of Credit, at the rate per annum specified in the Fee Letter, computed on the Dollar Equivalent of the daily amount available to be drawn under such Letter of Credit and on a quarterly basis in arrears. Such fronting fee for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w:t>
      </w:r>
      <w:r>
        <w:rPr>
          <w:rFonts w:ascii="Arial" w:cs="Arial" w:eastAsia="Arial" w:hAnsi="Arial"/>
          <w:sz w:val="18"/>
          <w:szCs w:val="18"/>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6" w:right="239" w:bottom="1440" w:gutter="0" w:footer="0" w:header="0"/>
        </w:sectPr>
      </w:pPr>
    </w:p>
    <w:bookmarkStart w:id="50" w:name="page51"/>
    <w:bookmarkEnd w:id="50"/>
    <w:p>
      <w:pPr>
        <w:spacing w:after="0" w:line="260" w:lineRule="auto"/>
        <w:rPr>
          <w:sz w:val="20"/>
          <w:szCs w:val="20"/>
          <w:color w:val="auto"/>
        </w:rPr>
      </w:pPr>
      <w:r>
        <w:rPr>
          <w:rFonts w:ascii="Arial" w:cs="Arial" w:eastAsia="Arial" w:hAnsi="Arial"/>
          <w:sz w:val="20"/>
          <w:szCs w:val="20"/>
          <w:color w:val="auto"/>
        </w:rPr>
        <w:t>in effect, in Dollars or such Alternative Currency as shall be separately agreed. Such customary fees and standard costs and charges are due and payable promptly on demand and are nonrefundable.</w:t>
      </w:r>
    </w:p>
    <w:p>
      <w:pPr>
        <w:spacing w:after="0" w:line="177" w:lineRule="exact"/>
        <w:rPr>
          <w:sz w:val="20"/>
          <w:szCs w:val="20"/>
          <w:color w:val="auto"/>
        </w:rPr>
      </w:pPr>
    </w:p>
    <w:p>
      <w:pPr>
        <w:ind w:firstLine="656"/>
        <w:spacing w:after="0" w:line="260" w:lineRule="auto"/>
        <w:tabs>
          <w:tab w:leader="none" w:pos="1042"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08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Borrowers shall be obligated to reimburse the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6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Swing Line Facility</w:t>
      </w:r>
      <w:r>
        <w:rPr>
          <w:rFonts w:ascii="Arial" w:cs="Arial" w:eastAsia="Arial" w:hAnsi="Arial"/>
          <w:sz w:val="18"/>
          <w:szCs w:val="18"/>
          <w:color w:val="auto"/>
        </w:rPr>
        <w:t xml:space="preserve">. Subject to the terms and conditions set forth herein, the Swing 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shall make loans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to the Domestic Borrowers in Dollars from time to time on any Business Day during the Availability Period in an aggregate amount not to exceed at any time outstanding the amount of the Swing Line Sublimit, notwithstanding the fact that such Swing Line Loans, when aggregated with the Pro Rata Share of the Outstanding Amount of Revolving Loans and L/C Obligations of the Swing Line Lender in its capacity as a Lender of Revolving Loans, may exceed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after giving effect to any Swing Line Loan, (A) the Total Revolving Outstandings shall not exceed the Aggregate Revolving Commitments and (B) the aggregate Outstanding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Swing Line Loans shall not exceed such Lender’s Revolving Commitment, (ii) no Borrower shall use the proceeds of any Swing Line Loan to refinance any outstanding Swing Line Loan and (iii) the Swing Line Lender shall not be under any obligation to make any Swing Line Loan if it shall reasonably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Swing Line Loan.</w:t>
      </w:r>
    </w:p>
    <w:p>
      <w:pPr>
        <w:spacing w:after="0" w:line="177" w:lineRule="exact"/>
        <w:rPr>
          <w:rFonts w:ascii="Arial" w:cs="Arial" w:eastAsia="Arial" w:hAnsi="Arial"/>
          <w:sz w:val="18"/>
          <w:szCs w:val="18"/>
          <w:color w:val="auto"/>
        </w:rPr>
      </w:pPr>
    </w:p>
    <w:p>
      <w:pPr>
        <w:jc w:val="both"/>
        <w:ind w:firstLine="656"/>
        <w:spacing w:after="0" w:line="272" w:lineRule="auto"/>
        <w:tabs>
          <w:tab w:leader="none" w:pos="107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Borrowing of Swing Line Loans shall be made upon the applicable Borrower’s irrevocable notice to the Swing Line Lender and the Administrative Agent, which may be given by (A) telephone or (B) by a Swing 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6" w:right="23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19"/>
          <w:szCs w:val="19"/>
          <w:color w:val="auto"/>
        </w:rPr>
        <w:t xml:space="preserve">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81" w:lineRule="exact"/>
        <w:rPr>
          <w:sz w:val="20"/>
          <w:szCs w:val="20"/>
          <w:color w:val="auto"/>
        </w:rPr>
      </w:pPr>
    </w:p>
    <w:p>
      <w:pPr>
        <w:ind w:left="1060" w:hanging="404"/>
        <w:spacing w:after="0"/>
        <w:tabs>
          <w:tab w:leader="none" w:pos="10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4" w:lineRule="auto"/>
        <w:tabs>
          <w:tab w:leader="none" w:pos="1743"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and absolute discretion may request, on behalf of the Borrowers (which hereby irrevocably request and authorize the Swing Line Lender to so request on their behalf), that each Lender make a Revolving Loan that is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The Swing Line Lender shall furnish the applicable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Lender that so makes funds available shall be deemed to have made a Revolving Loan that is a Base Rate Loan to the applicable Borrower in such amount. The Administrative Agent shall remit the funds so received to the Swing Line Lender.</w:t>
      </w:r>
    </w:p>
    <w:p>
      <w:pPr>
        <w:spacing w:after="0" w:line="193" w:lineRule="exact"/>
        <w:rPr>
          <w:rFonts w:ascii="Arial" w:cs="Arial" w:eastAsia="Arial" w:hAnsi="Arial"/>
          <w:sz w:val="19"/>
          <w:szCs w:val="19"/>
          <w:color w:val="auto"/>
        </w:rPr>
      </w:pPr>
    </w:p>
    <w:p>
      <w:pPr>
        <w:jc w:val="both"/>
        <w:ind w:left="660" w:firstLine="645"/>
        <w:spacing w:after="0" w:line="260" w:lineRule="auto"/>
        <w:tabs>
          <w:tab w:leader="none" w:pos="1730"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Borrowing of Revolving Loans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80" w:lineRule="exact"/>
        <w:rPr>
          <w:rFonts w:ascii="Arial" w:cs="Arial" w:eastAsia="Arial" w:hAnsi="Arial"/>
          <w:sz w:val="19"/>
          <w:szCs w:val="19"/>
          <w:color w:val="auto"/>
        </w:rPr>
      </w:pPr>
    </w:p>
    <w:p>
      <w:pPr>
        <w:jc w:val="both"/>
        <w:ind w:left="660" w:firstLine="645"/>
        <w:spacing w:after="0" w:line="275" w:lineRule="auto"/>
        <w:tabs>
          <w:tab w:leader="none" w:pos="18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w:t>
      </w:r>
    </w:p>
    <w:p>
      <w:pPr>
        <w:jc w:val="both"/>
        <w:ind w:left="660"/>
        <w:spacing w:after="0" w:line="266" w:lineRule="auto"/>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w:t>
      </w:r>
    </w:p>
    <w:p>
      <w:pPr>
        <w:spacing w:after="0" w:line="1" w:lineRule="exact"/>
        <w:rPr>
          <w:rFonts w:ascii="Arial" w:cs="Arial" w:eastAsia="Arial" w:hAnsi="Arial"/>
          <w:sz w:val="18"/>
          <w:szCs w:val="18"/>
          <w:color w:val="auto"/>
        </w:rPr>
      </w:pPr>
    </w:p>
    <w:p>
      <w:pPr>
        <w:ind w:left="1000" w:hanging="344"/>
        <w:spacing w:after="0"/>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shall be conclusive absent manifest error.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6" w:right="239" w:bottom="1440" w:gutter="0" w:footer="0" w:header="0"/>
        </w:sectPr>
      </w:pPr>
    </w:p>
    <w:bookmarkStart w:id="52" w:name="page53"/>
    <w:bookmarkEnd w:id="52"/>
    <w:p>
      <w:pPr>
        <w:jc w:val="both"/>
        <w:ind w:left="660" w:firstLine="645"/>
        <w:spacing w:after="0" w:line="257" w:lineRule="auto"/>
        <w:tabs>
          <w:tab w:leader="none" w:pos="1855"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Each Lender’s obligation to make Revolving Loans or to purchase and fund risk participations in Swing 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Lender’s obligation to make Revolving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the delivery by the applicable Borrower of a Loan Notice). No such purchase or funding of risk participations shall relieve or otherwise impair the obligation of the Borrowers to repay Swing Line Loans, together with interest as provided herein.</w:t>
      </w:r>
    </w:p>
    <w:p>
      <w:pPr>
        <w:spacing w:after="0" w:line="181" w:lineRule="exact"/>
        <w:rPr>
          <w:rFonts w:ascii="Arial" w:cs="Arial" w:eastAsia="Arial" w:hAnsi="Arial"/>
          <w:sz w:val="19"/>
          <w:szCs w:val="19"/>
          <w:color w:val="auto"/>
        </w:rPr>
      </w:pPr>
    </w:p>
    <w:p>
      <w:pPr>
        <w:ind w:left="1060" w:hanging="404"/>
        <w:spacing w:after="0"/>
        <w:tabs>
          <w:tab w:leader="none" w:pos="106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63" w:lineRule="auto"/>
        <w:tabs>
          <w:tab w:leader="none" w:pos="1756" w:val="left"/>
        </w:tabs>
        <w:numPr>
          <w:ilvl w:val="1"/>
          <w:numId w:val="47"/>
        </w:numPr>
        <w:rPr>
          <w:rFonts w:ascii="Arial" w:cs="Arial" w:eastAsia="Arial" w:hAnsi="Arial"/>
          <w:sz w:val="19"/>
          <w:szCs w:val="19"/>
          <w:color w:val="auto"/>
        </w:rPr>
      </w:pPr>
      <w:r>
        <w:rPr>
          <w:rFonts w:ascii="Arial" w:cs="Arial" w:eastAsia="Arial" w:hAnsi="Arial"/>
          <w:sz w:val="19"/>
          <w:szCs w:val="19"/>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6" w:lineRule="exact"/>
        <w:rPr>
          <w:rFonts w:ascii="Arial" w:cs="Arial" w:eastAsia="Arial" w:hAnsi="Arial"/>
          <w:sz w:val="19"/>
          <w:szCs w:val="19"/>
          <w:color w:val="auto"/>
        </w:rPr>
      </w:pPr>
    </w:p>
    <w:p>
      <w:pPr>
        <w:jc w:val="both"/>
        <w:ind w:left="660" w:firstLine="645"/>
        <w:spacing w:after="0" w:line="243" w:lineRule="auto"/>
        <w:tabs>
          <w:tab w:leader="none" w:pos="1743"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0"/>
          <w:szCs w:val="20"/>
          <w:u w:val="single" w:color="auto"/>
          <w:color w:val="auto"/>
        </w:rPr>
        <w:t>Section 11.05</w:t>
      </w:r>
      <w:r>
        <w:rPr>
          <w:rFonts w:ascii="Arial" w:cs="Arial" w:eastAsia="Arial" w:hAnsi="Arial"/>
          <w:sz w:val="20"/>
          <w:szCs w:val="20"/>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93" w:lineRule="exact"/>
        <w:rPr>
          <w:rFonts w:ascii="Arial" w:cs="Arial" w:eastAsia="Arial" w:hAnsi="Arial"/>
          <w:sz w:val="20"/>
          <w:szCs w:val="20"/>
          <w:color w:val="auto"/>
        </w:rPr>
      </w:pPr>
    </w:p>
    <w:p>
      <w:pPr>
        <w:jc w:val="both"/>
        <w:ind w:firstLine="656"/>
        <w:spacing w:after="0" w:line="246" w:lineRule="auto"/>
        <w:tabs>
          <w:tab w:leader="none" w:pos="107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Borrowers for interest on the Swing Line Loans. Until each Lender funds its Revolving Loans that are Base Rate Loans or risk participation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2.04</w:t>
      </w:r>
      <w:r>
        <w:rPr>
          <w:rFonts w:ascii="Arial" w:cs="Arial" w:eastAsia="Arial" w:hAnsi="Arial"/>
          <w:sz w:val="20"/>
          <w:szCs w:val="20"/>
          <w:color w:val="auto"/>
        </w:rPr>
        <w:t xml:space="preserve"> to refinance such Lender’s Pro Rata Share of any Swing Line Loan, interest in respect of such Pro Rata Share shall be solely for the account of the Swing Line Lender.</w:t>
      </w:r>
    </w:p>
    <w:p>
      <w:pPr>
        <w:spacing w:after="0" w:line="191" w:lineRule="exact"/>
        <w:rPr>
          <w:rFonts w:ascii="Arial" w:cs="Arial" w:eastAsia="Arial" w:hAnsi="Arial"/>
          <w:sz w:val="20"/>
          <w:szCs w:val="20"/>
          <w:color w:val="auto"/>
        </w:rPr>
      </w:pPr>
    </w:p>
    <w:p>
      <w:pPr>
        <w:ind w:right="20" w:firstLine="656"/>
        <w:spacing w:after="0" w:line="260" w:lineRule="auto"/>
        <w:tabs>
          <w:tab w:leader="none" w:pos="102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Voluntary Prepayments of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43"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A Borrower may, upon notice from such Borrower to the Administrative Agent, at any time or from time to time voluntarily prepay Revolving Loans in whole or in part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such notice must be in a form reasonably acceptable to the Administrative Agent and be received by the Administrative Agent not later than 11:00 a.m. (1) three Business Days prior to any date of prepayment of Eurocurrency Rate Loans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2" w:right="239" w:bottom="1440" w:gutter="0" w:footer="0" w:header="0"/>
        </w:sectPr>
      </w:pPr>
    </w:p>
    <w:bookmarkStart w:id="53" w:name="page54"/>
    <w:bookmarkEnd w:id="53"/>
    <w:p>
      <w:pPr>
        <w:jc w:val="both"/>
        <w:ind w:left="4"/>
        <w:spacing w:after="0" w:line="269" w:lineRule="auto"/>
        <w:rPr>
          <w:sz w:val="20"/>
          <w:szCs w:val="20"/>
          <w:color w:val="auto"/>
        </w:rPr>
      </w:pPr>
      <w:r>
        <w:rPr>
          <w:rFonts w:ascii="Arial" w:cs="Arial" w:eastAsia="Arial" w:hAnsi="Arial"/>
          <w:sz w:val="18"/>
          <w:szCs w:val="18"/>
          <w:color w:val="auto"/>
        </w:rPr>
        <w:t xml:space="preserve">denominated in Dollars, (2) four Business Days (or five, in the case of prepayment of Loans denominated in Special Notice Currencies) prior to any date of prepayment of Eurocurrency Rate Loans denominated in Alternative Currencies, and (3) on the date of prepayment of Base Rate Loans; (B) any such prepayment of Eurocurrency Rate Loans denominated in Dollars shall be in a principal amount of $1,000,000 or a whole multiple of $500,000 in excess thereof (or, if less, the entire principal amount thereof then outstanding); (C) any prepayment of Eurocurrency Rate Loans denominated in Alternative Currencies shall be in a principal amount of $1,000,000 or a whole multiple of $500,000 in excess thereof (or, if less, the entire principal amount thereof then outstanding) and (D)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Loans upon the consummation of replacement financing. Any prepayment of a Eurocurrency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each such prepayment shall be applied to the Loans of the Lenders in accordance with their respective Pro Rata Shares.</w:t>
      </w:r>
    </w:p>
    <w:p>
      <w:pPr>
        <w:spacing w:after="0" w:line="178" w:lineRule="exact"/>
        <w:rPr>
          <w:sz w:val="20"/>
          <w:szCs w:val="20"/>
          <w:color w:val="auto"/>
        </w:rPr>
      </w:pPr>
    </w:p>
    <w:p>
      <w:pPr>
        <w:jc w:val="both"/>
        <w:ind w:left="4" w:firstLine="645"/>
        <w:spacing w:after="0" w:line="273" w:lineRule="auto"/>
        <w:tabs>
          <w:tab w:leader="none" w:pos="108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A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Swing Line Loans upon the consummation of replacement financing.</w:t>
      </w:r>
    </w:p>
    <w:p>
      <w:pPr>
        <w:spacing w:after="0" w:line="169" w:lineRule="exact"/>
        <w:rPr>
          <w:rFonts w:ascii="Arial" w:cs="Arial" w:eastAsia="Arial" w:hAnsi="Arial"/>
          <w:sz w:val="18"/>
          <w:szCs w:val="18"/>
          <w:color w:val="auto"/>
        </w:rPr>
      </w:pPr>
    </w:p>
    <w:p>
      <w:pPr>
        <w:ind w:left="404" w:hanging="404"/>
        <w:spacing w:after="0"/>
        <w:tabs>
          <w:tab w:leader="none" w:pos="404"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Mandatory Prepayments of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4" w:firstLine="645"/>
        <w:spacing w:after="0" w:line="258" w:lineRule="auto"/>
        <w:tabs>
          <w:tab w:leader="none" w:pos="1100"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Total Revolving Outstandings</w:t>
      </w:r>
      <w:r>
        <w:rPr>
          <w:rFonts w:ascii="Arial" w:cs="Arial" w:eastAsia="Arial" w:hAnsi="Arial"/>
          <w:sz w:val="19"/>
          <w:szCs w:val="19"/>
          <w:color w:val="auto"/>
        </w:rPr>
        <w:t xml:space="preserve">. If the Administrative Agent notifies the Company at any time that the Total Revolving Outstandings at such time exceed the Aggregate Revolving Commitments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Aggregate Revolving Commitments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Borrowers shall not be required to Cash Collateralize the L/C Obligations pursuant to this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unless after such prepayment of the Loans the Total Revolving Outstandings exceed the Aggregate Revolving Commitments then in effect.</w:t>
      </w:r>
    </w:p>
    <w:p>
      <w:pPr>
        <w:spacing w:after="0" w:line="179" w:lineRule="exact"/>
        <w:rPr>
          <w:sz w:val="20"/>
          <w:szCs w:val="20"/>
          <w:color w:val="auto"/>
        </w:rPr>
      </w:pPr>
    </w:p>
    <w:p>
      <w:pPr>
        <w:jc w:val="both"/>
        <w:ind w:left="4" w:firstLine="645"/>
        <w:spacing w:after="0" w:line="250" w:lineRule="auto"/>
        <w:tabs>
          <w:tab w:leader="none" w:pos="120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Alternative Currency Sublimit</w:t>
      </w:r>
      <w:r>
        <w:rPr>
          <w:rFonts w:ascii="Arial" w:cs="Arial" w:eastAsia="Arial" w:hAnsi="Arial"/>
          <w:sz w:val="20"/>
          <w:szCs w:val="20"/>
          <w:color w:val="auto"/>
        </w:rPr>
        <w:t>. If the Administrative Agent notifies the Company at any time that the Outstanding Amount of all Loans and L/C Obligations denominated in Alternative Currencies at such time exceeds the Alternative Currency Sublimit then in effect, then, within two</w:t>
      </w:r>
    </w:p>
    <w:p>
      <w:pPr>
        <w:spacing w:after="0" w:line="21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64"/>
          </w:cols>
          <w:pgMar w:left="896" w:top="366" w:right="239" w:bottom="1440" w:gutter="0" w:footer="0" w:header="0"/>
        </w:sectPr>
      </w:pPr>
    </w:p>
    <w:bookmarkStart w:id="54" w:name="page55"/>
    <w:bookmarkEnd w:id="54"/>
    <w:p>
      <w:pPr>
        <w:jc w:val="both"/>
        <w:ind w:left="660"/>
        <w:spacing w:after="0" w:line="260" w:lineRule="auto"/>
        <w:rPr>
          <w:sz w:val="20"/>
          <w:szCs w:val="20"/>
          <w:color w:val="auto"/>
        </w:rPr>
      </w:pPr>
      <w:r>
        <w:rPr>
          <w:rFonts w:ascii="Arial" w:cs="Arial" w:eastAsia="Arial" w:hAnsi="Arial"/>
          <w:sz w:val="19"/>
          <w:szCs w:val="19"/>
          <w:color w:val="auto"/>
        </w:rPr>
        <w:t xml:space="preserve">Business Days after receipt of such notice, the Borrowers shall prepay Loans and/or the Borrowers shall Cash Collateralize the L/C Obligations in an aggregate amount sufficient to reduce such Outstanding Amount as of such date of payment to an amount not to exceed 100% of the Alternative Currency Sublimit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Borrowers shall not be required to Cash Collateralize the L/C Obligations pursuant to this </w:t>
      </w:r>
      <w:r>
        <w:rPr>
          <w:rFonts w:ascii="Arial" w:cs="Arial" w:eastAsia="Arial" w:hAnsi="Arial"/>
          <w:sz w:val="19"/>
          <w:szCs w:val="19"/>
          <w:u w:val="single" w:color="auto"/>
          <w:color w:val="auto"/>
        </w:rPr>
        <w:t>Section 2.05(b)(ii)</w:t>
      </w:r>
      <w:r>
        <w:rPr>
          <w:rFonts w:ascii="Arial" w:cs="Arial" w:eastAsia="Arial" w:hAnsi="Arial"/>
          <w:sz w:val="19"/>
          <w:szCs w:val="19"/>
          <w:color w:val="auto"/>
        </w:rPr>
        <w:t xml:space="preserve"> unless after such prepayment of the Loans the Total Revolving Outstandings denominated in Alternative Currencies exceed the Alternative Currency Sublimit then in effect.</w:t>
      </w:r>
    </w:p>
    <w:p>
      <w:pPr>
        <w:spacing w:after="0" w:line="181" w:lineRule="exact"/>
        <w:rPr>
          <w:sz w:val="20"/>
          <w:szCs w:val="20"/>
          <w:color w:val="auto"/>
        </w:rPr>
      </w:pPr>
    </w:p>
    <w:p>
      <w:pPr>
        <w:ind w:left="1780" w:hanging="475"/>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xml:space="preserve">. All amounts required to be paid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applied</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199" w:lineRule="exact"/>
        <w:rPr>
          <w:rFonts w:ascii="Arial" w:cs="Arial" w:eastAsia="Arial" w:hAnsi="Arial"/>
          <w:sz w:val="18"/>
          <w:szCs w:val="18"/>
          <w:color w:val="auto"/>
        </w:rPr>
      </w:pPr>
    </w:p>
    <w:p>
      <w:pPr>
        <w:ind w:left="1300" w:firstLine="653"/>
        <w:spacing w:after="0" w:line="316" w:lineRule="auto"/>
        <w:tabs>
          <w:tab w:leader="none" w:pos="2403"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to Revolving Loans and Swing Line Loans and (after all Revolving Loans and all Swing Line Loans have been repaid) to Cash Collateralize L/C Obligations and</w:t>
      </w:r>
    </w:p>
    <w:p>
      <w:pPr>
        <w:spacing w:after="0" w:line="130" w:lineRule="exact"/>
        <w:rPr>
          <w:rFonts w:ascii="Arial" w:cs="Arial" w:eastAsia="Arial" w:hAnsi="Arial"/>
          <w:sz w:val="18"/>
          <w:szCs w:val="18"/>
          <w:color w:val="auto"/>
        </w:rPr>
      </w:pPr>
    </w:p>
    <w:p>
      <w:pPr>
        <w:ind w:left="1300" w:firstLine="653"/>
        <w:spacing w:after="0" w:line="260" w:lineRule="auto"/>
        <w:tabs>
          <w:tab w:leader="none" w:pos="2432"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with respect to all amounts prepaid pursuant to </w:t>
      </w:r>
      <w:r>
        <w:rPr>
          <w:rFonts w:ascii="Arial" w:cs="Arial" w:eastAsia="Arial" w:hAnsi="Arial"/>
          <w:sz w:val="20"/>
          <w:szCs w:val="20"/>
          <w:u w:val="single" w:color="auto"/>
          <w:color w:val="auto"/>
        </w:rPr>
        <w:t>Section 2.05(b)(ii)</w:t>
      </w:r>
      <w:r>
        <w:rPr>
          <w:rFonts w:ascii="Arial" w:cs="Arial" w:eastAsia="Arial" w:hAnsi="Arial"/>
          <w:sz w:val="20"/>
          <w:szCs w:val="20"/>
          <w:color w:val="auto"/>
        </w:rPr>
        <w:t>, to Revolving Loans and (after all Revolving Loans have been repaid) to Cash Collateralize L/C Obligations.</w:t>
      </w:r>
    </w:p>
    <w:p>
      <w:pPr>
        <w:spacing w:after="0" w:line="177"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0"/>
          <w:szCs w:val="20"/>
          <w:color w:val="auto"/>
        </w:rPr>
        <w:t xml:space="preserve">Within the parameters of the applications set forth above, prepayments shall be applied first to Base Rate Loans and then to Eurocurrency Rate Loans in direct order of Interest Period maturities. All prepayments under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but otherwise without premium or penalty, and shall be accompanied by interest on the principal amount prepaid through the date of prepayment.</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u w:val="single" w:color="auto"/>
          <w:color w:val="auto"/>
        </w:rPr>
        <w:t>Termination or Reduction of Aggregate Revolving Commitments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(it being understood that such termination may be conditioned upon the consummation of replacement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12:00 noon five (5) Business Days prior to the date of termination or reduction, (ii) any such partial reduction shall be in an aggregate amount of $2,000,000 or any whole multiple of $1,000,000 in excess thereof and (iii) if, after giving effect to any reduction or termination of the Aggregate Revolving Commitments, the Alternative Currency Sublimit, the Letter of Credit Sublimit or the Swing Line Sublimit exceeds the amount of the Aggregate Revolving Commitments, such sublimit shall be automatically reduced by the amount of such excess (which sublimits shall, subject to the approval (not to be unreasonably withheld or delayed) of the L/C Issuer or Swing Line Lender, as applicable, be increased in the event of any increase in the Aggregate Revolving Commitment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in an amount not to exceed the lesser of (i) the initial amounts of such sublimits as in effect on the Closing Date and (ii) the amount of such increase in the Aggregate Revolving Commitment). The Administrative Agent will promptly notify the Lenders of any such notice of termination or reduction of the Aggregate Revolving Commitments. The amount of any such Aggregate Revolving Commitment reduction shall not be applied to the Alternative Currency Sublimit or the Letter of Credit Sublimit unless otherwise specified by the Company. Any reduction of the Aggregate Revolving Commitments shall be applied to the Revolving Commitment of each Lender according to its Pro Rata Share. All fees accrued with respect thereto until the effective date of any termination of the Aggregate Revolving Commitments shall be paid on the effective date of such termination. If the Aggregate Revolving Commitments terminate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the Borrowers have paid all amounts payable hereunder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6" w:right="239" w:bottom="1440" w:gutter="0" w:footer="0" w:header="0"/>
        </w:sectPr>
      </w:pPr>
    </w:p>
    <w:bookmarkStart w:id="55" w:name="page56"/>
    <w:bookmarkEnd w:id="55"/>
    <w:p>
      <w:pPr>
        <w:spacing w:after="0" w:line="260" w:lineRule="auto"/>
        <w:rPr>
          <w:sz w:val="20"/>
          <w:szCs w:val="20"/>
          <w:color w:val="auto"/>
        </w:rPr>
      </w:pPr>
      <w:r>
        <w:rPr>
          <w:rFonts w:ascii="Arial" w:cs="Arial" w:eastAsia="Arial" w:hAnsi="Arial"/>
          <w:sz w:val="20"/>
          <w:szCs w:val="20"/>
          <w:color w:val="auto"/>
        </w:rPr>
        <w:t>and under the other Loan Documents (other than contingent indemnification and similar obligations not yet due and obligations that are Cash Collateralized), then this Agreement shall terminate (except for provisions hereof that survive termination hereof).</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16" w:lineRule="exact"/>
        <w:rPr>
          <w:sz w:val="20"/>
          <w:szCs w:val="20"/>
          <w:color w:val="auto"/>
        </w:rPr>
      </w:pPr>
    </w:p>
    <w:p>
      <w:pPr>
        <w:ind w:firstLine="656"/>
        <w:spacing w:after="0" w:line="260" w:lineRule="auto"/>
        <w:tabs>
          <w:tab w:leader="none" w:pos="1048"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Borrowers shall repay to the Lenders on the Maturity Date the aggregate principal amount of all Revolving Loans outstanding on such date.</w:t>
      </w:r>
    </w:p>
    <w:p>
      <w:pPr>
        <w:spacing w:after="0" w:line="176" w:lineRule="exact"/>
        <w:rPr>
          <w:rFonts w:ascii="Arial" w:cs="Arial" w:eastAsia="Arial" w:hAnsi="Arial"/>
          <w:sz w:val="20"/>
          <w:szCs w:val="20"/>
          <w:color w:val="auto"/>
        </w:rPr>
      </w:pPr>
    </w:p>
    <w:p>
      <w:pPr>
        <w:ind w:firstLine="656"/>
        <w:spacing w:after="0" w:line="260" w:lineRule="auto"/>
        <w:tabs>
          <w:tab w:leader="none" w:pos="105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The Borrowers shall repay each Swing Line Loan on the earlier to occur of (i) the date ten Business Days after such Swing Line Loan is made and (ii) the Maturity Date.</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3" w:lineRule="auto"/>
        <w:tabs>
          <w:tab w:leader="none" w:pos="1061"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Subject to the provisions of subsection (b) below, (i) each Eurocurrency Rate Loan shall bear interest on the outstanding principal amount thereof for each Interest Period at a rate per annum equal to the sum of the Eurocurrency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(ii) each Base Rate Loan shall bear interest on the outstanding principal amount thereof from the applicable borrowing date at a rate per annum equal to the sum of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Applicable Rate; and (iii) each Swing Line Loan shall bear interest on the outstanding principal amount thereof from the applicable borrowing date at a rate per annum equal to the sum of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Applicable Rate.</w:t>
      </w:r>
    </w:p>
    <w:p>
      <w:pPr>
        <w:spacing w:after="0" w:line="196" w:lineRule="exact"/>
        <w:rPr>
          <w:rFonts w:ascii="Arial" w:cs="Arial" w:eastAsia="Arial" w:hAnsi="Arial"/>
          <w:sz w:val="20"/>
          <w:szCs w:val="20"/>
          <w:color w:val="auto"/>
        </w:rPr>
      </w:pPr>
    </w:p>
    <w:p>
      <w:pPr>
        <w:jc w:val="both"/>
        <w:ind w:left="660" w:hanging="4"/>
        <w:spacing w:after="0" w:line="250" w:lineRule="auto"/>
        <w:tabs>
          <w:tab w:leader="none" w:pos="1098"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If any amount of principal of any Loan is not paid when due, whether at stated maturity, by acceleration or otherwise, then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757" w:val="left"/>
        </w:tabs>
        <w:numPr>
          <w:ilvl w:val="1"/>
          <w:numId w:val="54"/>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the Borrowers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91" w:lineRule="exact"/>
        <w:rPr>
          <w:rFonts w:ascii="Arial" w:cs="Arial" w:eastAsia="Arial" w:hAnsi="Arial"/>
          <w:sz w:val="20"/>
          <w:szCs w:val="20"/>
          <w:color w:val="auto"/>
        </w:rPr>
      </w:pPr>
    </w:p>
    <w:p>
      <w:pPr>
        <w:jc w:val="both"/>
        <w:ind w:left="660" w:firstLine="645"/>
        <w:spacing w:after="0" w:line="269" w:lineRule="auto"/>
        <w:tabs>
          <w:tab w:leader="none" w:pos="1799" w:val="left"/>
        </w:tabs>
        <w:numPr>
          <w:ilvl w:val="1"/>
          <w:numId w:val="54"/>
        </w:numPr>
        <w:rPr>
          <w:rFonts w:ascii="Arial" w:cs="Arial" w:eastAsia="Arial" w:hAnsi="Arial"/>
          <w:sz w:val="19"/>
          <w:szCs w:val="19"/>
          <w:color w:val="auto"/>
        </w:rPr>
      </w:pPr>
      <w:r>
        <w:rPr>
          <w:rFonts w:ascii="Arial" w:cs="Arial" w:eastAsia="Arial" w:hAnsi="Arial"/>
          <w:sz w:val="19"/>
          <w:szCs w:val="19"/>
          <w:color w:val="auto"/>
        </w:rPr>
        <w:t>Upon the request of the Required Lenders, while any Event of Default exists (other than as set forth in clauses (b)(i) and (b)(ii) above), the Borrowers shall pay interest on the principal amount of all outstanding Obligations hereunder at a fluctuating interest rate per annum at all times equal to the Default Rate to the fullest extent permitted by applicable Laws.</w:t>
      </w:r>
    </w:p>
    <w:p>
      <w:pPr>
        <w:spacing w:after="0" w:line="170" w:lineRule="exact"/>
        <w:rPr>
          <w:rFonts w:ascii="Arial" w:cs="Arial" w:eastAsia="Arial" w:hAnsi="Arial"/>
          <w:sz w:val="19"/>
          <w:szCs w:val="19"/>
          <w:color w:val="auto"/>
        </w:rPr>
      </w:pPr>
    </w:p>
    <w:p>
      <w:pPr>
        <w:ind w:left="660" w:firstLine="645"/>
        <w:spacing w:after="0" w:line="260" w:lineRule="auto"/>
        <w:tabs>
          <w:tab w:leader="none" w:pos="1801" w:val="left"/>
        </w:tabs>
        <w:numPr>
          <w:ilvl w:val="1"/>
          <w:numId w:val="54"/>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 to the fullest extent permitted by applicable Laws.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48"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addition to certain fees described in subsections (h) and (i)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6" w:right="239" w:bottom="1440" w:gutter="0" w:footer="0" w:header="0"/>
        </w:sectPr>
      </w:pPr>
    </w:p>
    <w:bookmarkStart w:id="56" w:name="page57"/>
    <w:bookmarkEnd w:id="56"/>
    <w:p>
      <w:pPr>
        <w:jc w:val="both"/>
        <w:ind w:left="660" w:firstLine="645"/>
        <w:spacing w:after="0" w:line="255" w:lineRule="auto"/>
        <w:tabs>
          <w:tab w:leader="none" w:pos="1708"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Company shall pay to the Administrative Agent, for the account of each Lender in accordance with its Pro Rata Share, a commitment fee in Dollars equal to the product of (A)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(B) the actual daily amount by which the Aggregate Revolving Commitments exceed the sum of (1) the Outstanding Amount of Revolving Loans and (2) the Outstanding Amount of L/C Obligations,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Such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Such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187" w:lineRule="exact"/>
        <w:rPr>
          <w:rFonts w:ascii="Arial" w:cs="Arial" w:eastAsia="Arial" w:hAnsi="Arial"/>
          <w:sz w:val="19"/>
          <w:szCs w:val="19"/>
          <w:color w:val="auto"/>
        </w:rPr>
      </w:pPr>
    </w:p>
    <w:p>
      <w:pPr>
        <w:ind w:left="1720" w:hanging="415"/>
        <w:spacing w:after="0"/>
        <w:tabs>
          <w:tab w:leader="none" w:pos="172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369"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Company shall pay to MLPFS and the Administrative Agent for their own respective accounts, in Dollars, fees in the amounts and at the times specified in the Fee Letter. Such fees shall be fully earned when paid and shall be non-refundable for any reason whatsoever.</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451"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200" w:lineRule="exact"/>
        <w:rPr>
          <w:sz w:val="20"/>
          <w:szCs w:val="20"/>
          <w:color w:val="auto"/>
        </w:rPr>
      </w:pP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 xml:space="preserve">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demonstrable error.</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0" w:lineRule="auto"/>
        <w:tabs>
          <w:tab w:leader="none" w:pos="1088"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demonstrable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6"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9"/>
          <w:szCs w:val="19"/>
          <w:color w:val="auto"/>
        </w:rPr>
        <w:t xml:space="preserve">Obligations. In the event of any conflict between the accounts and records maintained by any Lender and the accounts and records of the Administrative Agent in respect of such matters, the accounts and records of the Administrative Agent shall control in the absence of demonstrable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9"/>
          <w:szCs w:val="19"/>
          <w:u w:val="single" w:color="auto"/>
          <w:color w:val="auto"/>
        </w:rPr>
        <w:t>Exhibit 2.11</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Note</w:t>
      </w:r>
      <w:r>
        <w:rPr>
          <w:rFonts w:ascii="Arial" w:cs="Arial" w:eastAsia="Arial" w:hAnsi="Arial"/>
          <w:sz w:val="19"/>
          <w:szCs w:val="19"/>
          <w:color w:val="auto"/>
        </w:rPr>
        <w:t>”). Each Lender may attach schedules to its Note and endorse thereon the date, Type (if applicable), amount, currency and maturity of its Loans and payments with respect thereto.</w:t>
      </w:r>
    </w:p>
    <w:p>
      <w:pPr>
        <w:spacing w:after="0" w:line="179" w:lineRule="exact"/>
        <w:rPr>
          <w:sz w:val="20"/>
          <w:szCs w:val="20"/>
          <w:color w:val="auto"/>
        </w:rPr>
      </w:pPr>
    </w:p>
    <w:p>
      <w:pPr>
        <w:jc w:val="both"/>
        <w:ind w:firstLine="656"/>
        <w:spacing w:after="0" w:line="244" w:lineRule="auto"/>
        <w:tabs>
          <w:tab w:leader="none" w:pos="1086"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demonstrable error.</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08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or any such payment would result in adverse consequences to any Borrower,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2" w:lineRule="exact"/>
        <w:rPr>
          <w:rFonts w:ascii="Arial" w:cs="Arial" w:eastAsia="Arial" w:hAnsi="Arial"/>
          <w:sz w:val="18"/>
          <w:szCs w:val="18"/>
          <w:color w:val="auto"/>
        </w:rPr>
      </w:pPr>
    </w:p>
    <w:p>
      <w:pPr>
        <w:jc w:val="both"/>
        <w:ind w:firstLine="656"/>
        <w:spacing w:after="0" w:line="244" w:lineRule="auto"/>
        <w:tabs>
          <w:tab w:leader="none" w:pos="1059"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(i) </w:t>
      </w:r>
      <w:r>
        <w:rPr>
          <w:rFonts w:ascii="Arial" w:cs="Arial" w:eastAsia="Arial" w:hAnsi="Arial"/>
          <w:sz w:val="20"/>
          <w:szCs w:val="20"/>
          <w:u w:val="single" w:color="auto"/>
          <w:color w:val="auto"/>
        </w:rPr>
        <w:t>Funding by Lenders; Presumption by Administrative Agent</w:t>
      </w:r>
      <w:r>
        <w:rPr>
          <w:rFonts w:ascii="Arial" w:cs="Arial" w:eastAsia="Arial" w:hAnsi="Arial"/>
          <w:sz w:val="20"/>
          <w:szCs w:val="20"/>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2.02</w:t>
      </w:r>
      <w:r>
        <w:rPr>
          <w:rFonts w:ascii="Arial" w:cs="Arial" w:eastAsia="Arial" w:hAnsi="Arial"/>
          <w:sz w:val="20"/>
          <w:szCs w:val="20"/>
          <w:color w:val="auto"/>
        </w:rPr>
        <w:t xml:space="preserve"> (or, in the case of a Borrowing of Base Rate Loans, that such</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6" w:right="239" w:bottom="1440" w:gutter="0" w:footer="0" w:header="0"/>
        </w:sectPr>
      </w:pPr>
    </w:p>
    <w:bookmarkStart w:id="58" w:name="page59"/>
    <w:bookmarkEnd w:id="58"/>
    <w:p>
      <w:pPr>
        <w:jc w:val="both"/>
        <w:spacing w:after="0" w:line="270" w:lineRule="auto"/>
        <w:rPr>
          <w:sz w:val="20"/>
          <w:szCs w:val="20"/>
          <w:color w:val="auto"/>
        </w:rPr>
      </w:pPr>
      <w:r>
        <w:rPr>
          <w:rFonts w:ascii="Arial" w:cs="Arial" w:eastAsia="Arial" w:hAnsi="Arial"/>
          <w:sz w:val="18"/>
          <w:szCs w:val="18"/>
          <w:color w:val="auto"/>
        </w:rPr>
        <w:t xml:space="preserve">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77" w:lineRule="exact"/>
        <w:rPr>
          <w:sz w:val="20"/>
          <w:szCs w:val="20"/>
          <w:color w:val="auto"/>
        </w:rPr>
      </w:pPr>
    </w:p>
    <w:p>
      <w:pPr>
        <w:jc w:val="both"/>
        <w:ind w:left="660" w:firstLine="645"/>
        <w:spacing w:after="0" w:line="273" w:lineRule="auto"/>
        <w:tabs>
          <w:tab w:leader="none" w:pos="1838"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 by Administrative Agent</w:t>
      </w:r>
      <w:r>
        <w:rPr>
          <w:rFonts w:ascii="Arial" w:cs="Arial" w:eastAsia="Arial" w:hAnsi="Arial"/>
          <w:sz w:val="18"/>
          <w:szCs w:val="18"/>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69" w:lineRule="exact"/>
        <w:rPr>
          <w:rFonts w:ascii="Arial" w:cs="Arial" w:eastAsia="Arial" w:hAnsi="Arial"/>
          <w:sz w:val="18"/>
          <w:szCs w:val="18"/>
          <w:color w:val="auto"/>
        </w:rPr>
      </w:pPr>
    </w:p>
    <w:p>
      <w:pPr>
        <w:ind w:left="660" w:firstLine="645"/>
        <w:spacing w:after="0" w:line="260" w:lineRule="auto"/>
        <w:tabs>
          <w:tab w:leader="none" w:pos="1826"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 notice of the Administrative Agent to any Lender or any Borrower with respect to any amount owing under this subsection (b) shall be conclusive, absent demonstrable error.</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04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applicable Borrower by the Administrative Agent because the conditions to the applicable Credit Extension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656"/>
        <w:spacing w:after="0" w:line="260" w:lineRule="auto"/>
        <w:tabs>
          <w:tab w:leader="none" w:pos="11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Swing Line Loans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6" w:right="239" w:bottom="1440" w:gutter="0" w:footer="0" w:header="0"/>
        </w:sectPr>
      </w:pPr>
    </w:p>
    <w:bookmarkStart w:id="59" w:name="page60"/>
    <w:bookmarkEnd w:id="59"/>
    <w:p>
      <w:pPr>
        <w:ind w:right="40" w:firstLine="8"/>
        <w:spacing w:after="0" w:line="386" w:lineRule="auto"/>
        <w:tabs>
          <w:tab w:leader="none" w:pos="40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Lender receiving such greater proportion shall (a) notify the Administrative Agent of such fact, and</w:t>
      </w:r>
    </w:p>
    <w:p>
      <w:pPr>
        <w:spacing w:after="0" w:line="2" w:lineRule="exact"/>
        <w:rPr>
          <w:sz w:val="20"/>
          <w:szCs w:val="20"/>
          <w:color w:val="auto"/>
        </w:rPr>
      </w:pPr>
    </w:p>
    <w:p>
      <w:pPr>
        <w:jc w:val="both"/>
        <w:ind w:firstLine="8"/>
        <w:spacing w:after="0" w:line="241" w:lineRule="auto"/>
        <w:tabs>
          <w:tab w:leader="none" w:pos="296"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4" w:lineRule="exact"/>
        <w:rPr>
          <w:rFonts w:ascii="Arial" w:cs="Arial" w:eastAsia="Arial" w:hAnsi="Arial"/>
          <w:sz w:val="20"/>
          <w:szCs w:val="20"/>
          <w:color w:val="auto"/>
        </w:rPr>
      </w:pPr>
    </w:p>
    <w:p>
      <w:pPr>
        <w:jc w:val="both"/>
        <w:ind w:left="660" w:firstLine="645"/>
        <w:spacing w:after="0" w:line="250" w:lineRule="auto"/>
        <w:tabs>
          <w:tab w:leader="none" w:pos="1729" w:val="left"/>
        </w:tabs>
        <w:numPr>
          <w:ilvl w:val="1"/>
          <w:numId w:val="62"/>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6" w:lineRule="exact"/>
        <w:rPr>
          <w:rFonts w:ascii="Arial" w:cs="Arial" w:eastAsia="Arial" w:hAnsi="Arial"/>
          <w:sz w:val="20"/>
          <w:szCs w:val="20"/>
          <w:color w:val="auto"/>
        </w:rPr>
      </w:pPr>
    </w:p>
    <w:p>
      <w:pPr>
        <w:jc w:val="both"/>
        <w:ind w:left="660" w:firstLine="645"/>
        <w:spacing w:after="0" w:line="243" w:lineRule="auto"/>
        <w:tabs>
          <w:tab w:leader="none" w:pos="1770" w:val="left"/>
        </w:tabs>
        <w:numPr>
          <w:ilvl w:val="1"/>
          <w:numId w:val="62"/>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(A) any payment made by or on behalf of a Loan Party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20"/>
          <w:szCs w:val="20"/>
          <w:u w:val="single" w:color="auto"/>
          <w:color w:val="auto"/>
        </w:rPr>
        <w:t>Section 2.15</w:t>
      </w:r>
      <w:r>
        <w:rPr>
          <w:rFonts w:ascii="Arial" w:cs="Arial" w:eastAsia="Arial" w:hAnsi="Arial"/>
          <w:sz w:val="20"/>
          <w:szCs w:val="20"/>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Designated Borrowers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56"/>
        <w:spacing w:after="0" w:line="250" w:lineRule="auto"/>
        <w:tabs>
          <w:tab w:leader="none" w:pos="1102" w:val="left"/>
        </w:tabs>
        <w:numPr>
          <w:ilvl w:val="0"/>
          <w:numId w:val="63"/>
        </w:numPr>
        <w:rPr>
          <w:rFonts w:ascii="Arial" w:cs="Arial" w:eastAsia="Arial" w:hAnsi="Arial"/>
          <w:sz w:val="20"/>
          <w:szCs w:val="20"/>
          <w:color w:val="auto"/>
        </w:rPr>
      </w:pPr>
      <w:r>
        <w:rPr>
          <w:rFonts w:ascii="Arial" w:cs="Arial" w:eastAsia="Arial" w:hAnsi="Arial"/>
          <w:sz w:val="20"/>
          <w:szCs w:val="20"/>
          <w:color w:val="auto"/>
        </w:rPr>
        <w:t>Effective as of the Closing Date, each of Brady Worldwide, Inc., a Wisconsin corporation (“</w:t>
      </w:r>
      <w:r>
        <w:rPr>
          <w:rFonts w:ascii="Arial" w:cs="Arial" w:eastAsia="Arial" w:hAnsi="Arial"/>
          <w:sz w:val="20"/>
          <w:szCs w:val="20"/>
          <w:u w:val="single" w:color="auto"/>
          <w:color w:val="auto"/>
        </w:rPr>
        <w:t>Worldwide</w:t>
      </w:r>
      <w:r>
        <w:rPr>
          <w:rFonts w:ascii="Arial" w:cs="Arial" w:eastAsia="Arial" w:hAnsi="Arial"/>
          <w:sz w:val="20"/>
          <w:szCs w:val="20"/>
          <w:color w:val="auto"/>
        </w:rPr>
        <w:t>”), Tricor Direct, Inc., a Delaware corporation (“</w:t>
      </w:r>
      <w:r>
        <w:rPr>
          <w:rFonts w:ascii="Arial" w:cs="Arial" w:eastAsia="Arial" w:hAnsi="Arial"/>
          <w:sz w:val="20"/>
          <w:szCs w:val="20"/>
          <w:u w:val="single" w:color="auto"/>
          <w:color w:val="auto"/>
        </w:rPr>
        <w:t>Tricor</w:t>
      </w:r>
      <w:r>
        <w:rPr>
          <w:rFonts w:ascii="Arial" w:cs="Arial" w:eastAsia="Arial" w:hAnsi="Arial"/>
          <w:sz w:val="20"/>
          <w:szCs w:val="20"/>
          <w:color w:val="auto"/>
        </w:rPr>
        <w:t>”), Brady Finance Luxembourg and Brady SARL shall be a “Designated Borrower” hereunder and may receive Loans for its account on the terms and conditions set forth in this Agreement.</w:t>
      </w:r>
    </w:p>
    <w:p>
      <w:pPr>
        <w:spacing w:after="0" w:line="186" w:lineRule="exact"/>
        <w:rPr>
          <w:rFonts w:ascii="Arial" w:cs="Arial" w:eastAsia="Arial" w:hAnsi="Arial"/>
          <w:sz w:val="20"/>
          <w:szCs w:val="20"/>
          <w:color w:val="auto"/>
        </w:rPr>
      </w:pPr>
    </w:p>
    <w:p>
      <w:pPr>
        <w:jc w:val="both"/>
        <w:ind w:firstLine="656"/>
        <w:spacing w:after="0" w:line="243" w:lineRule="auto"/>
        <w:tabs>
          <w:tab w:leader="none" w:pos="942"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Company may at any time, upon not less than 15 Business Days’ notice from the Company to the Administrative Agent (or such shorter period as may be agreed by the Administrative Agent in its sole discretion), request the designation of any Wholly Owned Subsidiary of the Company that is not an Excluded Subsidiary (an “</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as a Designated Borrower to receive Loans and Letters of Credit hereunder by delivering to the Administrative Agent (which shall promptly deliver copies thereof to each Lender) a duly executed notice in substantially the form of </w:t>
      </w:r>
      <w:r>
        <w:rPr>
          <w:rFonts w:ascii="Arial" w:cs="Arial" w:eastAsia="Arial" w:hAnsi="Arial"/>
          <w:sz w:val="20"/>
          <w:szCs w:val="20"/>
          <w:u w:val="single" w:color="auto"/>
          <w:color w:val="auto"/>
        </w:rPr>
        <w:t>Exhibit 2.14(a)</w:t>
      </w:r>
      <w:r>
        <w:rPr>
          <w:rFonts w:ascii="Arial" w:cs="Arial" w:eastAsia="Arial" w:hAnsi="Arial"/>
          <w:sz w:val="20"/>
          <w:szCs w:val="20"/>
          <w:color w:val="auto"/>
        </w:rPr>
        <w:t xml:space="preserve"> (a “</w:t>
      </w:r>
      <w:r>
        <w:rPr>
          <w:rFonts w:ascii="Arial" w:cs="Arial" w:eastAsia="Arial" w:hAnsi="Arial"/>
          <w:sz w:val="20"/>
          <w:szCs w:val="20"/>
          <w:u w:val="single" w:color="auto"/>
          <w:color w:val="auto"/>
        </w:rPr>
        <w:t>Designated Borrower Request</w:t>
      </w:r>
      <w:r>
        <w:rPr>
          <w:rFonts w:ascii="Arial" w:cs="Arial" w:eastAsia="Arial" w:hAnsi="Arial"/>
          <w:sz w:val="20"/>
          <w:szCs w:val="20"/>
          <w:color w:val="auto"/>
        </w:rPr>
        <w:t>”). If (i) in the case of a Foreign Subsidiary, the Administrative Agent and the Lenders, and (ii) in the case of a Domestic Subsidiary, the Administrative Agent and the Required Lenders, agree (which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6" w:right="2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18"/>
          <w:szCs w:val="18"/>
          <w:color w:val="auto"/>
        </w:rPr>
        <w:t xml:space="preserve">agreement shall not be unreasonably withheld or delayed) that an Applicant Borrower shall be entitled to receive Loans hereunder, then the Administrative Agent and the Lenders, or the Required Lenders, as applicable, shall send an agreement in substantially the form of </w:t>
      </w:r>
      <w:r>
        <w:rPr>
          <w:rFonts w:ascii="Arial" w:cs="Arial" w:eastAsia="Arial" w:hAnsi="Arial"/>
          <w:sz w:val="18"/>
          <w:szCs w:val="18"/>
          <w:u w:val="single" w:color="auto"/>
          <w:color w:val="auto"/>
        </w:rPr>
        <w:t>Exhibit 2.14(b)</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Joinder Agreement</w:t>
      </w:r>
      <w:r>
        <w:rPr>
          <w:rFonts w:ascii="Arial" w:cs="Arial" w:eastAsia="Arial" w:hAnsi="Arial"/>
          <w:sz w:val="18"/>
          <w:szCs w:val="18"/>
          <w:color w:val="auto"/>
        </w:rPr>
        <w:t>”) to the Company specifying, if such Applicant Borrower is a Foreign Subsidiary, the additional terms and conditions applicable to extensions of credit to such Applicant Borrower. Upon the execution of such Designated Borrower Joinder Agreement by the Company, such Applicant Borrower and the Administrative Agent and the satisfaction of the conditions applicable to extensions of credit set forth in the Designated Borrower Joinder Agreement, such Applicant Borrower shall be a Designated Borrower and permitted to receive Loans hereunder, on the terms and conditions set forth herein and therein, and such Applicant Borrower otherwise shall be a Borrower for all purposes of this Agreement. The parties hereto acknowledge and agree that prior to any Designated Borrower becoming entitled to utilize the credit facility provided for in this Agreement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w:t>
      </w:r>
    </w:p>
    <w:p>
      <w:pPr>
        <w:spacing w:after="0" w:line="171" w:lineRule="exact"/>
        <w:rPr>
          <w:sz w:val="20"/>
          <w:szCs w:val="20"/>
          <w:color w:val="auto"/>
        </w:rPr>
      </w:pPr>
    </w:p>
    <w:p>
      <w:pPr>
        <w:ind w:firstLine="656"/>
        <w:spacing w:after="0" w:line="260" w:lineRule="auto"/>
        <w:tabs>
          <w:tab w:leader="none" w:pos="958"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Obligations of the Domestic Borrowers shall be joint and several in nature. The Obligations of each of the Designated Borrowers that is a Foreign Subsidiary shall be several in nature.</w:t>
      </w:r>
    </w:p>
    <w:p>
      <w:pPr>
        <w:spacing w:after="0" w:line="176" w:lineRule="exact"/>
        <w:rPr>
          <w:rFonts w:ascii="Arial" w:cs="Arial" w:eastAsia="Arial" w:hAnsi="Arial"/>
          <w:sz w:val="20"/>
          <w:szCs w:val="20"/>
          <w:color w:val="auto"/>
        </w:rPr>
      </w:pPr>
    </w:p>
    <w:p>
      <w:pPr>
        <w:jc w:val="both"/>
        <w:ind w:firstLine="656"/>
        <w:spacing w:after="0" w:line="255" w:lineRule="auto"/>
        <w:tabs>
          <w:tab w:leader="none" w:pos="1149"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Each Subsidiary of the Company that is or becomes a “Designated Borrower”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(notwithstanding anything herein to the contrary, upon request of the Company, any Designated Borrower may receive the proceeds of any Loans made to it by the Lenders).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communication is directed to a specific Designated Borrower, it shall indicate to which Designated Borrower it is directed.</w:t>
      </w:r>
    </w:p>
    <w:p>
      <w:pPr>
        <w:spacing w:after="0" w:line="187" w:lineRule="exact"/>
        <w:rPr>
          <w:rFonts w:ascii="Arial" w:cs="Arial" w:eastAsia="Arial" w:hAnsi="Arial"/>
          <w:sz w:val="19"/>
          <w:szCs w:val="19"/>
          <w:color w:val="auto"/>
        </w:rPr>
      </w:pPr>
    </w:p>
    <w:p>
      <w:pPr>
        <w:ind w:firstLine="8"/>
        <w:spacing w:after="0" w:line="243" w:lineRule="auto"/>
        <w:tabs>
          <w:tab w:leader="none" w:pos="4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The Company is not required to cause any Subsidiary to become a party to this Agreement as a Designated Borrower and no Designated Borrower that is a Foreign Subsidiary shall be required to guarantee the Obligations. 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are no outstanding Loans or L/C Obligations payable by such Designated Borrower, or other amounts payable by such Designated Borrower on account of any Credit Extensions made to it, as of the effective date of such termination. The Administrative Agent will promptly notify the Lenders of any such termination of a Designated Borrower’s status.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0" w:lineRule="auto"/>
        <w:tabs>
          <w:tab w:leader="none" w:pos="106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Certain Credit Support Events</w:t>
      </w:r>
      <w:r>
        <w:rPr>
          <w:rFonts w:ascii="Arial" w:cs="Arial" w:eastAsia="Arial" w:hAnsi="Arial"/>
          <w:sz w:val="20"/>
          <w:szCs w:val="20"/>
          <w:color w:val="auto"/>
        </w:rPr>
        <w:t>. If (i) the L/C Issuer has honored any full or partial drawing request under any Letter of Credit and such drawing has resulted in an L/C Borrowing, (ii) as of the Letter of Credit Expiration Date, any L/C Obligation for any reason remains outstanding, (iii) the applicable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6" w:right="239" w:bottom="1440" w:gutter="0" w:footer="0" w:header="0"/>
        </w:sectPr>
      </w:pPr>
    </w:p>
    <w:bookmarkStart w:id="61" w:name="page62"/>
    <w:bookmarkEnd w:id="61"/>
    <w:p>
      <w:pPr>
        <w:jc w:val="both"/>
        <w:spacing w:after="0" w:line="244" w:lineRule="auto"/>
        <w:rPr>
          <w:sz w:val="20"/>
          <w:szCs w:val="20"/>
          <w:color w:val="auto"/>
        </w:rPr>
      </w:pPr>
      <w:r>
        <w:rPr>
          <w:rFonts w:ascii="Arial" w:cs="Arial" w:eastAsia="Arial" w:hAnsi="Arial"/>
          <w:sz w:val="20"/>
          <w:szCs w:val="20"/>
          <w:color w:val="auto"/>
        </w:rPr>
        <w:t xml:space="preserve">Borrower shall be required to provide Cash Collateral pursuant to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9.02(c)</w:t>
      </w:r>
      <w:r>
        <w:rPr>
          <w:rFonts w:ascii="Arial" w:cs="Arial" w:eastAsia="Arial" w:hAnsi="Arial"/>
          <w:sz w:val="20"/>
          <w:szCs w:val="20"/>
          <w:color w:val="auto"/>
        </w:rPr>
        <w:t xml:space="preserve"> or (iv) there shall exist a Defaulting Lender, the applicable Borrower shall immediately (in the case of clause (iii) above) or within one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and any Cash Collateral provided by the Defaulting Lender).</w:t>
      </w:r>
    </w:p>
    <w:p>
      <w:pPr>
        <w:spacing w:after="0" w:line="195" w:lineRule="exact"/>
        <w:rPr>
          <w:sz w:val="20"/>
          <w:szCs w:val="20"/>
          <w:color w:val="auto"/>
        </w:rPr>
      </w:pPr>
    </w:p>
    <w:p>
      <w:pPr>
        <w:jc w:val="both"/>
        <w:ind w:firstLine="656"/>
        <w:spacing w:after="0" w:line="255" w:lineRule="auto"/>
        <w:tabs>
          <w:tab w:leader="none" w:pos="108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Arial" w:cs="Arial" w:eastAsia="Arial" w:hAnsi="Arial"/>
          <w:sz w:val="19"/>
          <w:szCs w:val="19"/>
          <w:u w:val="single" w:color="auto"/>
          <w:color w:val="auto"/>
        </w:rPr>
        <w:t>Section 7.08(a)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7.08(h)</w:t>
      </w:r>
      <w:r>
        <w:rPr>
          <w:rFonts w:ascii="Arial" w:cs="Arial" w:eastAsia="Arial" w:hAnsi="Arial"/>
          <w:sz w:val="19"/>
          <w:szCs w:val="19"/>
          <w:color w:val="auto"/>
        </w:rPr>
        <w:t>), or that the total amount of such Cash Collateral is less than the Minimum Collateral Amount, the applicable Borrower or the relevant Defaulting Lender will, promptly upon demand by the Administrative Agent (which demand shall include a reasonably detailed accounting of the amount so demanded), pay or provide to the Administrative Agent additional Cash Collateral in an amount sufficient to eliminate such deficiency. All Cash Collateral (other than credit support not constituting funds subject to deposit) shall be maintained in one or more Controlled Accounts at Bank of America. The applicable Borrower or the relevant Defaulting Lender shall pay promptly on demand therefor from time to time all customary account opening, activity and other administrative fees and charges in connection with the maintenance and disbursement of Cash Collateral.</w:t>
      </w:r>
    </w:p>
    <w:p>
      <w:pPr>
        <w:spacing w:after="0" w:line="182" w:lineRule="exact"/>
        <w:rPr>
          <w:rFonts w:ascii="Arial" w:cs="Arial" w:eastAsia="Arial" w:hAnsi="Arial"/>
          <w:sz w:val="19"/>
          <w:szCs w:val="19"/>
          <w:color w:val="auto"/>
        </w:rPr>
      </w:pPr>
    </w:p>
    <w:p>
      <w:pPr>
        <w:jc w:val="both"/>
        <w:ind w:firstLine="656"/>
        <w:spacing w:after="0" w:line="244" w:lineRule="auto"/>
        <w:tabs>
          <w:tab w:leader="none" w:pos="110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9.02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94" w:lineRule="exact"/>
        <w:rPr>
          <w:rFonts w:ascii="Arial" w:cs="Arial" w:eastAsia="Arial" w:hAnsi="Arial"/>
          <w:sz w:val="20"/>
          <w:szCs w:val="20"/>
          <w:color w:val="auto"/>
        </w:rPr>
      </w:pPr>
    </w:p>
    <w:p>
      <w:pPr>
        <w:jc w:val="both"/>
        <w:ind w:firstLine="656"/>
        <w:spacing w:after="0" w:line="273" w:lineRule="auto"/>
        <w:tabs>
          <w:tab w:leader="none" w:pos="108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11.06(b)(vi)</w:t>
      </w:r>
      <w:r>
        <w:rPr>
          <w:rFonts w:ascii="Arial" w:cs="Arial" w:eastAsia="Arial" w:hAnsi="Arial"/>
          <w:sz w:val="18"/>
          <w:szCs w:val="18"/>
          <w:color w:val="auto"/>
        </w:rPr>
        <w:t xml:space="preserve">)) or (ii) the good faith determination by the Administrative Agent and, to the extent the Cash Collateral was provided for the benefit of the L/C Issuer, the L/C Issuer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6" w:right="239" w:bottom="1440" w:gutter="0" w:footer="0" w:header="0"/>
        </w:sectPr>
      </w:pPr>
    </w:p>
    <w:bookmarkStart w:id="62" w:name="page63"/>
    <w:bookmarkEnd w:id="62"/>
    <w:p>
      <w:pPr>
        <w:spacing w:after="0"/>
        <w:tabs>
          <w:tab w:leader="none" w:pos="5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316" w:lineRule="auto"/>
        <w:tabs>
          <w:tab w:leader="none" w:pos="107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130" w:lineRule="exact"/>
        <w:rPr>
          <w:rFonts w:ascii="Arial" w:cs="Arial" w:eastAsia="Arial" w:hAnsi="Arial"/>
          <w:sz w:val="18"/>
          <w:szCs w:val="18"/>
          <w:color w:val="auto"/>
        </w:rPr>
      </w:pPr>
    </w:p>
    <w:p>
      <w:pPr>
        <w:ind w:left="660" w:firstLine="645"/>
        <w:spacing w:after="0" w:line="287" w:lineRule="auto"/>
        <w:tabs>
          <w:tab w:leader="none" w:pos="1729"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left="660" w:firstLine="645"/>
        <w:spacing w:after="0" w:line="268" w:lineRule="auto"/>
        <w:tabs>
          <w:tab w:leader="none" w:pos="1797"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pro rata basis of any amounts owing by such Defaulting Lender to the L/C Issuer or Swing 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74" w:lineRule="exact"/>
        <w:rPr>
          <w:rFonts w:ascii="Arial" w:cs="Arial" w:eastAsia="Arial" w:hAnsi="Arial"/>
          <w:sz w:val="18"/>
          <w:szCs w:val="18"/>
          <w:color w:val="auto"/>
        </w:rPr>
      </w:pPr>
    </w:p>
    <w:p>
      <w:pPr>
        <w:ind w:left="1780" w:hanging="475"/>
        <w:spacing w:after="0"/>
        <w:tabs>
          <w:tab w:leader="none" w:pos="1780"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6" w:right="239" w:bottom="1440" w:gutter="0" w:footer="0" w:header="0"/>
        </w:sectPr>
      </w:pPr>
    </w:p>
    <w:bookmarkStart w:id="63" w:name="page64"/>
    <w:bookmarkEnd w:id="63"/>
    <w:p>
      <w:pPr>
        <w:jc w:val="both"/>
        <w:ind w:left="1300" w:firstLine="653"/>
        <w:spacing w:after="0" w:line="250" w:lineRule="auto"/>
        <w:tabs>
          <w:tab w:leader="none" w:pos="2457"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405"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1300" w:firstLine="653"/>
        <w:spacing w:after="0" w:line="259" w:lineRule="auto"/>
        <w:tabs>
          <w:tab w:leader="none" w:pos="2419"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With respect to any Letter of Credit Fee not required to be paid to any Defaulting Lender pursuant to clause (B)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78" w:lineRule="exact"/>
        <w:rPr>
          <w:rFonts w:ascii="Arial" w:cs="Arial" w:eastAsia="Arial" w:hAnsi="Arial"/>
          <w:sz w:val="19"/>
          <w:szCs w:val="19"/>
          <w:color w:val="auto"/>
        </w:rPr>
      </w:pPr>
    </w:p>
    <w:p>
      <w:pPr>
        <w:jc w:val="both"/>
        <w:ind w:firstLine="656"/>
        <w:spacing w:after="0" w:line="256" w:lineRule="auto"/>
        <w:tabs>
          <w:tab w:leader="none" w:pos="109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Reallocation of Pro Rata Shares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Commitment) but only to the extent that (x)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are satisfied at the time of such reallocation (and, unless the Company shall have otherwise notified the Administrative Agent at such time, the Borrowers shall be deemed to have represented and warranted that such conditions are satisfied at such time), and (y) such reallocation does not cause the portion of the Total Revolving Outstandings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4" w:lineRule="exact"/>
        <w:rPr>
          <w:rFonts w:ascii="Arial" w:cs="Arial" w:eastAsia="Arial" w:hAnsi="Arial"/>
          <w:sz w:val="19"/>
          <w:szCs w:val="19"/>
          <w:color w:val="auto"/>
        </w:rPr>
      </w:pPr>
    </w:p>
    <w:p>
      <w:pPr>
        <w:jc w:val="both"/>
        <w:ind w:firstLine="656"/>
        <w:spacing w:after="0" w:line="246" w:lineRule="auto"/>
        <w:tabs>
          <w:tab w:leader="none" w:pos="104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 Line Loans</w:t>
      </w:r>
      <w:r>
        <w:rPr>
          <w:rFonts w:ascii="Arial" w:cs="Arial" w:eastAsia="Arial" w:hAnsi="Arial"/>
          <w:sz w:val="20"/>
          <w:szCs w:val="20"/>
          <w:color w:val="auto"/>
        </w:rPr>
        <w:t xml:space="preserve">. If the reallocation described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cannot, or can only partially, be effected, the Borrowers shall, without prejudice to any right or remedy available to it hereunder or under applicable Law,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Swing Line Loans in an amount equal to the Swing Line Lenders’ Fronting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Cash Collateralize the L/C Issuers’ Fronting Exposure in accordance with the procedures set forth in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56" w:lineRule="auto"/>
        <w:tabs>
          <w:tab w:leader="none" w:pos="1153"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The Administrative Agent agrees to promptly notify the Company upon the Administrative Agent’s actual knowledge of any Lender becoming a Defaulting Lender and the Administrative Agent’s actual knowledge of the occurrence of any Lender ceasing to be a Defaulting Lender. If the Company,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Pro Rata Shares (without giving effect to </w:t>
      </w:r>
      <w:r>
        <w:rPr>
          <w:rFonts w:ascii="Arial" w:cs="Arial" w:eastAsia="Arial" w:hAnsi="Arial"/>
          <w:sz w:val="19"/>
          <w:szCs w:val="19"/>
          <w:u w:val="single" w:color="auto"/>
          <w:color w:val="auto"/>
        </w:rPr>
        <w:t>Section 2.16(b)</w:t>
      </w:r>
      <w:r>
        <w:rPr>
          <w:rFonts w:ascii="Arial" w:cs="Arial" w:eastAsia="Arial" w:hAnsi="Arial"/>
          <w:sz w:val="19"/>
          <w:szCs w:val="19"/>
          <w:color w:val="auto"/>
        </w:rPr>
        <w:t xml:space="preserve"> as to such Lender), whereupon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6" w:right="2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9"/>
          <w:szCs w:val="19"/>
          <w:color w:val="auto"/>
        </w:rPr>
        <w:t xml:space="preserve">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78" w:lineRule="auto"/>
        <w:tabs>
          <w:tab w:leader="none" w:pos="1792"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165" w:lineRule="exact"/>
        <w:rPr>
          <w:rFonts w:ascii="Arial" w:cs="Arial" w:eastAsia="Arial" w:hAnsi="Arial"/>
          <w:sz w:val="18"/>
          <w:szCs w:val="18"/>
          <w:color w:val="auto"/>
        </w:rPr>
      </w:pPr>
    </w:p>
    <w:p>
      <w:pPr>
        <w:jc w:val="both"/>
        <w:ind w:left="660" w:firstLine="645"/>
        <w:spacing w:after="0" w:line="256" w:lineRule="auto"/>
        <w:tabs>
          <w:tab w:leader="none" w:pos="1757"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4" w:lineRule="exact"/>
        <w:rPr>
          <w:rFonts w:ascii="Arial" w:cs="Arial" w:eastAsia="Arial" w:hAnsi="Arial"/>
          <w:sz w:val="19"/>
          <w:szCs w:val="19"/>
          <w:color w:val="auto"/>
        </w:rPr>
      </w:pPr>
    </w:p>
    <w:p>
      <w:pPr>
        <w:jc w:val="both"/>
        <w:ind w:left="660" w:firstLine="645"/>
        <w:spacing w:after="0" w:line="272" w:lineRule="auto"/>
        <w:tabs>
          <w:tab w:leader="none" w:pos="1799"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1" w:lineRule="exact"/>
        <w:rPr>
          <w:rFonts w:ascii="Arial" w:cs="Arial" w:eastAsia="Arial" w:hAnsi="Arial"/>
          <w:sz w:val="18"/>
          <w:szCs w:val="18"/>
          <w:color w:val="auto"/>
        </w:rPr>
      </w:pPr>
    </w:p>
    <w:p>
      <w:pPr>
        <w:ind w:firstLine="656"/>
        <w:spacing w:after="0" w:line="260" w:lineRule="auto"/>
        <w:tabs>
          <w:tab w:leader="none" w:pos="1059"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Without limiting the provisions of subsection (a) above, the Loan Parties shall timely pay to the relevant Governmental Authority in accordance with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6" w:right="23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applicable Laws, or at the option of the Administrative Agent timely reimburse it for the payment of, any Other Taxes.</w:t>
      </w:r>
    </w:p>
    <w:p>
      <w:pPr>
        <w:spacing w:after="0" w:line="216" w:lineRule="exact"/>
        <w:rPr>
          <w:sz w:val="20"/>
          <w:szCs w:val="20"/>
          <w:color w:val="auto"/>
        </w:rPr>
      </w:pPr>
    </w:p>
    <w:p>
      <w:pPr>
        <w:jc w:val="both"/>
        <w:ind w:firstLine="656"/>
        <w:spacing w:after="0" w:line="270" w:lineRule="auto"/>
        <w:tabs>
          <w:tab w:leader="none" w:pos="104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xml:space="preserve">. (i) Without duplication of amounts paid pursuant to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each of the Loan Parties shall, and does hereby, jointly and severally indemnify each Recipient, and shall make payment in respect thereof within ten Business Days after written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(other than penalties, interest and expenses attributable to gross negligence or willful misconduct of the Recipient),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demonstrable error. Each of the Loan Parties shall, and does hereby, jointly and severally indemnify the Administrative Agent, and shall make payment in respect thereof within ten Business Days after demand therefor, for any amount which a Lender or the L/C Issuer (other than a Lender or L/C Issuer that is also serving as the Administrative Agent at such time) for any reason fails to pay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176" w:lineRule="exact"/>
        <w:rPr>
          <w:rFonts w:ascii="Arial" w:cs="Arial" w:eastAsia="Arial" w:hAnsi="Arial"/>
          <w:sz w:val="18"/>
          <w:szCs w:val="18"/>
          <w:color w:val="auto"/>
        </w:rPr>
      </w:pPr>
    </w:p>
    <w:p>
      <w:pPr>
        <w:jc w:val="both"/>
        <w:ind w:left="660" w:firstLine="645"/>
        <w:spacing w:after="0" w:line="270" w:lineRule="auto"/>
        <w:tabs>
          <w:tab w:leader="none" w:pos="17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shall be conclusive absent demonstrable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firstLine="656"/>
        <w:spacing w:after="0" w:line="278" w:lineRule="auto"/>
        <w:tabs>
          <w:tab w:leader="none" w:pos="109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any Loan Party or the Administrative Agent, as the case may be, after any payment of Taxes by such Loan Party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65" w:lineRule="exact"/>
        <w:rPr>
          <w:rFonts w:ascii="Arial" w:cs="Arial" w:eastAsia="Arial" w:hAnsi="Arial"/>
          <w:sz w:val="18"/>
          <w:szCs w:val="18"/>
          <w:color w:val="auto"/>
        </w:rPr>
      </w:pPr>
    </w:p>
    <w:p>
      <w:pPr>
        <w:ind w:left="1060" w:hanging="404"/>
        <w:spacing w:after="0"/>
        <w:tabs>
          <w:tab w:leader="none" w:pos="10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6" w:right="239" w:bottom="1440" w:gutter="0" w:footer="0" w:header="0"/>
        </w:sectPr>
      </w:pPr>
    </w:p>
    <w:bookmarkStart w:id="66" w:name="page67"/>
    <w:bookmarkEnd w:id="66"/>
    <w:p>
      <w:pPr>
        <w:jc w:val="both"/>
        <w:ind w:left="-540" w:firstLine="645"/>
        <w:spacing w:after="0" w:line="307" w:lineRule="auto"/>
        <w:tabs>
          <w:tab w:leader="none" w:pos="55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Any Lender and, to the extent the L/C Issuer is not also a Lender under this Agreement, the L/C Issuer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and, to the extent the L/C Issuer is not also a Lender under this Agreement, the L/C Issuer,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or the L/C Issuer, as applicable,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3.01(e)(ii)(B)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3.01(e)(ii)(D)</w:t>
      </w:r>
      <w:r>
        <w:rPr>
          <w:rFonts w:ascii="Arial" w:cs="Arial" w:eastAsia="Arial" w:hAnsi="Arial"/>
          <w:sz w:val="16"/>
          <w:szCs w:val="16"/>
          <w:color w:val="auto"/>
        </w:rPr>
        <w:t xml:space="preserve"> below) shall not be required if in the Lender’s or the L/C Issuer’s reasonable judgment such completion, execution or submission would subject such Lender or the L/C Issuer, as applicable, to any material unreimbursed cost or expense or would materially prejudice the legal or commercial position of such Lender or the L/C Issuer, as applicable.</w:t>
      </w:r>
    </w:p>
    <w:p>
      <w:pPr>
        <w:spacing w:after="0" w:line="376" w:lineRule="exact"/>
        <w:rPr>
          <w:rFonts w:ascii="Arial" w:cs="Arial" w:eastAsia="Arial" w:hAnsi="Arial"/>
          <w:sz w:val="16"/>
          <w:szCs w:val="16"/>
          <w:color w:val="auto"/>
        </w:rPr>
      </w:pPr>
    </w:p>
    <w:p>
      <w:pPr>
        <w:ind w:left="520" w:hanging="415"/>
        <w:spacing w:after="0"/>
        <w:tabs>
          <w:tab w:leader="none" w:pos="5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215" w:lineRule="exact"/>
        <w:rPr>
          <w:rFonts w:ascii="Arial" w:cs="Arial" w:eastAsia="Arial" w:hAnsi="Arial"/>
          <w:sz w:val="20"/>
          <w:szCs w:val="20"/>
          <w:color w:val="auto"/>
        </w:rPr>
      </w:pPr>
    </w:p>
    <w:p>
      <w:pPr>
        <w:jc w:val="both"/>
        <w:ind w:left="100" w:firstLine="653"/>
        <w:spacing w:after="0" w:line="244" w:lineRule="auto"/>
        <w:tabs>
          <w:tab w:leader="none" w:pos="1243" w:val="left"/>
        </w:tabs>
        <w:numPr>
          <w:ilvl w:val="1"/>
          <w:numId w:val="73"/>
        </w:numPr>
        <w:rPr>
          <w:rFonts w:ascii="Arial" w:cs="Arial" w:eastAsia="Arial" w:hAnsi="Arial"/>
          <w:sz w:val="20"/>
          <w:szCs w:val="20"/>
          <w:color w:val="auto"/>
        </w:rPr>
      </w:pPr>
      <w:r>
        <w:rPr>
          <w:rFonts w:ascii="Arial" w:cs="Arial" w:eastAsia="Arial" w:hAnsi="Arial"/>
          <w:sz w:val="20"/>
          <w:szCs w:val="20"/>
          <w:color w:val="auto"/>
        </w:rPr>
        <w:t>any Lender and, to the extent the L/C Issuer is not also a Lender under this Agreement, the L/C Issuer that is a U.S. Person shall deliver to such Borrower and the Administrative Agent on or prior to the date on which such Lender becomes a Lender under this Agreement (and from time to time thereafter upon the reasonable request of such Borrower or the Administrative Agent), duly completed and executed originals of IRS Form W-9 certifying that such Lender is exempt from U.S. federal backup withholding tax;</w:t>
      </w:r>
    </w:p>
    <w:p>
      <w:pPr>
        <w:spacing w:after="0" w:line="194" w:lineRule="exact"/>
        <w:rPr>
          <w:rFonts w:ascii="Arial" w:cs="Arial" w:eastAsia="Arial" w:hAnsi="Arial"/>
          <w:sz w:val="20"/>
          <w:szCs w:val="20"/>
          <w:color w:val="auto"/>
        </w:rPr>
      </w:pPr>
    </w:p>
    <w:p>
      <w:pPr>
        <w:jc w:val="both"/>
        <w:ind w:left="100" w:firstLine="653"/>
        <w:spacing w:after="0" w:line="246" w:lineRule="auto"/>
        <w:tabs>
          <w:tab w:leader="none" w:pos="1368" w:val="left"/>
        </w:tabs>
        <w:numPr>
          <w:ilvl w:val="1"/>
          <w:numId w:val="7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91" w:lineRule="exact"/>
        <w:rPr>
          <w:rFonts w:ascii="Arial" w:cs="Arial" w:eastAsia="Arial" w:hAnsi="Arial"/>
          <w:sz w:val="20"/>
          <w:szCs w:val="20"/>
          <w:color w:val="auto"/>
        </w:rPr>
      </w:pPr>
    </w:p>
    <w:p>
      <w:pPr>
        <w:jc w:val="both"/>
        <w:ind w:left="760" w:firstLine="641"/>
        <w:spacing w:after="0" w:line="258" w:lineRule="auto"/>
        <w:tabs>
          <w:tab w:leader="none" w:pos="1819" w:val="left"/>
        </w:tabs>
        <w:numPr>
          <w:ilvl w:val="2"/>
          <w:numId w:val="7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duly completed and executed originals of IRS Form W-8BEN or W-8BEN-E, as applicable, establishing an exemption from, or reduction of, U.S. federal withholding Tax pursuant to the “interest” article of such tax treaty and (y) with respect to any other applicable payments under any Loan Document, duly completed and executed originals of IRS Form W-8BEN or W-8BEN-E, as applicable, establishing an exemption from, or reduction of, U.S. federal withholding Tax pursuant to the “business profits” or “other income” article of such tax treaty;</w:t>
      </w:r>
    </w:p>
    <w:p>
      <w:pPr>
        <w:spacing w:after="0" w:line="179" w:lineRule="exact"/>
        <w:rPr>
          <w:rFonts w:ascii="Arial" w:cs="Arial" w:eastAsia="Arial" w:hAnsi="Arial"/>
          <w:sz w:val="19"/>
          <w:szCs w:val="19"/>
          <w:color w:val="auto"/>
        </w:rPr>
      </w:pPr>
    </w:p>
    <w:p>
      <w:pPr>
        <w:ind w:left="1820" w:hanging="419"/>
        <w:spacing w:after="0"/>
        <w:tabs>
          <w:tab w:leader="none" w:pos="1820" w:val="left"/>
        </w:tabs>
        <w:numPr>
          <w:ilvl w:val="2"/>
          <w:numId w:val="73"/>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00" w:lineRule="exact"/>
        <w:rPr>
          <w:sz w:val="20"/>
          <w:szCs w:val="20"/>
          <w:color w:val="auto"/>
        </w:rPr>
      </w:pPr>
    </w:p>
    <w:p>
      <w:pPr>
        <w:spacing w:after="0" w:line="26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20"/>
          </w:cols>
          <w:pgMar w:left="1440" w:top="366" w:right="239" w:bottom="1440" w:gutter="0" w:footer="0" w:header="0"/>
        </w:sectPr>
      </w:pPr>
    </w:p>
    <w:bookmarkStart w:id="67" w:name="page68"/>
    <w:bookmarkEnd w:id="67"/>
    <w:p>
      <w:pPr>
        <w:jc w:val="both"/>
        <w:ind w:left="760" w:firstLine="641"/>
        <w:spacing w:after="0" w:line="243" w:lineRule="auto"/>
        <w:tabs>
          <w:tab w:leader="none" w:pos="1819" w:val="left"/>
        </w:tabs>
        <w:numPr>
          <w:ilvl w:val="2"/>
          <w:numId w:val="74"/>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20"/>
          <w:szCs w:val="20"/>
          <w:u w:val="single" w:color="auto"/>
          <w:color w:val="auto"/>
        </w:rPr>
        <w:t>Exhibit 3.01-A</w:t>
      </w:r>
      <w:r>
        <w:rPr>
          <w:rFonts w:ascii="Arial" w:cs="Arial" w:eastAsia="Arial" w:hAnsi="Arial"/>
          <w:sz w:val="20"/>
          <w:szCs w:val="20"/>
          <w:color w:val="auto"/>
        </w:rPr>
        <w:t xml:space="preserve"> to the effect that such Foreign Lender is not a “bank” within the meaning of Section 881(c)(3)(A) of the Internal Revenue Code, a “10 percent shareholder” of such Borrower within the meaning of Section 881(c)(3)(B) of the Internal Revenue Code, or a “controlled foreign corporation” described in Section 881(c)(3)(C) of the Internal Revenue Code (a “</w:t>
      </w:r>
      <w:r>
        <w:rPr>
          <w:rFonts w:ascii="Arial" w:cs="Arial" w:eastAsia="Arial" w:hAnsi="Arial"/>
          <w:sz w:val="20"/>
          <w:szCs w:val="20"/>
          <w:u w:val="single" w:color="auto"/>
          <w:color w:val="auto"/>
        </w:rPr>
        <w:t>U.S. 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and (y) duly completed and executed originals of IRS Form W-8BEN or W-8BEN-E, as applicable; or</w:t>
      </w:r>
    </w:p>
    <w:p>
      <w:pPr>
        <w:spacing w:after="0" w:line="193" w:lineRule="exact"/>
        <w:rPr>
          <w:rFonts w:ascii="Arial" w:cs="Arial" w:eastAsia="Arial" w:hAnsi="Arial"/>
          <w:sz w:val="20"/>
          <w:szCs w:val="20"/>
          <w:color w:val="auto"/>
        </w:rPr>
      </w:pPr>
    </w:p>
    <w:p>
      <w:pPr>
        <w:jc w:val="both"/>
        <w:ind w:left="760" w:firstLine="641"/>
        <w:spacing w:after="0" w:line="258" w:lineRule="auto"/>
        <w:tabs>
          <w:tab w:leader="none" w:pos="1846" w:val="left"/>
        </w:tabs>
        <w:numPr>
          <w:ilvl w:val="2"/>
          <w:numId w:val="74"/>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duly completed and executed originals of IRS Form W-8IMY, accompanied by IRS Form W-8ECI, IRS Form W-8BEN or W-8BEN-E, as applicable, a U.S. Tax Compliance Certificate substantially in the form of </w:t>
      </w:r>
      <w:r>
        <w:rPr>
          <w:rFonts w:ascii="Arial" w:cs="Arial" w:eastAsia="Arial" w:hAnsi="Arial"/>
          <w:sz w:val="19"/>
          <w:szCs w:val="19"/>
          <w:u w:val="single" w:color="auto"/>
          <w:color w:val="auto"/>
        </w:rPr>
        <w:t>Exhibit 3.01-B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3.01-C</w:t>
      </w:r>
      <w:r>
        <w:rPr>
          <w:rFonts w:ascii="Arial" w:cs="Arial" w:eastAsia="Arial" w:hAnsi="Arial"/>
          <w:sz w:val="19"/>
          <w:szCs w:val="19"/>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3.01-D</w:t>
      </w:r>
      <w:r>
        <w:rPr>
          <w:rFonts w:ascii="Arial" w:cs="Arial" w:eastAsia="Arial" w:hAnsi="Arial"/>
          <w:sz w:val="19"/>
          <w:szCs w:val="19"/>
          <w:color w:val="auto"/>
        </w:rPr>
        <w:t xml:space="preserve"> on behalf of each such direct and indirect partner;</w:t>
      </w:r>
    </w:p>
    <w:p>
      <w:pPr>
        <w:spacing w:after="0" w:line="179" w:lineRule="exact"/>
        <w:rPr>
          <w:rFonts w:ascii="Arial" w:cs="Arial" w:eastAsia="Arial" w:hAnsi="Arial"/>
          <w:sz w:val="19"/>
          <w:szCs w:val="19"/>
          <w:color w:val="auto"/>
        </w:rPr>
      </w:pPr>
    </w:p>
    <w:p>
      <w:pPr>
        <w:jc w:val="both"/>
        <w:ind w:left="100" w:firstLine="653"/>
        <w:spacing w:after="0" w:line="243" w:lineRule="auto"/>
        <w:tabs>
          <w:tab w:leader="none" w:pos="1368" w:val="left"/>
        </w:tabs>
        <w:numPr>
          <w:ilvl w:val="1"/>
          <w:numId w:val="75"/>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93" w:lineRule="exact"/>
        <w:rPr>
          <w:rFonts w:ascii="Arial" w:cs="Arial" w:eastAsia="Arial" w:hAnsi="Arial"/>
          <w:sz w:val="20"/>
          <w:szCs w:val="20"/>
          <w:color w:val="auto"/>
        </w:rPr>
      </w:pPr>
    </w:p>
    <w:p>
      <w:pPr>
        <w:jc w:val="both"/>
        <w:ind w:left="100" w:firstLine="653"/>
        <w:spacing w:after="0" w:line="255" w:lineRule="auto"/>
        <w:tabs>
          <w:tab w:leader="none" w:pos="1270"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a payment made to a Lender or the L/C Issuer under any Loan Document would be subject to U.S. federal withholding Tax imposed by FATCA if such Lender or the L/C Issuer were to fail to comply with the applicable reporting requirements of FATCA (including those contained in Section 1471(b) or 1472(b) of the Internal Revenue Code, as applicable), such Lender and, to the extent the L/C Issuer is not also a Lender under this Agreement, the L/C Issuer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 comply with their obligations under FATCA and to determine that such Lender or the L/C Issuer, as applicable, has complied with such Lender’s or the L/C Issuer’s, as applicable, obligations under FATCA or to determine the amount to deduct and withhold from such payment. Solely for purposes of this clause (D), “FATCA” shall include any amendments made to FATCA after the Closing Date.</w:t>
      </w:r>
    </w:p>
    <w:p>
      <w:pPr>
        <w:spacing w:after="0" w:line="185" w:lineRule="exact"/>
        <w:rPr>
          <w:rFonts w:ascii="Arial" w:cs="Arial" w:eastAsia="Arial" w:hAnsi="Arial"/>
          <w:sz w:val="19"/>
          <w:szCs w:val="19"/>
          <w:color w:val="auto"/>
        </w:rPr>
      </w:pPr>
    </w:p>
    <w:p>
      <w:pPr>
        <w:ind w:left="-540" w:firstLine="645"/>
        <w:spacing w:after="0" w:line="260" w:lineRule="auto"/>
        <w:tabs>
          <w:tab w:leader="none" w:pos="585" w:val="left"/>
        </w:tabs>
        <w:numPr>
          <w:ilvl w:val="0"/>
          <w:numId w:val="76"/>
        </w:numPr>
        <w:rPr>
          <w:rFonts w:ascii="Arial" w:cs="Arial" w:eastAsia="Arial" w:hAnsi="Arial"/>
          <w:sz w:val="20"/>
          <w:szCs w:val="20"/>
          <w:color w:val="auto"/>
        </w:rPr>
      </w:pPr>
      <w:r>
        <w:rPr>
          <w:rFonts w:ascii="Arial" w:cs="Arial" w:eastAsia="Arial" w:hAnsi="Arial"/>
          <w:sz w:val="20"/>
          <w:szCs w:val="20"/>
          <w:color w:val="auto"/>
        </w:rPr>
        <w:t>Each Lender and, to the extent the L/C Issuer is not also a Lender under this Agreement, the L/C Issuer agrees that if any form or certification it previously delivered pursuant</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20"/>
          </w:cols>
          <w:pgMar w:left="1440" w:top="366" w:right="239" w:bottom="1440" w:gutter="0" w:footer="0" w:header="0"/>
        </w:sectPr>
      </w:pPr>
    </w:p>
    <w:bookmarkStart w:id="68" w:name="page69"/>
    <w:bookmarkEnd w:id="68"/>
    <w:p>
      <w:pPr>
        <w:ind w:left="660" w:right="20"/>
        <w:spacing w:after="0" w:line="260" w:lineRule="auto"/>
        <w:rPr>
          <w:sz w:val="20"/>
          <w:szCs w:val="20"/>
          <w:color w:val="auto"/>
        </w:rPr>
      </w:pPr>
      <w:r>
        <w:rPr>
          <w:rFonts w:ascii="Arial" w:cs="Arial" w:eastAsia="Arial" w:hAnsi="Arial"/>
          <w:sz w:val="20"/>
          <w:szCs w:val="20"/>
          <w:color w:val="auto"/>
        </w:rPr>
        <w:t xml:space="preserve">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7" w:lineRule="exact"/>
        <w:rPr>
          <w:sz w:val="20"/>
          <w:szCs w:val="20"/>
          <w:color w:val="auto"/>
        </w:rPr>
      </w:pPr>
    </w:p>
    <w:p>
      <w:pPr>
        <w:jc w:val="both"/>
        <w:ind w:firstLine="656"/>
        <w:spacing w:after="0" w:line="269" w:lineRule="auto"/>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(including any application or carryover of such refund amount to reduce any amount otherwise payable to the refunding Governmental Authority) of Taxes withheld or deducted from funds paid for the account of such Lender or the L/C Issuer, as the case may be. If any Recipient determines, in its sole discretion exercised in good faith, that it has received a refund of any Taxes or Other Taxes as to which it has been indemnified by any Loan Party or with respect to which any Loan Party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or Other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to the extent that the payment of such amount would place the Recipient in a less favorable net after Tax position that such Recipient would have been 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77" w:lineRule="exact"/>
        <w:rPr>
          <w:rFonts w:ascii="Arial" w:cs="Arial" w:eastAsia="Arial" w:hAnsi="Arial"/>
          <w:sz w:val="18"/>
          <w:szCs w:val="18"/>
          <w:color w:val="auto"/>
        </w:rPr>
      </w:pPr>
    </w:p>
    <w:p>
      <w:pPr>
        <w:jc w:val="both"/>
        <w:ind w:firstLine="656"/>
        <w:spacing w:after="0" w:line="250" w:lineRule="auto"/>
        <w:tabs>
          <w:tab w:leader="none" w:pos="1059"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If any Lender determines that any Law has made it unlawful, or that any Governmental Authority has asserted that it is unlawful, for any Lender or its applicable Lending Office to make, maintain or fund Loans whose interest rate is determined by reference to the Eurocurrency Base Rate (whether denominated in Dollars or an Alternative Currency), or to determine or charge interest rates based upon the Eurocurrency Base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Eurocurrency Rate Loans in the affected currency or currencies or, in the case of Eurocurrency Rate Loans denominated in Dollars, to convert Base Rate Loans to Eurocurrency Rate Loans shall be suspended and (ii) if such notice asserts the illegality of such Lender making or maintaining Base Rate Loans the interest rate on which is determined by reference to the Eurocurrency Base Rate component of the Base Rate, the interest rate on which Base Rate Loans of such Lender, shall, if necessary to avoid such illegality, be determined by the Administrative Agent without reference to the Eurocurrency Base Rate component of the Base Rate, in each case until such Lender notifies the Administrative Agent and the Company that the circumstances giving rise to such determination no longer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6" w:right="239" w:bottom="1440" w:gutter="0" w:footer="0" w:header="0"/>
        </w:sectPr>
      </w:pPr>
    </w:p>
    <w:bookmarkStart w:id="69" w:name="page70"/>
    <w:bookmarkEnd w:id="69"/>
    <w:p>
      <w:pPr>
        <w:jc w:val="both"/>
        <w:spacing w:after="0" w:line="270" w:lineRule="auto"/>
        <w:rPr>
          <w:sz w:val="20"/>
          <w:szCs w:val="20"/>
          <w:color w:val="auto"/>
        </w:rPr>
      </w:pPr>
      <w:r>
        <w:rPr>
          <w:rFonts w:ascii="Arial" w:cs="Arial" w:eastAsia="Arial" w:hAnsi="Arial"/>
          <w:sz w:val="18"/>
          <w:szCs w:val="18"/>
          <w:color w:val="auto"/>
        </w:rPr>
        <w:t>exist (and each Lender hereby agrees to provide such notice promptly upon such circumstances ceasing to exist). Upon receipt of such notice by the Company,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Base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Base Rate, the Administrative Agent shall during the period of such suspension compute the Base Rate applicable to such Lender without reference to the Eurocurrency Base Rate component thereof until the Administrative Agent is advised in writing by such Lender that it is no longer illegal for such Lender to determine or charge interest rates based upon the Eurocurrency Base Rate (and each Lender hereby agrees to provide notice to the Administrative Agent and the Company when such illegality ceases to exist). Upon any such prepayment or conversion, the Borrowers shall also pay accrued interest on the amount so prepaid or converted.</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Each Lender at its option may make any Credit Extension to any Borrower by causing any domestic or foreign branch or Affiliate of such Lender (each a “</w:t>
      </w:r>
      <w:r>
        <w:rPr>
          <w:rFonts w:ascii="Arial" w:cs="Arial" w:eastAsia="Arial" w:hAnsi="Arial"/>
          <w:sz w:val="19"/>
          <w:szCs w:val="19"/>
          <w:u w:val="single" w:color="auto"/>
          <w:color w:val="auto"/>
        </w:rPr>
        <w:t>Designated Lender</w:t>
      </w:r>
      <w:r>
        <w:rPr>
          <w:rFonts w:ascii="Arial" w:cs="Arial" w:eastAsia="Arial" w:hAnsi="Arial"/>
          <w:sz w:val="19"/>
          <w:szCs w:val="19"/>
          <w:color w:val="auto"/>
        </w:rPr>
        <w:t xml:space="preserve">”) to make such Credit Extension (and in the case of an Affiliate, the provisions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shall apply to such Affiliate to the same extent as to such Lender); provided that any exercise of such option shall not affect the obligation of the relevant Borrower to repay such Credit Extension in accordance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the Company through the Administrative Agent, and until such notice by such Lender is revoked (and each Lender hereby agrees to make such revocation when such illegality ceases to exist), any obligation of such Lender to issue, make, maintain, fund or charge interest with respect to any such Credit Extension shall be suspended. Upon receipt of such notice, the Loan Parties shall, take all reasonable actions requested by such Lender to mitigate or avoid such illegality.</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1" w:lineRule="auto"/>
        <w:tabs>
          <w:tab w:leader="none" w:pos="10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in connection with any request for a Eurocurrency Rate Loan or a conversion to or continuation thereof, (i) the Administrative Agent determines that (A) deposits (whether in Dollars or an Alternative Currency) are not being offered to banks in the applicable offshore interbank market for such currency for the applicable amount and Interest Period of such Eurocurrency Rate Loan or (B) adequate and reasonable means do not exist for determining the Eurocurrency Base Rate for any requested Interest Period with respect to a proposed Eurocurrency Rate Loan (whether denominated in Dollars or an Alternative Currency) or in connection with an existing or proposed Base Rate Loan (in each case with respect to clause (i), “Impacted Loans”), or (ii) the Administrative Agent or the Required Lenders determine that for any reason the Eurocurrency Base Rate for any requested Interest Period with respect to a proposed Eurocurrency Rate Loan does not adequately and fairly reflect the cost to such Lenders of funding such Loan, the Administrative Agent will promptly so notify the Company and each Lender. Thereafter, (x) the obligation of the Lenders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Base Rate component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6" w:right="239" w:bottom="1440" w:gutter="0" w:footer="0" w:header="0"/>
        </w:sectPr>
      </w:pPr>
    </w:p>
    <w:bookmarkStart w:id="70" w:name="page71"/>
    <w:bookmarkEnd w:id="70"/>
    <w:p>
      <w:pPr>
        <w:jc w:val="both"/>
        <w:spacing w:after="0" w:line="278" w:lineRule="auto"/>
        <w:rPr>
          <w:sz w:val="20"/>
          <w:szCs w:val="20"/>
          <w:color w:val="auto"/>
        </w:rPr>
      </w:pPr>
      <w:r>
        <w:rPr>
          <w:rFonts w:ascii="Arial" w:cs="Arial" w:eastAsia="Arial" w:hAnsi="Arial"/>
          <w:sz w:val="18"/>
          <w:szCs w:val="18"/>
          <w:color w:val="auto"/>
        </w:rPr>
        <w:t>of the Base Rate, the utilization of the Eurocurrency Base Rate component in determining the Base Rate shall be suspended, in each case until the Administrative Agent (upon the instruction of the Required Lenders, who hereby agree to revoke such notice when the applicable circumstances no longer exist) revokes such notice. Upon receipt of such notice, the applicable Borrower may revoke any pending request for a Borrowing of, conversion to or continuation of Eurocurrency Rate Loans in the affected currency or currencies or, failing that, will be deemed to have converted such request into a request for a Borrowing of Base Rate Loans in the amount specified therein.</w:t>
      </w:r>
    </w:p>
    <w:p>
      <w:pPr>
        <w:spacing w:after="0" w:line="165" w:lineRule="exact"/>
        <w:rPr>
          <w:sz w:val="20"/>
          <w:szCs w:val="20"/>
          <w:color w:val="auto"/>
        </w:rPr>
      </w:pPr>
    </w:p>
    <w:p>
      <w:pPr>
        <w:jc w:val="both"/>
        <w:ind w:firstLine="656"/>
        <w:spacing w:after="0" w:line="282" w:lineRule="auto"/>
        <w:tabs>
          <w:tab w:leader="none" w:pos="10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Administrative Agent has made the determination described in clause (a)(i) of this Section, and the Company shall so request, the Administrative Agent, the Lenders and the Company shall negotiate in good faith to amend the definition of “Eurocurrency Base Rate” and other applicable provisions to preserve the original intent thereof in light of such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such Impacted Loans will be handled as otherwise provided pursuant to the terms of this Section.</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660" w:right="20" w:firstLine="645"/>
        <w:spacing w:after="0" w:line="250" w:lineRule="auto"/>
        <w:tabs>
          <w:tab w:leader="none" w:pos="1675" w:val="left"/>
        </w:tabs>
        <w:numPr>
          <w:ilvl w:val="1"/>
          <w:numId w:val="80"/>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Eurocurrency Rate) or the L/C Issuer;</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770" w:val="left"/>
        </w:tabs>
        <w:numPr>
          <w:ilvl w:val="1"/>
          <w:numId w:val="80"/>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6" w:lineRule="exact"/>
        <w:rPr>
          <w:rFonts w:ascii="Arial" w:cs="Arial" w:eastAsia="Arial" w:hAnsi="Arial"/>
          <w:sz w:val="20"/>
          <w:szCs w:val="20"/>
          <w:color w:val="auto"/>
        </w:rPr>
      </w:pPr>
    </w:p>
    <w:p>
      <w:pPr>
        <w:ind w:left="1780" w:hanging="475"/>
        <w:spacing w:after="0"/>
        <w:tabs>
          <w:tab w:leader="none" w:pos="1780" w:val="left"/>
        </w:tabs>
        <w:numPr>
          <w:ilvl w:val="1"/>
          <w:numId w:val="80"/>
        </w:numPr>
        <w:rPr>
          <w:rFonts w:ascii="Arial" w:cs="Arial" w:eastAsia="Arial" w:hAnsi="Arial"/>
          <w:sz w:val="20"/>
          <w:szCs w:val="20"/>
          <w:color w:val="auto"/>
        </w:rPr>
      </w:pPr>
      <w:r>
        <w:rPr>
          <w:rFonts w:ascii="Arial" w:cs="Arial" w:eastAsia="Arial" w:hAnsi="Arial"/>
          <w:sz w:val="20"/>
          <w:szCs w:val="20"/>
          <w:color w:val="auto"/>
        </w:rPr>
        <w:t>[reserved]; or</w:t>
      </w:r>
    </w:p>
    <w:p>
      <w:pPr>
        <w:spacing w:after="0" w:line="215" w:lineRule="exact"/>
        <w:rPr>
          <w:rFonts w:ascii="Arial" w:cs="Arial" w:eastAsia="Arial" w:hAnsi="Arial"/>
          <w:sz w:val="20"/>
          <w:szCs w:val="20"/>
          <w:color w:val="auto"/>
        </w:rPr>
      </w:pPr>
    </w:p>
    <w:p>
      <w:pPr>
        <w:ind w:left="660" w:firstLine="645"/>
        <w:spacing w:after="0" w:line="287" w:lineRule="auto"/>
        <w:tabs>
          <w:tab w:leader="none" w:pos="1815" w:val="left"/>
        </w:tabs>
        <w:numPr>
          <w:ilvl w:val="1"/>
          <w:numId w:val="80"/>
        </w:numPr>
        <w:rPr>
          <w:rFonts w:ascii="Arial" w:cs="Arial" w:eastAsia="Arial" w:hAnsi="Arial"/>
          <w:sz w:val="19"/>
          <w:szCs w:val="19"/>
          <w:color w:val="auto"/>
        </w:rPr>
      </w:pPr>
      <w:r>
        <w:rPr>
          <w:rFonts w:ascii="Arial" w:cs="Arial" w:eastAsia="Arial" w:hAnsi="Arial"/>
          <w:sz w:val="19"/>
          <w:szCs w:val="19"/>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and the result of any of the foregoing shall be to increase the cost to such Lender of making, converting to, continuing or maintaining any Loan the interest on which is determined by reference to the Eurocurrency Base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within thirty days after receipt of the request of such Lender or the L/C Issuer (accompanied by a certificate as contemplated by </w:t>
      </w:r>
      <w:r>
        <w:rPr>
          <w:rFonts w:ascii="Arial" w:cs="Arial" w:eastAsia="Arial" w:hAnsi="Arial"/>
          <w:sz w:val="19"/>
          <w:szCs w:val="19"/>
          <w:u w:val="single" w:color="auto"/>
          <w:color w:val="auto"/>
        </w:rPr>
        <w:t>Section 3.06(a)</w:t>
      </w:r>
      <w:r>
        <w:rPr>
          <w:rFonts w:ascii="Arial" w:cs="Arial" w:eastAsia="Arial" w:hAnsi="Arial"/>
          <w:sz w:val="19"/>
          <w:szCs w:val="19"/>
          <w:color w:val="auto"/>
        </w:rPr>
        <w:t>), the Borrowers will pay to such Lender or the L/C Issuer, as the case may be, such additional amount or amounts as will compensate such Lender or the L/C Issuer, as the case may be, for such additional costs incurred or reduction suffered.</w:t>
      </w:r>
    </w:p>
    <w:p>
      <w:pPr>
        <w:spacing w:after="0" w:line="181" w:lineRule="exact"/>
        <w:rPr>
          <w:sz w:val="20"/>
          <w:szCs w:val="20"/>
          <w:color w:val="auto"/>
        </w:rPr>
      </w:pPr>
    </w:p>
    <w:p>
      <w:pPr>
        <w:jc w:val="both"/>
        <w:ind w:firstLine="656"/>
        <w:spacing w:after="0" w:line="291" w:lineRule="auto"/>
        <w:tabs>
          <w:tab w:leader="none" w:pos="105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the L/C Issuer determines that any Change in Law affecting such Lender or the L/C Issuer or any Lending Office of such Lender or such Lender’s or the L/C Issuer’s holding company, if any, regarding capital or liquidity requirements has had the effect of reducing the rate of return on such Lender’s or the L/C Issuer’s capital or on the capital of such Lender’s or the L/C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6" w:right="239" w:bottom="1440" w:gutter="0" w:footer="0" w:header="0"/>
        </w:sectPr>
      </w:pPr>
    </w:p>
    <w:bookmarkStart w:id="71" w:name="page72"/>
    <w:bookmarkEnd w:id="71"/>
    <w:p>
      <w:pPr>
        <w:jc w:val="both"/>
        <w:spacing w:after="0" w:line="242" w:lineRule="auto"/>
        <w:rPr>
          <w:sz w:val="20"/>
          <w:szCs w:val="20"/>
          <w:color w:val="auto"/>
        </w:rPr>
      </w:pPr>
      <w:r>
        <w:rPr>
          <w:rFonts w:ascii="Arial" w:cs="Arial" w:eastAsia="Arial" w:hAnsi="Arial"/>
          <w:sz w:val="20"/>
          <w:szCs w:val="20"/>
          <w:color w:val="auto"/>
        </w:rPr>
        <w:t xml:space="preserve">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within thirty days after receipt of the request of such Lender or the L/C Issuer (accompanied by a certificate as contemplated by </w:t>
      </w:r>
      <w:r>
        <w:rPr>
          <w:rFonts w:ascii="Arial" w:cs="Arial" w:eastAsia="Arial" w:hAnsi="Arial"/>
          <w:sz w:val="20"/>
          <w:szCs w:val="20"/>
          <w:u w:val="single" w:color="auto"/>
          <w:color w:val="auto"/>
        </w:rPr>
        <w:t>Section 3.06(a)</w:t>
      </w:r>
      <w:r>
        <w:rPr>
          <w:rFonts w:ascii="Arial" w:cs="Arial" w:eastAsia="Arial" w:hAnsi="Arial"/>
          <w:sz w:val="20"/>
          <w:szCs w:val="20"/>
          <w:color w:val="auto"/>
        </w:rPr>
        <w:t>), such additional amount or amounts as will compensate such Lender or the L/C Issuer or such Lender’s or the L/C Issuer’s holding company for any such reduction suffered.</w:t>
      </w:r>
    </w:p>
    <w:p>
      <w:pPr>
        <w:spacing w:after="0" w:line="198" w:lineRule="exact"/>
        <w:rPr>
          <w:sz w:val="20"/>
          <w:szCs w:val="20"/>
          <w:color w:val="auto"/>
        </w:rPr>
      </w:pPr>
    </w:p>
    <w:p>
      <w:pPr>
        <w:jc w:val="both"/>
        <w:ind w:firstLine="656"/>
        <w:spacing w:after="0" w:line="243" w:lineRule="auto"/>
        <w:tabs>
          <w:tab w:leader="none" w:pos="1061"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Borrowers shall not be required to compensate a Lender or the L/C Issuer pursuant to the foregoing provisions of this Section for any increased costs incurred or reductions suffered more than 120 days prior to the date that such Lender or the L/C Issuer, as the case may be, demands compensation pursuant to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in respect of the Change in Law giving rise to such increased costs or reductions (except that, if the Change in Law giving rise to such increased costs or reductions is retroactive, then the 120 day period referred to above shall be extended to include the period of retroactive effect thereof).</w:t>
      </w:r>
    </w:p>
    <w:p>
      <w:pPr>
        <w:spacing w:after="0" w:line="193" w:lineRule="exact"/>
        <w:rPr>
          <w:rFonts w:ascii="Arial" w:cs="Arial" w:eastAsia="Arial" w:hAnsi="Arial"/>
          <w:sz w:val="20"/>
          <w:szCs w:val="20"/>
          <w:color w:val="auto"/>
        </w:rPr>
      </w:pPr>
    </w:p>
    <w:p>
      <w:pPr>
        <w:ind w:firstLine="656"/>
        <w:spacing w:after="0" w:line="287" w:lineRule="auto"/>
        <w:tabs>
          <w:tab w:leader="none" w:pos="116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 Lender shall not be entitled to any compensation pursuant to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to the extent such Lender is not generally imposing such charges or requesting such compensation from other similarly situated borrowers under similar circumstances.</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6"/>
          <w:szCs w:val="16"/>
          <w:u w:val="single" w:color="auto"/>
          <w:color w:val="auto"/>
        </w:rPr>
        <w:t>Compensation for Losses.</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Within 30 days after written demand of any Lender (with a copy to the Administrative Agent) from time to time, the Borrowers shall compensate such Lender for and hold such Lender harmless from any loss, cost or expense incurred by it as a result of:</w:t>
      </w:r>
    </w:p>
    <w:p>
      <w:pPr>
        <w:spacing w:after="0" w:line="153" w:lineRule="exact"/>
        <w:rPr>
          <w:sz w:val="20"/>
          <w:szCs w:val="20"/>
          <w:color w:val="auto"/>
        </w:rPr>
      </w:pPr>
    </w:p>
    <w:p>
      <w:pPr>
        <w:ind w:left="660" w:right="20" w:firstLine="645"/>
        <w:spacing w:after="0" w:line="316" w:lineRule="auto"/>
        <w:tabs>
          <w:tab w:leader="none" w:pos="17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0" w:lineRule="exact"/>
        <w:rPr>
          <w:rFonts w:ascii="Arial" w:cs="Arial" w:eastAsia="Arial" w:hAnsi="Arial"/>
          <w:sz w:val="18"/>
          <w:szCs w:val="18"/>
          <w:color w:val="auto"/>
        </w:rPr>
      </w:pPr>
    </w:p>
    <w:p>
      <w:pPr>
        <w:ind w:left="660" w:firstLine="645"/>
        <w:spacing w:after="0" w:line="287" w:lineRule="auto"/>
        <w:tabs>
          <w:tab w:leader="none" w:pos="1732"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152" w:lineRule="exact"/>
        <w:rPr>
          <w:rFonts w:ascii="Arial" w:cs="Arial" w:eastAsia="Arial" w:hAnsi="Arial"/>
          <w:sz w:val="19"/>
          <w:szCs w:val="19"/>
          <w:color w:val="auto"/>
        </w:rPr>
      </w:pPr>
    </w:p>
    <w:p>
      <w:pPr>
        <w:ind w:left="660" w:right="20" w:firstLine="645"/>
        <w:spacing w:after="0" w:line="287" w:lineRule="auto"/>
        <w:tabs>
          <w:tab w:leader="none" w:pos="1749"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52" w:lineRule="exact"/>
        <w:rPr>
          <w:rFonts w:ascii="Arial" w:cs="Arial" w:eastAsia="Arial" w:hAnsi="Arial"/>
          <w:sz w:val="19"/>
          <w:szCs w:val="19"/>
          <w:color w:val="auto"/>
        </w:rPr>
      </w:pPr>
    </w:p>
    <w:p>
      <w:pPr>
        <w:ind w:left="660" w:firstLine="645"/>
        <w:spacing w:after="0" w:line="260" w:lineRule="auto"/>
        <w:tabs>
          <w:tab w:leader="none" w:pos="1719"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the Company pursuant to </w:t>
      </w:r>
      <w:r>
        <w:rPr>
          <w:rFonts w:ascii="Arial" w:cs="Arial" w:eastAsia="Arial" w:hAnsi="Arial"/>
          <w:sz w:val="20"/>
          <w:szCs w:val="20"/>
          <w:u w:val="single" w:color="auto"/>
          <w:color w:val="auto"/>
        </w:rPr>
        <w:t>Section 11.14</w:t>
      </w:r>
      <w:r>
        <w:rPr>
          <w:rFonts w:ascii="Arial" w:cs="Arial" w:eastAsia="Arial" w:hAnsi="Arial"/>
          <w:sz w:val="20"/>
          <w:szCs w:val="20"/>
          <w:color w:val="auto"/>
        </w:rPr>
        <w: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and excluding any loss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anticipated profits. The Borrowers shall also pay any customary administrative fees charged by such Lender in connection with the foregoing.</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Borrowers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Eurocurrency Rate Loan made by it at the Eurocurrency Base Rate used in determining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Matters Applicable to all Requests for Compensation.</w:t>
      </w:r>
    </w:p>
    <w:p>
      <w:pPr>
        <w:spacing w:after="0" w:line="216" w:lineRule="exact"/>
        <w:rPr>
          <w:sz w:val="20"/>
          <w:szCs w:val="20"/>
          <w:color w:val="auto"/>
        </w:rPr>
      </w:pPr>
    </w:p>
    <w:p>
      <w:pPr>
        <w:jc w:val="both"/>
        <w:ind w:firstLine="656"/>
        <w:spacing w:after="0" w:line="276" w:lineRule="auto"/>
        <w:tabs>
          <w:tab w:leader="none" w:pos="10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 certificate of the Administrative Agent, any Lender or the L/C Issuer claiming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setting forth, in reasonable detail, the basis of any loss, cost or expense and the additional amount or amounts to be paid to it hereunder shall be conclusive in the absence of demonstrable error. In determining such amount, the Administrative Agent, such Lender or the L/C Issuer (i) may use reasonable averaging and attribution methods and (ii) shall act in good faith (and not on an arbitrary or capricious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Administrative Agent, such Lender or the L/C Issuer, as applicable, shall be required to disclose any confidential or proprietary information in connection therewith. Any claim for compensation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must be accompanied by such certificate.</w:t>
      </w:r>
    </w:p>
    <w:p>
      <w:pPr>
        <w:spacing w:after="0" w:line="165" w:lineRule="exact"/>
        <w:rPr>
          <w:rFonts w:ascii="Arial" w:cs="Arial" w:eastAsia="Arial" w:hAnsi="Arial"/>
          <w:sz w:val="18"/>
          <w:szCs w:val="18"/>
          <w:color w:val="auto"/>
        </w:rPr>
      </w:pPr>
    </w:p>
    <w:p>
      <w:pPr>
        <w:jc w:val="both"/>
        <w:ind w:firstLine="656"/>
        <w:spacing w:after="0" w:line="255" w:lineRule="auto"/>
        <w:tabs>
          <w:tab w:leader="none" w:pos="107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Each Lender may make any Credit Extension to a Borrower through any Lending Office, provided that the exercise of this option shall not affect the obligation of such Borrower to repay the Credit Extension in accordance with the terms of this Agreement. If any Lender or the L/C Issuer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any Borrower is required to pay any Indemnified Taxes or additional amounts to any Lender, the L/C Issuer, or any Governmental Authority for the account of any Lender or the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Company,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the L/C Issuer, as the case may be, to any unreimbursed cost or expense and would not otherwise be disadvantageous to such Lender or the L/C Issuer, as the case may be. The Borrowers hereby agree to pay all reasonable costs and expenses incurred by any Lender or the L/C Issuer in connection with any such designation or assignment.</w:t>
      </w:r>
    </w:p>
    <w:p>
      <w:pPr>
        <w:spacing w:after="0" w:line="185" w:lineRule="exact"/>
        <w:rPr>
          <w:rFonts w:ascii="Arial" w:cs="Arial" w:eastAsia="Arial" w:hAnsi="Arial"/>
          <w:sz w:val="19"/>
          <w:szCs w:val="19"/>
          <w:color w:val="auto"/>
        </w:rPr>
      </w:pPr>
    </w:p>
    <w:p>
      <w:pPr>
        <w:ind w:right="20" w:firstLine="656"/>
        <w:spacing w:after="0" w:line="260" w:lineRule="auto"/>
        <w:tabs>
          <w:tab w:leader="none" w:pos="1075"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Upon any Lender’s making a claim for compensation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giving a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the Company may replace such Lender in accordance with </w:t>
      </w:r>
      <w:r>
        <w:rPr>
          <w:rFonts w:ascii="Arial" w:cs="Arial" w:eastAsia="Arial" w:hAnsi="Arial"/>
          <w:sz w:val="20"/>
          <w:szCs w:val="20"/>
          <w:u w:val="single" w:color="auto"/>
          <w:color w:val="auto"/>
        </w:rPr>
        <w:t>Section 11.14</w:t>
      </w:r>
      <w:r>
        <w:rPr>
          <w:rFonts w:ascii="Arial" w:cs="Arial" w:eastAsia="Arial" w:hAnsi="Arial"/>
          <w:sz w:val="20"/>
          <w:szCs w:val="20"/>
          <w:color w:val="auto"/>
        </w:rPr>
        <w:t>.</w:t>
      </w:r>
    </w:p>
    <w:p>
      <w:pPr>
        <w:spacing w:after="0" w:line="39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All of the Loan Parties’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Revolving Commitments and repayment of all other Obligations hereunder and resignation of the Administrative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GUARANTY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6"/>
          <w:szCs w:val="16"/>
          <w:u w:val="single" w:color="auto"/>
          <w:color w:val="auto"/>
        </w:rPr>
        <w:t>The Guaranty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Each of the Guarantors hereby jointly and severally guarantees to each Lender, each Affiliate of a Lender that enters into a Hedging Agreement or a Treasury Management Agreement with a Loan Party, and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(after giving effect to any grace or cure period) (whether at stated maturity, as a mandatory prepayment, by acceleration, as a mandatory cash collateralization or otherwise), the Guarantors will promptly, jointly and severally, promptly pay the same, without any demand or notice,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any provision to the contrary contained herein or in any other of the Loan Documents, Hedging Agreements or Treasury Management Agreements, the obligations of each Guarantor (in its capacity as such) under this Agreement and the other Loan Documents shall be limited to an aggregate amount equal to the largest amount that would not render such obligations subject to avoidance under applicable Debtor Relief Laws or any comparable provisions of any applicable Law.</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The obligations of the Guarantors under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joint and several, absolute and unconditional, irrespective of the value, genuineness, validity, regularity or enforceability of any of the Loan Documents, Hedging Agreements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Borrowers or any other Guarantor for amounts paid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until such time as the Obligations (other than contingent obligations that survive termination of this Agreement)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71" w:lineRule="exact"/>
        <w:rPr>
          <w:sz w:val="20"/>
          <w:szCs w:val="20"/>
          <w:color w:val="auto"/>
        </w:rPr>
      </w:pPr>
    </w:p>
    <w:p>
      <w:pPr>
        <w:ind w:left="660" w:firstLine="645"/>
        <w:spacing w:after="0" w:line="260" w:lineRule="auto"/>
        <w:tabs>
          <w:tab w:leader="none" w:pos="1708" w:val="left"/>
        </w:tabs>
        <w:numPr>
          <w:ilvl w:val="0"/>
          <w:numId w:val="85"/>
        </w:numPr>
        <w:rPr>
          <w:rFonts w:ascii="Arial" w:cs="Arial" w:eastAsia="Arial" w:hAnsi="Arial"/>
          <w:sz w:val="20"/>
          <w:szCs w:val="20"/>
          <w:color w:val="auto"/>
        </w:rPr>
      </w:pPr>
      <w:r>
        <w:rPr>
          <w:rFonts w:ascii="Arial" w:cs="Arial" w:eastAsia="Arial" w:hAnsi="Arial"/>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any of the acts mentioned in any of the provisions of any of the Loan Documents, any Hedging Agreement or Treasury Management Agreement between any Loan Party and any Lender, or any Affiliate of a Lender, or any other agreement or instrument referred to in the Loan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6"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20"/>
          <w:szCs w:val="20"/>
          <w:color w:val="auto"/>
        </w:rPr>
        <w:t>Documents, such Hedging Agreements or such Treasury Management Agreements shall be done or omitted;</w:t>
      </w:r>
    </w:p>
    <w:p>
      <w:pPr>
        <w:spacing w:after="0" w:line="216" w:lineRule="exact"/>
        <w:rPr>
          <w:sz w:val="20"/>
          <w:szCs w:val="20"/>
          <w:color w:val="auto"/>
        </w:rPr>
      </w:pPr>
    </w:p>
    <w:p>
      <w:pPr>
        <w:jc w:val="both"/>
        <w:ind w:left="660" w:firstLine="645"/>
        <w:spacing w:after="0" w:line="258" w:lineRule="auto"/>
        <w:tabs>
          <w:tab w:leader="none" w:pos="1735"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maturity of any of the Obligations shall be accelerated, or any of the Obligations shall be modified, supplemented or amended in any respect, or any right under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waived or any other guarantee of any of the Obligations or any security therefor shall be released, impaired or exchanged in whole or in part or otherwise dealt with (except to the extent such Guarantor has been expressly released in writing from its obligations under this Guaranty by the requisite Lenders in accordance with the express terms of this Agreement);</w:t>
      </w:r>
    </w:p>
    <w:p>
      <w:pPr>
        <w:spacing w:after="0" w:line="179" w:lineRule="exact"/>
        <w:rPr>
          <w:rFonts w:ascii="Arial" w:cs="Arial" w:eastAsia="Arial" w:hAnsi="Arial"/>
          <w:sz w:val="19"/>
          <w:szCs w:val="19"/>
          <w:color w:val="auto"/>
        </w:rPr>
      </w:pPr>
    </w:p>
    <w:p>
      <w:pPr>
        <w:ind w:left="660" w:firstLine="645"/>
        <w:spacing w:after="0" w:line="260" w:lineRule="auto"/>
        <w:tabs>
          <w:tab w:leader="none" w:pos="1814"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Lien granted to, or in favor of, the Administrative Agent or any holder of Obligations as security for any of the Obligations shall fail to attach or be perfected; or</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76"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(other than any notice any Guarantor has the express right to receive under any Loan Document), and any requirement that the Administrative Agent or any holder of the Obligations exhaust any right, power or remedy or proceed against any Person under any of the Loan Documents, any Hedging Agreement or any Treasury Management Agreement between any Loan Party and any Lender, or any Affiliate of a Lender, or any other agreement or instrument referred to in the Loan Documents, such Hedging Agreements or such Treasury Management Agreements, or against any other Person under any other guarantee of, or security for, any of the Obligations.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4.03</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The obligations of the Guarantors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holder of the Obligations on demand for all reasonable costs and expenses (including, without limitation, the reasonable and documented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4.04</w:t>
      </w:r>
      <w:r>
        <w:rPr>
          <w:sz w:val="20"/>
          <w:szCs w:val="20"/>
          <w:color w:val="auto"/>
        </w:rPr>
        <w:tab/>
      </w:r>
      <w:r>
        <w:rPr>
          <w:rFonts w:ascii="Arial" w:cs="Arial" w:eastAsia="Arial" w:hAnsi="Arial"/>
          <w:sz w:val="18"/>
          <w:szCs w:val="18"/>
          <w:u w:val="single" w:color="auto"/>
          <w:color w:val="auto"/>
        </w:rPr>
        <w:t>Certain Additional Waivers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through the exercise of rights of contribution pursuant to </w:t>
      </w:r>
      <w:r>
        <w:rPr>
          <w:rFonts w:ascii="Arial" w:cs="Arial" w:eastAsia="Arial" w:hAnsi="Arial"/>
          <w:sz w:val="19"/>
          <w:szCs w:val="19"/>
          <w:u w:val="single" w:color="auto"/>
          <w:color w:val="auto"/>
        </w:rPr>
        <w:t>Section 4.06</w:t>
      </w:r>
      <w:r>
        <w:rPr>
          <w:rFonts w:ascii="Arial" w:cs="Arial" w:eastAsia="Arial" w:hAnsi="Arial"/>
          <w:sz w:val="19"/>
          <w:szCs w:val="19"/>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6" w:right="239" w:bottom="1440" w:gutter="0" w:footer="0" w:header="0"/>
        </w:sectPr>
      </w:pPr>
    </w:p>
    <w:bookmarkStart w:id="75" w:name="page76"/>
    <w:bookmarkEnd w:id="75"/>
    <w:p>
      <w:pPr>
        <w:spacing w:after="0"/>
        <w:tabs>
          <w:tab w:leader="none" w:pos="520" w:val="left"/>
        </w:tabs>
        <w:rPr>
          <w:sz w:val="20"/>
          <w:szCs w:val="20"/>
          <w:color w:val="auto"/>
        </w:rPr>
      </w:pPr>
      <w:r>
        <w:rPr>
          <w:rFonts w:ascii="Arial" w:cs="Arial" w:eastAsia="Arial" w:hAnsi="Arial"/>
          <w:sz w:val="20"/>
          <w:szCs w:val="20"/>
          <w:color w:val="auto"/>
        </w:rPr>
        <w:t>4.05</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The Guarantors agree that, to the fullest extent permitted by Law, as between the Guarantors, on the one hand, and the holders of the Obligations, on the other hand, the Obligations may be declared to be forthwith due and payable as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(and shall be deemed to have become automatically due and payable in the circumstances provided in said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9"/>
          <w:szCs w:val="19"/>
          <w:u w:val="single" w:color="auto"/>
          <w:color w:val="auto"/>
        </w:rPr>
        <w:t>Section 4.01</w:t>
      </w:r>
      <w:r>
        <w:rPr>
          <w:rFonts w:ascii="Arial" w:cs="Arial" w:eastAsia="Arial" w:hAnsi="Arial"/>
          <w:sz w:val="19"/>
          <w:szCs w:val="19"/>
          <w:color w:val="auto"/>
        </w:rPr>
        <w:t>.</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4.06</w:t>
      </w:r>
      <w:r>
        <w:rPr>
          <w:sz w:val="20"/>
          <w:szCs w:val="20"/>
          <w:color w:val="auto"/>
        </w:rPr>
        <w:tab/>
      </w:r>
      <w:r>
        <w:rPr>
          <w:rFonts w:ascii="Arial" w:cs="Arial" w:eastAsia="Arial" w:hAnsi="Arial"/>
          <w:sz w:val="18"/>
          <w:szCs w:val="18"/>
          <w:u w:val="single" w:color="auto"/>
          <w:color w:val="auto"/>
        </w:rPr>
        <w:t>Rights of Contribution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obligations that survive the termination of this Agreement) have been paid in full and the Commitments have terminated.</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4.07</w:t>
      </w:r>
      <w:r>
        <w:rPr>
          <w:sz w:val="20"/>
          <w:szCs w:val="20"/>
          <w:color w:val="auto"/>
        </w:rPr>
        <w:tab/>
      </w:r>
      <w:r>
        <w:rPr>
          <w:rFonts w:ascii="Arial" w:cs="Arial" w:eastAsia="Arial" w:hAnsi="Arial"/>
          <w:sz w:val="16"/>
          <w:szCs w:val="16"/>
          <w:u w:val="single" w:color="auto"/>
          <w:color w:val="auto"/>
        </w:rPr>
        <w:t>Guarantee of Payment; Continuing Guarantee</w:t>
      </w:r>
      <w:r>
        <w:rPr>
          <w:rFonts w:ascii="Arial" w:cs="Arial" w:eastAsia="Arial" w:hAnsi="Arial"/>
          <w:sz w:val="16"/>
          <w:szCs w:val="16"/>
          <w:color w:val="auto"/>
        </w:rPr>
        <w:t>.</w:t>
      </w:r>
    </w:p>
    <w:p>
      <w:pPr>
        <w:spacing w:after="0" w:line="216" w:lineRule="exact"/>
        <w:rPr>
          <w:sz w:val="20"/>
          <w:szCs w:val="20"/>
          <w:color w:val="auto"/>
        </w:rPr>
      </w:pPr>
    </w:p>
    <w:p>
      <w:pPr>
        <w:ind w:right="20" w:firstLine="656"/>
        <w:spacing w:after="0" w:line="260" w:lineRule="auto"/>
        <w:tabs>
          <w:tab w:leader="none" w:pos="1088"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The guarantee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a guaranty of payment and not of collection, is a continuing guarantee, and shall apply to all Obligations whenever arising.</w:t>
      </w:r>
    </w:p>
    <w:p>
      <w:pPr>
        <w:spacing w:after="0" w:line="176" w:lineRule="exact"/>
        <w:rPr>
          <w:rFonts w:ascii="Arial" w:cs="Arial" w:eastAsia="Arial" w:hAnsi="Arial"/>
          <w:sz w:val="20"/>
          <w:szCs w:val="20"/>
          <w:color w:val="auto"/>
        </w:rPr>
      </w:pPr>
    </w:p>
    <w:p>
      <w:pPr>
        <w:jc w:val="both"/>
        <w:ind w:firstLine="656"/>
        <w:spacing w:after="0" w:line="276" w:lineRule="auto"/>
        <w:tabs>
          <w:tab w:leader="none" w:pos="11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 Guarantor shall automatically be released from its obligations hereunder and its Guaranty shall be automatically released upon (i) such Subsidiary becoming an Excluded Subsidiary and receipt by the Administrative Agent of written notice thereof from the Company, (ii) the dissolution, liquidation or winding up of such Subsidiary as permitted hereunder or (iii) the consummation of any transaction permitted hereunder as a result of which such Guarantor ceases to be a Subsidiary. In connection with any such release, the Administrative Agent shall execute and deliver to any such Guarantor, at such Guarantor’s expense, all documents that such Guarantor shall reasonably request to evidence termination or release.</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4.08</w:t>
      </w:r>
      <w:r>
        <w:rPr>
          <w:sz w:val="20"/>
          <w:szCs w:val="20"/>
          <w:color w:val="auto"/>
        </w:rPr>
        <w:tab/>
      </w:r>
      <w:r>
        <w:rPr>
          <w:rFonts w:ascii="Arial" w:cs="Arial" w:eastAsia="Arial" w:hAnsi="Arial"/>
          <w:sz w:val="18"/>
          <w:szCs w:val="18"/>
          <w:u w:val="single" w:color="auto"/>
          <w:color w:val="auto"/>
        </w:rPr>
        <w:t>Keepwell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Each Loan Party that is a Qualified ECP Guarantor at the time the Guaranty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by any Loan Party that is not then an “eligible contract participant” under the Commodity Exchange Act (a “</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voidable under applicable Debtor Relief Laws, and not for any greater amount). The obligations and undertakings of each Qualified ECP Guarantor under this Section shall remain in full force and effect until the Obligations have been paid and performed in full. Each Loan Party intends this Section to constitute,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6" w:right="239" w:bottom="1440" w:gutter="0" w:footer="0" w:header="0"/>
        </w:sectPr>
      </w:pPr>
    </w:p>
    <w:bookmarkStart w:id="76" w:name="page77"/>
    <w:bookmarkEnd w:id="76"/>
    <w:p>
      <w:pPr>
        <w:spacing w:after="0" w:line="260" w:lineRule="auto"/>
        <w:rPr>
          <w:sz w:val="20"/>
          <w:szCs w:val="20"/>
          <w:color w:val="auto"/>
        </w:rPr>
      </w:pPr>
      <w:r>
        <w:rPr>
          <w:rFonts w:ascii="Arial" w:cs="Arial" w:eastAsia="Arial" w:hAnsi="Arial"/>
          <w:sz w:val="20"/>
          <w:szCs w:val="20"/>
          <w:color w:val="auto"/>
        </w:rPr>
        <w:t>and this Section shall be deemed to constitute, a “keepwell, support, or other agreement” for the benefit of each Specified Loan Party for all purposes of the Commodity Exchange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CONDITIONS PRECEDENT TO CREDIT EXTENSIONS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u w:val="single" w:color="auto"/>
          <w:color w:val="auto"/>
        </w:rPr>
        <w:t>Conditions of Initial Credit Extension</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obligation of each Lender to make its initial Credit Extension hereunder is subject to satisfaction of the following conditions precedent:</w:t>
      </w:r>
    </w:p>
    <w:p>
      <w:pPr>
        <w:spacing w:after="0" w:line="177" w:lineRule="exact"/>
        <w:rPr>
          <w:sz w:val="20"/>
          <w:szCs w:val="20"/>
          <w:color w:val="auto"/>
        </w:rPr>
      </w:pPr>
    </w:p>
    <w:p>
      <w:pPr>
        <w:jc w:val="both"/>
        <w:ind w:left="660" w:firstLine="645"/>
        <w:spacing w:after="0" w:line="250" w:lineRule="auto"/>
        <w:tabs>
          <w:tab w:leader="none" w:pos="1762"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787"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43"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There shall not have occurred a material adverse change since July 31, 2015 in the business, assets, liabilities (actual or contingent), operations or condition (financial or otherwise) of the Company and its Subsidiaries, taken as a whole.</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746"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There shall not exist any action, suit, investigation or proceeding pending or threatened in writing against the Company or any of its Subsidiaries in any court or before an arbitrator or Governmental Authority that could reasonably be expected to have a Material Adverse Effect.</w:t>
      </w:r>
    </w:p>
    <w:p>
      <w:pPr>
        <w:spacing w:after="0" w:line="186" w:lineRule="exact"/>
        <w:rPr>
          <w:rFonts w:ascii="Arial" w:cs="Arial" w:eastAsia="Arial" w:hAnsi="Arial"/>
          <w:sz w:val="20"/>
          <w:szCs w:val="20"/>
          <w:color w:val="auto"/>
        </w:rPr>
      </w:pPr>
    </w:p>
    <w:p>
      <w:pPr>
        <w:jc w:val="both"/>
        <w:ind w:left="660" w:right="20" w:firstLine="645"/>
        <w:spacing w:after="0" w:line="250" w:lineRule="auto"/>
        <w:tabs>
          <w:tab w:leader="none" w:pos="1722"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Organization Documents, Resolutions, Etc.</w:t>
      </w:r>
      <w:r>
        <w:rPr>
          <w:rFonts w:ascii="Arial" w:cs="Arial" w:eastAsia="Arial" w:hAnsi="Arial"/>
          <w:sz w:val="20"/>
          <w:szCs w:val="20"/>
          <w:color w:val="auto"/>
        </w:rPr>
        <w:t xml:space="preserve"> Receipt by the Administrative Agent of the following, each of which shall be originals or .pdf or facsimiles (in each case, followed promptly by originals), in form and substance satisfactory to the Administrative Agent and its legal counsel:</w:t>
      </w:r>
    </w:p>
    <w:p>
      <w:pPr>
        <w:spacing w:after="0" w:line="186" w:lineRule="exact"/>
        <w:rPr>
          <w:rFonts w:ascii="Arial" w:cs="Arial" w:eastAsia="Arial" w:hAnsi="Arial"/>
          <w:sz w:val="20"/>
          <w:szCs w:val="20"/>
          <w:color w:val="auto"/>
        </w:rPr>
      </w:pPr>
    </w:p>
    <w:p>
      <w:pPr>
        <w:jc w:val="both"/>
        <w:ind w:left="1300" w:firstLine="653"/>
        <w:spacing w:after="0" w:line="291" w:lineRule="auto"/>
        <w:tabs>
          <w:tab w:leader="none" w:pos="2342"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51" w:lineRule="exact"/>
        <w:rPr>
          <w:rFonts w:ascii="Arial" w:cs="Arial" w:eastAsia="Arial" w:hAnsi="Arial"/>
          <w:sz w:val="18"/>
          <w:szCs w:val="18"/>
          <w:color w:val="auto"/>
        </w:rPr>
      </w:pPr>
    </w:p>
    <w:p>
      <w:pPr>
        <w:ind w:left="1300" w:firstLine="653"/>
        <w:spacing w:after="0" w:line="260" w:lineRule="auto"/>
        <w:tabs>
          <w:tab w:leader="none" w:pos="2505" w:val="left"/>
        </w:tabs>
        <w:numPr>
          <w:ilvl w:val="1"/>
          <w:numId w:val="88"/>
        </w:numPr>
        <w:rPr>
          <w:rFonts w:ascii="Arial" w:cs="Arial" w:eastAsia="Arial" w:hAnsi="Arial"/>
          <w:sz w:val="20"/>
          <w:szCs w:val="20"/>
          <w:color w:val="auto"/>
        </w:rPr>
      </w:pPr>
      <w:r>
        <w:rPr>
          <w:rFonts w:ascii="Arial" w:cs="Arial" w:eastAsia="Arial" w:hAnsi="Arial"/>
          <w:sz w:val="20"/>
          <w:szCs w:val="20"/>
          <w:color w:val="auto"/>
        </w:rPr>
        <w:t>copies of the consolidated articles of association of each Luxembourg Loan Party, certified to be true and complete as of a recent date by a manager or director (where applicable) of such Luxembourg Loan Party;</w:t>
      </w:r>
    </w:p>
    <w:p>
      <w:pPr>
        <w:spacing w:after="0" w:line="176" w:lineRule="exact"/>
        <w:rPr>
          <w:rFonts w:ascii="Arial" w:cs="Arial" w:eastAsia="Arial" w:hAnsi="Arial"/>
          <w:sz w:val="20"/>
          <w:szCs w:val="20"/>
          <w:color w:val="auto"/>
        </w:rPr>
      </w:pPr>
    </w:p>
    <w:p>
      <w:pPr>
        <w:jc w:val="both"/>
        <w:ind w:left="1300" w:firstLine="653"/>
        <w:spacing w:after="0" w:line="233" w:lineRule="exact"/>
        <w:tabs>
          <w:tab w:leader="none" w:pos="2479" w:val="left"/>
        </w:tabs>
        <w:numPr>
          <w:ilvl w:val="1"/>
          <w:numId w:val="88"/>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or the equivalent with respect to any non</w:t>
      </w:r>
      <w:r>
        <w:rPr>
          <w:rFonts w:ascii="MS PGothic" w:cs="MS PGothic" w:eastAsia="MS PGothic" w:hAnsi="MS PGothic"/>
          <w:sz w:val="20"/>
          <w:szCs w:val="20"/>
          <w:color w:val="auto"/>
        </w:rPr>
        <w:t>‑</w:t>
      </w:r>
      <w:r>
        <w:rPr>
          <w:rFonts w:ascii="Arial" w:cs="Arial" w:eastAsia="Arial" w:hAnsi="Arial"/>
          <w:sz w:val="20"/>
          <w:szCs w:val="20"/>
          <w:color w:val="auto"/>
        </w:rPr>
        <w:t>U.S. jurisdiction (including, with respect to a Luxembourg Loan Party, a true and complete copy of an extract from the Luxembourg Companies Register dated no earlier than one (1) day before the Closing Date, and a true and complete copy of a certificate of non-registration of judgments (</w:t>
      </w:r>
      <w:r>
        <w:rPr>
          <w:rFonts w:ascii="Arial" w:cs="Arial" w:eastAsia="Arial" w:hAnsi="Arial"/>
          <w:sz w:val="20"/>
          <w:szCs w:val="20"/>
          <w:i w:val="1"/>
          <w:iCs w:val="1"/>
          <w:color w:val="auto"/>
        </w:rPr>
        <w:t>certificat de non-inscription d'une</w:t>
      </w:r>
      <w:r>
        <w:rPr>
          <w:rFonts w:ascii="Arial" w:cs="Arial" w:eastAsia="Arial" w:hAnsi="Arial"/>
          <w:sz w:val="20"/>
          <w:szCs w:val="20"/>
          <w:color w:val="auto"/>
        </w:rPr>
        <w:t xml:space="preserve"> </w:t>
      </w:r>
      <w:r>
        <w:rPr>
          <w:rFonts w:ascii="Arial" w:cs="Arial" w:eastAsia="Arial" w:hAnsi="Arial"/>
          <w:sz w:val="20"/>
          <w:szCs w:val="20"/>
          <w:i w:val="1"/>
          <w:iCs w:val="1"/>
          <w:color w:val="auto"/>
        </w:rPr>
        <w:t>decision judiciaire ou certificat négatif</w:t>
      </w:r>
      <w:r>
        <w:rPr>
          <w:rFonts w:ascii="Arial" w:cs="Arial" w:eastAsia="Arial" w:hAnsi="Arial"/>
          <w:sz w:val="20"/>
          <w:szCs w:val="20"/>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6" w:right="239" w:bottom="1440" w:gutter="0" w:footer="0" w:header="0"/>
        </w:sectPr>
      </w:pPr>
    </w:p>
    <w:bookmarkStart w:id="77" w:name="page78"/>
    <w:bookmarkEnd w:id="77"/>
    <w:p>
      <w:pPr>
        <w:jc w:val="both"/>
        <w:ind w:left="1300"/>
        <w:spacing w:after="0" w:line="271" w:lineRule="auto"/>
        <w:rPr>
          <w:sz w:val="20"/>
          <w:szCs w:val="20"/>
          <w:color w:val="auto"/>
        </w:rPr>
      </w:pPr>
      <w:r>
        <w:rPr>
          <w:rFonts w:ascii="Arial" w:cs="Arial" w:eastAsia="Arial" w:hAnsi="Arial"/>
          <w:sz w:val="18"/>
          <w:szCs w:val="18"/>
          <w:color w:val="auto"/>
        </w:rPr>
        <w:t>issued by the Luxembourg Companies Register on the date of this agreement and reflecting the situation of one day prior to the date of this agreement, stating that such Luxembourg Loan Party incorporated in Luxembourg has not been declared bankrupt (</w:t>
      </w:r>
      <w:r>
        <w:rPr>
          <w:rFonts w:ascii="Arial" w:cs="Arial" w:eastAsia="Arial" w:hAnsi="Arial"/>
          <w:sz w:val="18"/>
          <w:szCs w:val="18"/>
          <w:i w:val="1"/>
          <w:iCs w:val="1"/>
          <w:color w:val="auto"/>
        </w:rPr>
        <w:t>en faillite</w:t>
      </w:r>
      <w:r>
        <w:rPr>
          <w:rFonts w:ascii="Arial" w:cs="Arial" w:eastAsia="Arial" w:hAnsi="Arial"/>
          <w:sz w:val="18"/>
          <w:szCs w:val="18"/>
          <w:color w:val="auto"/>
        </w:rPr>
        <w:t>) and that it has not applied for general settlement or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or such other proceedings listed at Article 13, items 2 to 11 and Article 14 of the Luxembourg Act dated 19 December 2002 on the Register of Commerce and Companies, on Accounting and on Annual Accounts of the Companies (as amended from time to time)),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the approval by the board of managers of a Luxembourg Loan Party for such Luxembourg Loan Party to enter into this Agreement and the other Loan Documents to which it is a party; and</w:t>
      </w:r>
    </w:p>
    <w:p>
      <w:pPr>
        <w:spacing w:after="0" w:line="175" w:lineRule="exact"/>
        <w:rPr>
          <w:sz w:val="20"/>
          <w:szCs w:val="20"/>
          <w:color w:val="auto"/>
        </w:rPr>
      </w:pPr>
    </w:p>
    <w:p>
      <w:pPr>
        <w:jc w:val="both"/>
        <w:ind w:left="1300" w:right="20" w:firstLine="653"/>
        <w:spacing w:after="0" w:line="250" w:lineRule="auto"/>
        <w:tabs>
          <w:tab w:leader="none" w:pos="2495" w:val="left"/>
        </w:tabs>
        <w:numPr>
          <w:ilvl w:val="1"/>
          <w:numId w:val="89"/>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and is validly existing, in good standing (or similar status) and qualified to engage in business in its state of organization or formation.</w:t>
      </w:r>
    </w:p>
    <w:p>
      <w:pPr>
        <w:spacing w:after="0" w:line="186" w:lineRule="exact"/>
        <w:rPr>
          <w:rFonts w:ascii="Arial" w:cs="Arial" w:eastAsia="Arial" w:hAnsi="Arial"/>
          <w:sz w:val="20"/>
          <w:szCs w:val="20"/>
          <w:color w:val="auto"/>
        </w:rPr>
      </w:pPr>
    </w:p>
    <w:p>
      <w:pPr>
        <w:ind w:left="660" w:firstLine="645"/>
        <w:spacing w:after="0" w:line="287" w:lineRule="auto"/>
        <w:tabs>
          <w:tab w:leader="none" w:pos="170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Closing Certificate</w:t>
      </w:r>
      <w:r>
        <w:rPr>
          <w:rFonts w:ascii="Arial" w:cs="Arial" w:eastAsia="Arial" w:hAnsi="Arial"/>
          <w:sz w:val="19"/>
          <w:szCs w:val="19"/>
          <w:color w:val="auto"/>
        </w:rPr>
        <w:t xml:space="preserve">. Receipt by the Administrative Agent of a certificate signed by a Responsible Officer of the Company certifying that the conditions specified in </w:t>
      </w:r>
      <w:r>
        <w:rPr>
          <w:rFonts w:ascii="Arial" w:cs="Arial" w:eastAsia="Arial" w:hAnsi="Arial"/>
          <w:sz w:val="19"/>
          <w:szCs w:val="19"/>
          <w:u w:val="single" w:color="auto"/>
          <w:color w:val="auto"/>
        </w:rPr>
        <w:t>Sections 5.01(c)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5.02(a)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w:t>
      </w:r>
    </w:p>
    <w:p>
      <w:pPr>
        <w:spacing w:after="0" w:line="152" w:lineRule="exact"/>
        <w:rPr>
          <w:rFonts w:ascii="Arial" w:cs="Arial" w:eastAsia="Arial" w:hAnsi="Arial"/>
          <w:sz w:val="19"/>
          <w:szCs w:val="19"/>
          <w:color w:val="auto"/>
        </w:rPr>
      </w:pPr>
    </w:p>
    <w:p>
      <w:pPr>
        <w:jc w:val="both"/>
        <w:ind w:left="660" w:firstLine="645"/>
        <w:spacing w:after="0" w:line="246" w:lineRule="auto"/>
        <w:tabs>
          <w:tab w:leader="none" w:pos="1719"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Termination of Existing Credit Agreement</w:t>
      </w:r>
      <w:r>
        <w:rPr>
          <w:rFonts w:ascii="Arial" w:cs="Arial" w:eastAsia="Arial" w:hAnsi="Arial"/>
          <w:sz w:val="20"/>
          <w:szCs w:val="20"/>
          <w:color w:val="auto"/>
        </w:rPr>
        <w:t>. Receipt by the Administrative Agent of evidence reasonably satisfactory to the Administrative Agent that all obligations (other than contingent obligations surviving the termination of the Existing Credit Agreement) owing under the Existing Credit Agreement have been repaid in full, all commitments thereunder have been terminated and all Liens (if any) in connection therewith have been released.</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Receipt by the Administrative Agent and the Lenders of any fees required to be paid on or before the Closing Date.</w:t>
      </w:r>
    </w:p>
    <w:p>
      <w:pPr>
        <w:spacing w:after="0" w:line="238" w:lineRule="exact"/>
        <w:rPr>
          <w:rFonts w:ascii="Arial" w:cs="Arial" w:eastAsia="Arial" w:hAnsi="Arial"/>
          <w:sz w:val="18"/>
          <w:szCs w:val="18"/>
          <w:color w:val="auto"/>
        </w:rPr>
      </w:pPr>
    </w:p>
    <w:p>
      <w:pPr>
        <w:jc w:val="both"/>
        <w:ind w:left="660" w:firstLine="645"/>
        <w:spacing w:after="0" w:line="243" w:lineRule="auto"/>
        <w:tabs>
          <w:tab w:leader="none" w:pos="1689"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Attorney Costs</w:t>
      </w:r>
      <w:r>
        <w:rPr>
          <w:rFonts w:ascii="Arial" w:cs="Arial" w:eastAsia="Arial" w:hAnsi="Arial"/>
          <w:sz w:val="20"/>
          <w:szCs w:val="20"/>
          <w:color w:val="auto"/>
        </w:rPr>
        <w:t>. Unless waived by the Administrative Agent, the Company shall have paid all the reasonable fees, charges and disbursements of counsel of the Administrative Agent to the extent invoices have been received at least one Business Day in advance prior to the Closing Date, plus such additional amounts of such fees, charges and disbursements of such counsel as shall constitute its reasonable estimate of such fees, charges and disbursements of such counsel incurred or to be incurred by it through the closing proceedings (provided that such estimate shall not thereafter preclude a final settling of accounts between the Company and the Administrative Agent).</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5.01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Lenders that are parties to the Existing Credit agreement (and which constitute "Required Lenders" under and as defined in the Existing Credit Agreement) hereby waive any advance notice requirement 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6" w:right="239" w:bottom="1440" w:gutter="0" w:footer="0" w:header="0"/>
        </w:sectPr>
      </w:pPr>
    </w:p>
    <w:bookmarkStart w:id="78" w:name="page79"/>
    <w:bookmarkEnd w:id="78"/>
    <w:p>
      <w:pPr>
        <w:jc w:val="both"/>
        <w:spacing w:after="0" w:line="250" w:lineRule="auto"/>
        <w:rPr>
          <w:sz w:val="20"/>
          <w:szCs w:val="20"/>
          <w:color w:val="auto"/>
        </w:rPr>
      </w:pPr>
      <w:r>
        <w:rPr>
          <w:rFonts w:ascii="Arial" w:cs="Arial" w:eastAsia="Arial" w:hAnsi="Arial"/>
          <w:sz w:val="20"/>
          <w:szCs w:val="20"/>
          <w:color w:val="auto"/>
        </w:rPr>
        <w:t>terminating the commitments under the Existing Credit Agreement, and the Borrowers and the applicable Lenders agree that the Existing Credit Agreement and the commitments thereunder shall be terminated on the date hereof (except for any provisions thereof which by their terms survive termination thereof).</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obligation of each Lender to honor any Request for Credit Extension is subject to the following conditions precedent:</w:t>
      </w:r>
    </w:p>
    <w:p>
      <w:pPr>
        <w:spacing w:after="0" w:line="216" w:lineRule="exact"/>
        <w:rPr>
          <w:sz w:val="20"/>
          <w:szCs w:val="20"/>
          <w:color w:val="auto"/>
        </w:rPr>
      </w:pPr>
    </w:p>
    <w:p>
      <w:pPr>
        <w:jc w:val="both"/>
        <w:ind w:left="660" w:firstLine="645"/>
        <w:spacing w:after="0" w:line="260" w:lineRule="auto"/>
        <w:tabs>
          <w:tab w:leader="none" w:pos="1816"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Loan Parties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(excluding, except in the case of the Closing Date, the representation and warranty contained in </w:t>
      </w:r>
      <w:r>
        <w:rPr>
          <w:rFonts w:ascii="Arial" w:cs="Arial" w:eastAsia="Arial" w:hAnsi="Arial"/>
          <w:sz w:val="19"/>
          <w:szCs w:val="19"/>
          <w:u w:val="single" w:color="auto"/>
          <w:color w:val="auto"/>
        </w:rPr>
        <w:t>Section 6.05</w:t>
      </w:r>
      <w:r>
        <w:rPr>
          <w:rFonts w:ascii="Arial" w:cs="Arial" w:eastAsia="Arial" w:hAnsi="Arial"/>
          <w:sz w:val="19"/>
          <w:szCs w:val="19"/>
          <w:color w:val="auto"/>
        </w:rPr>
        <w:t>)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80" w:lineRule="exact"/>
        <w:rPr>
          <w:rFonts w:ascii="Arial" w:cs="Arial" w:eastAsia="Arial" w:hAnsi="Arial"/>
          <w:sz w:val="19"/>
          <w:szCs w:val="19"/>
          <w:color w:val="auto"/>
        </w:rPr>
      </w:pPr>
    </w:p>
    <w:p>
      <w:pPr>
        <w:ind w:left="1720" w:hanging="415"/>
        <w:spacing w:after="0"/>
        <w:tabs>
          <w:tab w:leader="none" w:pos="1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 Default shall exist, or would result from such proposed Credit Extension.</w:t>
      </w:r>
    </w:p>
    <w:p>
      <w:pPr>
        <w:spacing w:after="0" w:line="215" w:lineRule="exact"/>
        <w:rPr>
          <w:rFonts w:ascii="Arial" w:cs="Arial" w:eastAsia="Arial" w:hAnsi="Arial"/>
          <w:sz w:val="20"/>
          <w:szCs w:val="20"/>
          <w:color w:val="auto"/>
        </w:rPr>
      </w:pPr>
    </w:p>
    <w:p>
      <w:pPr>
        <w:ind w:left="660" w:firstLine="645"/>
        <w:spacing w:after="0" w:line="260" w:lineRule="auto"/>
        <w:tabs>
          <w:tab w:leader="none" w:pos="1749"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Administrative Agent and, if applicable, the L/C Issuer or the Swing Line Lender shall have received a Request for Credit Extension in accordance with the requirements hereof.</w:t>
      </w:r>
    </w:p>
    <w:p>
      <w:pPr>
        <w:spacing w:after="0" w:line="176" w:lineRule="exact"/>
        <w:rPr>
          <w:rFonts w:ascii="Arial" w:cs="Arial" w:eastAsia="Arial" w:hAnsi="Arial"/>
          <w:sz w:val="20"/>
          <w:szCs w:val="20"/>
          <w:color w:val="auto"/>
        </w:rPr>
      </w:pPr>
    </w:p>
    <w:p>
      <w:pPr>
        <w:ind w:left="660" w:firstLine="645"/>
        <w:spacing w:after="0" w:line="260" w:lineRule="auto"/>
        <w:tabs>
          <w:tab w:leader="none" w:pos="1719"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If the applicable Borrower is a Designated Borrower, such Borrower shall have been designated as a Designated Borrower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5"/>
        <w:spacing w:after="0" w:line="260" w:lineRule="auto"/>
        <w:tabs>
          <w:tab w:leader="none" w:pos="1722"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Each Request for Credit Extension (other than a Loan Notice requesting a conversion of the Loans to another Type or a continuation of Eurocurrency Rate Loans) submitted by a Borrower shall be deemed to be a representation and warranty that the conditions specified in </w:t>
      </w:r>
      <w:r>
        <w:rPr>
          <w:rFonts w:ascii="Arial" w:cs="Arial" w:eastAsia="Arial" w:hAnsi="Arial"/>
          <w:sz w:val="20"/>
          <w:szCs w:val="20"/>
          <w:u w:val="single" w:color="auto"/>
          <w:color w:val="auto"/>
        </w:rPr>
        <w:t>Sections 5.02(a)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To induce the Administrative Agent and the Lenders to enter into this Agreement and to induce the Lenders to make Loans and issue or participate in Letters of Credit hereunder, the Loan Parties represent and warrant to the Administrative Agent and the Lenders that:</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6"/>
          <w:szCs w:val="16"/>
          <w:u w:val="single" w:color="auto"/>
          <w:color w:val="auto"/>
        </w:rPr>
        <w:t>Organization, etc.</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is a corporation duly organized, validly existing and in good standing (or equivalent status) under the Laws of the State of Wisconsin; each Designated Borrower and Significant Subsidiary 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6" w:right="239" w:bottom="1440" w:gutter="0" w:footer="0" w:header="0"/>
        </w:sectPr>
      </w:pPr>
    </w:p>
    <w:bookmarkStart w:id="79" w:name="page80"/>
    <w:bookmarkEnd w:id="79"/>
    <w:p>
      <w:pPr>
        <w:jc w:val="both"/>
        <w:spacing w:after="0" w:line="278" w:lineRule="auto"/>
        <w:rPr>
          <w:sz w:val="20"/>
          <w:szCs w:val="20"/>
          <w:color w:val="auto"/>
        </w:rPr>
      </w:pPr>
      <w:r>
        <w:rPr>
          <w:rFonts w:ascii="Arial" w:cs="Arial" w:eastAsia="Arial" w:hAnsi="Arial"/>
          <w:sz w:val="18"/>
          <w:szCs w:val="18"/>
          <w:color w:val="auto"/>
        </w:rPr>
        <w:t>duly organized, validly existing and in good standing (or equivalent status) under the Laws of the jurisdiction of its organization; and the Company, each Designated Borrower and each Significant Subsidiary is duly qualified to do business in each jurisdiction where the nature of its business makes such qualification necessary (except to the extent the failure to be so qualified or in good standing could not reasonably be expected to have a Material Adverse Effect) and has full power and authority to own its property and conduct its business as presently conducted by it (except to the extent the failure to have such authority could not reasonably be expected to have a Material Adverse Effect).</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execution, delivery and performance by each Loan Party of each Loan Document to which it is a party and the Credit Extensions hereunder (a) are within the organizational powers of the Company and each Loan Party, (b) have been duly authorized by all necessary organizational action on the part of such Loan Party (including any necessary shareholder, partner or member action), (c) have received all necessary governmental and other third-party approvals (if any shall be required) the failure of which to obtain could reasonably be expected to have a Material Adverse Effect, and (d) do not and will not (i) violate any provision of Law or any order, decree or judgment of any court or other Governmental Authority which is binding on the Company or any other Loan Party, (ii) contravene or conflict with, or result in a breach of, any provision of the Organization Documents of the Company or any other Loan Party or (iii) contravene or conflict with, or result in a Lien under, any material agreement, indenture, instrument or other document which is binding on the Company or any other Loan Party.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Validity and Binding Nature</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Each Loan Document to which a Loan Party is a party is the legal, valid and binding obligation of such Loan Party, enforceable against such Loan Party in accordance with its terms, subject to Debtor Relief Laws and to general principles of equity.</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8"/>
          <w:szCs w:val="18"/>
          <w:u w:val="single" w:color="auto"/>
          <w:color w:val="auto"/>
        </w:rPr>
        <w:t>Financial Condition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Audited Financial Statements were prepared in accordance with GAAP and present fairly in all material respects the consolidated financial condition of the Company and its Subsidiaries as at such date and the results of their operations for the period then ended, except as may be expressly noted therein.</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Since July 31, 2015, there has been no material adverse change in the financial condition, operations, assets, business or properties of the Company and its Subsidiaries taken as a whole.</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litigation (including derivative actions), arbitration proceeding, labor controversy or governmental investigation or proceeding is pending or, to the Company’s knowledge, threatened in writing against the Company or any Significant Subsidiary which could reasonably be expected to (a) have a Material Adverse Effect; (b) materially and adversely affect the ability of the Borrowers or any Guarantor to perform its obligations under the Loan Documents; or (c) materially and adversely affect the rights and remedies of the Administrative Agent or the Lenders under the Loan Documents.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6" w:right="239" w:bottom="1440" w:gutter="0" w:footer="0" w:header="0"/>
        </w:sectPr>
      </w:pPr>
    </w:p>
    <w:bookmarkStart w:id="80" w:name="page81"/>
    <w:bookmarkEnd w:id="80"/>
    <w:p>
      <w:pPr>
        <w:spacing w:after="0"/>
        <w:tabs>
          <w:tab w:leader="none" w:pos="52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6"/>
          <w:szCs w:val="16"/>
          <w:u w:val="single" w:color="auto"/>
          <w:color w:val="auto"/>
        </w:rPr>
        <w:t>Ownership of Properties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spacing w:after="0" w:line="11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As of the Closing Date, the Company has no Subsidiaries except those listed in </w:t>
      </w:r>
      <w:r>
        <w:rPr>
          <w:rFonts w:ascii="Arial" w:cs="Arial" w:eastAsia="Arial" w:hAnsi="Arial"/>
          <w:sz w:val="20"/>
          <w:szCs w:val="20"/>
          <w:u w:val="single" w:color="auto"/>
          <w:color w:val="auto"/>
        </w:rPr>
        <w:t>Schedule 6.08</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6"/>
          <w:szCs w:val="16"/>
          <w:u w:val="single" w:color="auto"/>
          <w:color w:val="auto"/>
        </w:rPr>
        <w:t>Pension Plans and Plan Assets</w:t>
      </w:r>
      <w:r>
        <w:rPr>
          <w:rFonts w:ascii="Arial" w:cs="Arial" w:eastAsia="Arial" w:hAnsi="Arial"/>
          <w:sz w:val="16"/>
          <w:szCs w:val="16"/>
          <w:color w:val="auto"/>
        </w:rPr>
        <w:t>.</w:t>
      </w:r>
    </w:p>
    <w:p>
      <w:pPr>
        <w:spacing w:after="0" w:line="216" w:lineRule="exact"/>
        <w:rPr>
          <w:sz w:val="20"/>
          <w:szCs w:val="20"/>
          <w:color w:val="auto"/>
        </w:rPr>
      </w:pPr>
    </w:p>
    <w:p>
      <w:pPr>
        <w:ind w:left="1760" w:hanging="455"/>
        <w:spacing w:after="0"/>
        <w:tabs>
          <w:tab w:leader="none" w:pos="17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During the twelve-consecutive-month period prior to the Closing Date or the making of any Credit Extension hereunder,</w:t>
      </w:r>
    </w:p>
    <w:p>
      <w:pPr>
        <w:spacing w:after="0" w:line="38" w:lineRule="exact"/>
        <w:rPr>
          <w:rFonts w:ascii="Arial" w:cs="Arial" w:eastAsia="Arial" w:hAnsi="Arial"/>
          <w:sz w:val="18"/>
          <w:szCs w:val="18"/>
          <w:color w:val="auto"/>
        </w:rPr>
      </w:pPr>
    </w:p>
    <w:p>
      <w:pPr>
        <w:jc w:val="both"/>
        <w:ind w:left="660" w:hanging="4"/>
        <w:spacing w:after="0" w:line="241" w:lineRule="auto"/>
        <w:tabs>
          <w:tab w:leader="none" w:pos="907"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steps have been taken to terminate any Pension Plan other than a “standard termination” in accordance with Section 4041(b) of ERISA and (ii) no contribution failure has occurred with respect to any Pension Plan sufficient to give rise to a Lien under Section 303(k) of ERISA. No condition exists or event or transaction has occurred with respect to any Pension Plan which could reasonably be expected to have a Material Adverse Effect.</w:t>
      </w:r>
    </w:p>
    <w:p>
      <w:pPr>
        <w:spacing w:after="0" w:line="194" w:lineRule="exact"/>
        <w:rPr>
          <w:rFonts w:ascii="Arial" w:cs="Arial" w:eastAsia="Arial" w:hAnsi="Arial"/>
          <w:sz w:val="20"/>
          <w:szCs w:val="20"/>
          <w:color w:val="auto"/>
        </w:rPr>
      </w:pPr>
    </w:p>
    <w:p>
      <w:pPr>
        <w:jc w:val="both"/>
        <w:ind w:left="660" w:firstLine="645"/>
        <w:spacing w:after="0" w:line="309" w:lineRule="auto"/>
        <w:tabs>
          <w:tab w:leader="none" w:pos="1841"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to the extent that the facts and circumstances causing such representation and warranty to be inaccurate could not reasonably be expected to have a Material Adverse Effect.</w:t>
      </w:r>
    </w:p>
    <w:p>
      <w:pPr>
        <w:spacing w:after="0" w:line="380" w:lineRule="exact"/>
        <w:rPr>
          <w:rFonts w:ascii="Arial" w:cs="Arial" w:eastAsia="Arial" w:hAnsi="Arial"/>
          <w:sz w:val="16"/>
          <w:szCs w:val="16"/>
          <w:color w:val="auto"/>
        </w:rPr>
      </w:pPr>
    </w:p>
    <w:p>
      <w:pPr>
        <w:ind w:left="1700" w:hanging="395"/>
        <w:spacing w:after="0"/>
        <w:tabs>
          <w:tab w:leader="none" w:pos="1700" w:val="left"/>
        </w:tabs>
        <w:numPr>
          <w:ilvl w:val="1"/>
          <w:numId w:val="93"/>
        </w:numPr>
        <w:rPr>
          <w:rFonts w:ascii="Arial" w:cs="Arial" w:eastAsia="Arial" w:hAnsi="Arial"/>
          <w:sz w:val="20"/>
          <w:szCs w:val="20"/>
          <w:color w:val="auto"/>
        </w:rPr>
      </w:pPr>
      <w:r>
        <w:rPr>
          <w:rFonts w:ascii="Arial" w:cs="Arial" w:eastAsia="Arial" w:hAnsi="Arial"/>
          <w:sz w:val="20"/>
          <w:szCs w:val="20"/>
          <w:color w:val="auto"/>
        </w:rPr>
        <w:t>Neither the Company nor any other Loan Party is an entity deemed to hold Plan Assets.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Neither the Company nor any Subsidiary is an “investment company” or a company “controlled” by an “investment company”, within the meaning of the Investment Company Act of 1940.</w:t>
      </w:r>
    </w:p>
    <w:p>
      <w:pPr>
        <w:spacing w:after="0" w:line="17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8"/>
          <w:szCs w:val="18"/>
          <w:u w:val="single" w:color="auto"/>
          <w:color w:val="auto"/>
        </w:rPr>
        <w:t>Regulation U</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 Borrower is engaged principally, or as one of its important activities, in the business of extending credit for the purpose of purchasing or carrying Margin Stock.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6" w:right="239" w:bottom="1440" w:gutter="0" w:footer="0" w:header="0"/>
        </w:sectPr>
      </w:pPr>
    </w:p>
    <w:bookmarkStart w:id="81" w:name="page82"/>
    <w:bookmarkEnd w:id="81"/>
    <w:p>
      <w:pPr>
        <w:spacing w:after="0"/>
        <w:tabs>
          <w:tab w:leader="none" w:pos="52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of the Company and each Significant Subsidiary has filed all federal tax returns and other tax returns and tax reports required by Law to have been filed by it and has paid all taxes and governmental charges thereby shown to be owing, except for any of the following: (i) any such taxes or charges which are being diligently contested in good faith by appropriate action and for which adequate reserves in accordance with GAAP shall have been set aside on its books and/or (ii) where failure of which to file and/or pay (as the case may be) could not reasonably be expected to have a Material Adverse Effect.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Company conducts, in the ordinary course of business (in a manner sufficient to enable the Company to make the representation and warranty set forth in this </w:t>
      </w:r>
      <w:r>
        <w:rPr>
          <w:rFonts w:ascii="Arial" w:cs="Arial" w:eastAsia="Arial" w:hAnsi="Arial"/>
          <w:sz w:val="20"/>
          <w:szCs w:val="20"/>
          <w:u w:val="single" w:color="auto"/>
          <w:color w:val="auto"/>
        </w:rPr>
        <w:t>Section 6.13</w:t>
      </w:r>
      <w:r>
        <w:rPr>
          <w:rFonts w:ascii="Arial" w:cs="Arial" w:eastAsia="Arial" w:hAnsi="Arial"/>
          <w:sz w:val="20"/>
          <w:szCs w:val="20"/>
          <w:color w:val="auto"/>
        </w:rPr>
        <w:t>), a review of the effect of existing Environmental Laws (excluding health, safety and land use matters) and existing Environmental Claims (excluding health, safety and land use matters) on its and its Significant Subsidiaries’ business, operation and properties, and as a result thereof, the Company has reasonably concluded that, except for matters for which adequate reserves are maintained, the aggregate effect of such Environmental Laws and Environmental Claims, could not reasonably be expected to have a Material Adverse Effect.</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All information heretofore or contemporaneously herewith furnished in writing by the Company or any Subsidiary to the Administrative Agent or any Lender pursuant to this Agreement and the other Loan Documents hereby is, and all written information hereafter furnished by or on behalf of the Company or any Subsidiary to any Lender pursuant hereto, when taken as a whole, will be true and accurate in every material respect on the date as of which such information is dated or certified, and none of such information is or will be incomplete by omitting to state any material fact necessary to make such information not materially misleading in light of the circumstances under which made (it being recognized by the Administrative Agent and the Lenders that (a) any projections and forecasts provided by the Company or any Subsidiary are based on good faith estimates and assumptions believed by the Company or such Subsidiary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w:t>
      </w:r>
    </w:p>
    <w:p>
      <w:pPr>
        <w:spacing w:after="0" w:line="17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Default has occurred and is continuing or would result from the consummation of any transaction contemplated by this Agreement or any other Loan Document.</w:t>
      </w:r>
    </w:p>
    <w:p>
      <w:pPr>
        <w:spacing w:after="0" w:line="19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6.16</w:t>
      </w:r>
      <w:r>
        <w:rPr>
          <w:sz w:val="20"/>
          <w:szCs w:val="20"/>
          <w:color w:val="auto"/>
        </w:rPr>
        <w:tab/>
      </w:r>
      <w:r>
        <w:rPr>
          <w:rFonts w:ascii="Arial" w:cs="Arial" w:eastAsia="Arial" w:hAnsi="Arial"/>
          <w:sz w:val="16"/>
          <w:szCs w:val="16"/>
          <w:u w:val="single" w:color="auto"/>
          <w:color w:val="auto"/>
        </w:rPr>
        <w:t>Designated Borrower Joinder Agreement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as long as any Subsidiary shall be a Borrower, the representations and warranties of such Subsidiary in such Borrower’s Designated Borrower Joinder Agreement are true and correct in all material respects as of the date such representations and warranties are made or deemed to be made, except to the extent such representations and warranties expressly relate to an earlier date in which case they shall be true and correct in all material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6" w:right="239" w:bottom="1440" w:gutter="0" w:footer="0" w:header="0"/>
        </w:sectPr>
      </w:pPr>
    </w:p>
    <w:bookmarkStart w:id="82" w:name="page83"/>
    <w:bookmarkEnd w:id="82"/>
    <w:p>
      <w:pPr>
        <w:spacing w:after="0"/>
        <w:tabs>
          <w:tab w:leader="none" w:pos="520" w:val="left"/>
        </w:tabs>
        <w:rPr>
          <w:sz w:val="20"/>
          <w:szCs w:val="20"/>
          <w:color w:val="auto"/>
        </w:rPr>
      </w:pPr>
      <w:r>
        <w:rPr>
          <w:rFonts w:ascii="Arial" w:cs="Arial" w:eastAsia="Arial" w:hAnsi="Arial"/>
          <w:sz w:val="20"/>
          <w:szCs w:val="20"/>
          <w:color w:val="auto"/>
        </w:rPr>
        <w:t>6.17</w:t>
      </w:r>
      <w:r>
        <w:rPr>
          <w:sz w:val="20"/>
          <w:szCs w:val="20"/>
          <w:color w:val="auto"/>
        </w:rPr>
        <w:tab/>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None of the Loan Parties, nor any of their Subsidiaries, nor, to the knowledge of the Loan Parties and their Subsidiaries, any director, officer, employee or Affiliate thereof, nor, to the knowledge of the Loan Parties, any agent of the Borrowers or any Subsidiary that will act as agent on behalf of the Borrowers or such Subsidiary in connection with the credit facility established hereby,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6.18</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Loan Parties and their Subsidiaries have conducted their businesses in compliance in all material respects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6.19</w:t>
      </w:r>
      <w:r>
        <w:rPr>
          <w:sz w:val="20"/>
          <w:szCs w:val="20"/>
          <w:color w:val="auto"/>
        </w:rPr>
        <w:tab/>
      </w:r>
      <w:r>
        <w:rPr>
          <w:rFonts w:ascii="Arial" w:cs="Arial" w:eastAsia="Arial" w:hAnsi="Arial"/>
          <w:sz w:val="16"/>
          <w:szCs w:val="16"/>
          <w:u w:val="single" w:color="auto"/>
          <w:color w:val="auto"/>
        </w:rPr>
        <w:t>Luxembourg Specific Representations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4" w:lineRule="auto"/>
        <w:tabs>
          <w:tab w:leader="none" w:pos="9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Each Luxembourg Loan Party is in compliance with the Luxembourg Law of 31 May 1999 governing the domiciliation of companies (as amended from time to time and all related regulations); (b) the head office (</w:t>
      </w:r>
      <w:r>
        <w:rPr>
          <w:rFonts w:ascii="Arial" w:cs="Arial" w:eastAsia="Arial" w:hAnsi="Arial"/>
          <w:sz w:val="19"/>
          <w:szCs w:val="19"/>
          <w:i w:val="1"/>
          <w:iCs w:val="1"/>
          <w:color w:val="auto"/>
        </w:rPr>
        <w:t>administration centrale</w:t>
      </w:r>
      <w:r>
        <w:rPr>
          <w:rFonts w:ascii="Arial" w:cs="Arial" w:eastAsia="Arial" w:hAnsi="Arial"/>
          <w:sz w:val="19"/>
          <w:szCs w:val="19"/>
          <w:color w:val="auto"/>
        </w:rPr>
        <w:t>), the place of effective management (</w:t>
      </w:r>
      <w:r>
        <w:rPr>
          <w:rFonts w:ascii="Arial" w:cs="Arial" w:eastAsia="Arial" w:hAnsi="Arial"/>
          <w:sz w:val="19"/>
          <w:szCs w:val="19"/>
          <w:i w:val="1"/>
          <w:iCs w:val="1"/>
          <w:color w:val="auto"/>
        </w:rPr>
        <w:t>siège de direction effective</w:t>
      </w:r>
      <w:r>
        <w:rPr>
          <w:rFonts w:ascii="Arial" w:cs="Arial" w:eastAsia="Arial" w:hAnsi="Arial"/>
          <w:sz w:val="19"/>
          <w:szCs w:val="19"/>
          <w:color w:val="auto"/>
        </w:rPr>
        <w:t>) and (for the purposes of the European Insolvency Regulation) the center of main interests (</w:t>
      </w:r>
      <w:r>
        <w:rPr>
          <w:rFonts w:ascii="Arial" w:cs="Arial" w:eastAsia="Arial" w:hAnsi="Arial"/>
          <w:sz w:val="19"/>
          <w:szCs w:val="19"/>
          <w:i w:val="1"/>
          <w:iCs w:val="1"/>
          <w:color w:val="auto"/>
        </w:rPr>
        <w:t>centre des</w:t>
      </w:r>
      <w:r>
        <w:rPr>
          <w:rFonts w:ascii="Arial" w:cs="Arial" w:eastAsia="Arial" w:hAnsi="Arial"/>
          <w:sz w:val="19"/>
          <w:szCs w:val="19"/>
          <w:color w:val="auto"/>
        </w:rPr>
        <w:t xml:space="preserve"> </w:t>
      </w:r>
      <w:r>
        <w:rPr>
          <w:rFonts w:ascii="Arial" w:cs="Arial" w:eastAsia="Arial" w:hAnsi="Arial"/>
          <w:sz w:val="19"/>
          <w:szCs w:val="19"/>
          <w:i w:val="1"/>
          <w:iCs w:val="1"/>
          <w:color w:val="auto"/>
        </w:rPr>
        <w:t>intérêts principaux</w:t>
      </w:r>
      <w:r>
        <w:rPr>
          <w:rFonts w:ascii="Arial" w:cs="Arial" w:eastAsia="Arial" w:hAnsi="Arial"/>
          <w:sz w:val="19"/>
          <w:szCs w:val="19"/>
          <w:color w:val="auto"/>
        </w:rPr>
        <w:t>) of each Luxembourg Loan Party in Luxembourg is located at the place of its registered office (</w:t>
      </w:r>
      <w:r>
        <w:rPr>
          <w:rFonts w:ascii="Arial" w:cs="Arial" w:eastAsia="Arial" w:hAnsi="Arial"/>
          <w:sz w:val="19"/>
          <w:szCs w:val="19"/>
          <w:i w:val="1"/>
          <w:iCs w:val="1"/>
          <w:color w:val="auto"/>
        </w:rPr>
        <w:t>siège statutaire</w:t>
      </w:r>
      <w:r>
        <w:rPr>
          <w:rFonts w:ascii="Arial" w:cs="Arial" w:eastAsia="Arial" w:hAnsi="Arial"/>
          <w:sz w:val="19"/>
          <w:szCs w:val="19"/>
          <w:color w:val="auto"/>
        </w:rPr>
        <w:t>) in</w:t>
      </w:r>
      <w:r>
        <w:rPr>
          <w:rFonts w:ascii="Arial" w:cs="Arial" w:eastAsia="Arial" w:hAnsi="Arial"/>
          <w:sz w:val="19"/>
          <w:szCs w:val="19"/>
          <w:i w:val="1"/>
          <w:iCs w:val="1"/>
          <w:color w:val="auto"/>
        </w:rPr>
        <w:t xml:space="preserve"> </w:t>
      </w:r>
      <w:r>
        <w:rPr>
          <w:rFonts w:ascii="Arial" w:cs="Arial" w:eastAsia="Arial" w:hAnsi="Arial"/>
          <w:sz w:val="19"/>
          <w:szCs w:val="19"/>
          <w:color w:val="auto"/>
        </w:rPr>
        <w:t>Luxembourg; (c) no Luxembourg Loan Party has filed and, to the best of its knowledge, no Person has filed a request with any competent court seeking that any Luxembourg Loan Party, be declared subject to bankruptcy (</w:t>
      </w:r>
      <w:r>
        <w:rPr>
          <w:rFonts w:ascii="Arial" w:cs="Arial" w:eastAsia="Arial" w:hAnsi="Arial"/>
          <w:sz w:val="19"/>
          <w:szCs w:val="19"/>
          <w:i w:val="1"/>
          <w:iCs w:val="1"/>
          <w:color w:val="auto"/>
        </w:rPr>
        <w:t>faillite</w:t>
      </w:r>
      <w:r>
        <w:rPr>
          <w:rFonts w:ascii="Arial" w:cs="Arial" w:eastAsia="Arial" w:hAnsi="Arial"/>
          <w:sz w:val="19"/>
          <w:szCs w:val="19"/>
          <w:color w:val="auto"/>
        </w:rPr>
        <w:t>), general settlement or composition with creditors (</w:t>
      </w:r>
      <w:r>
        <w:rPr>
          <w:rFonts w:ascii="Arial" w:cs="Arial" w:eastAsia="Arial" w:hAnsi="Arial"/>
          <w:sz w:val="19"/>
          <w:szCs w:val="19"/>
          <w:i w:val="1"/>
          <w:iCs w:val="1"/>
          <w:color w:val="auto"/>
        </w:rPr>
        <w:t>concordat préventif de faillite</w:t>
      </w:r>
      <w:r>
        <w:rPr>
          <w:rFonts w:ascii="Arial" w:cs="Arial" w:eastAsia="Arial" w:hAnsi="Arial"/>
          <w:sz w:val="19"/>
          <w:szCs w:val="19"/>
          <w:color w:val="auto"/>
        </w:rPr>
        <w:t>) controlled management (</w:t>
      </w:r>
      <w:r>
        <w:rPr>
          <w:rFonts w:ascii="Arial" w:cs="Arial" w:eastAsia="Arial" w:hAnsi="Arial"/>
          <w:sz w:val="19"/>
          <w:szCs w:val="19"/>
          <w:i w:val="1"/>
          <w:iCs w:val="1"/>
          <w:color w:val="auto"/>
        </w:rPr>
        <w:t>gestion contrôlée</w:t>
      </w:r>
      <w:r>
        <w:rPr>
          <w:rFonts w:ascii="Arial" w:cs="Arial" w:eastAsia="Arial" w:hAnsi="Arial"/>
          <w:sz w:val="19"/>
          <w:szCs w:val="19"/>
          <w:color w:val="auto"/>
        </w:rPr>
        <w:t>), reprieve from payment (</w:t>
      </w:r>
      <w:r>
        <w:rPr>
          <w:rFonts w:ascii="Arial" w:cs="Arial" w:eastAsia="Arial" w:hAnsi="Arial"/>
          <w:sz w:val="19"/>
          <w:szCs w:val="19"/>
          <w:i w:val="1"/>
          <w:iCs w:val="1"/>
          <w:color w:val="auto"/>
        </w:rPr>
        <w:t>sursis de paiement</w:t>
      </w:r>
      <w:r>
        <w:rPr>
          <w:rFonts w:ascii="Arial" w:cs="Arial" w:eastAsia="Arial" w:hAnsi="Arial"/>
          <w:sz w:val="19"/>
          <w:szCs w:val="19"/>
          <w:color w:val="auto"/>
        </w:rPr>
        <w:t>), judicial or voluntary liquidation (</w:t>
      </w:r>
      <w:r>
        <w:rPr>
          <w:rFonts w:ascii="Arial" w:cs="Arial" w:eastAsia="Arial" w:hAnsi="Arial"/>
          <w:sz w:val="19"/>
          <w:szCs w:val="19"/>
          <w:i w:val="1"/>
          <w:iCs w:val="1"/>
          <w:color w:val="auto"/>
        </w:rPr>
        <w:t>liquidation judiciaire ou volontaire</w:t>
      </w:r>
      <w:r>
        <w:rPr>
          <w:rFonts w:ascii="Arial" w:cs="Arial" w:eastAsia="Arial" w:hAnsi="Arial"/>
          <w:sz w:val="19"/>
          <w:szCs w:val="19"/>
          <w:color w:val="auto"/>
        </w:rPr>
        <w:t xml:space="preserve">), such other proceedings listed at Article 13, items 2 to 11, 13 and Article 14 of the Luxembourg Law of 19 December 2002 on the register of commerce and companies, and the accounting and annual accounts of undertakings (as amended from time to time), (and which include foreign court decision as to </w:t>
      </w:r>
      <w:r>
        <w:rPr>
          <w:rFonts w:ascii="Arial" w:cs="Arial" w:eastAsia="Arial" w:hAnsi="Arial"/>
          <w:sz w:val="19"/>
          <w:szCs w:val="19"/>
          <w:i w:val="1"/>
          <w:iCs w:val="1"/>
          <w:color w:val="auto"/>
        </w:rPr>
        <w:t>faillite</w:t>
      </w:r>
      <w:r>
        <w:rPr>
          <w:rFonts w:ascii="Arial" w:cs="Arial" w:eastAsia="Arial" w:hAnsi="Arial"/>
          <w:sz w:val="19"/>
          <w:szCs w:val="19"/>
          <w:color w:val="auto"/>
        </w:rPr>
        <w:t xml:space="preserve">, </w:t>
      </w:r>
      <w:r>
        <w:rPr>
          <w:rFonts w:ascii="Arial" w:cs="Arial" w:eastAsia="Arial" w:hAnsi="Arial"/>
          <w:sz w:val="19"/>
          <w:szCs w:val="19"/>
          <w:i w:val="1"/>
          <w:iCs w:val="1"/>
          <w:color w:val="auto"/>
        </w:rPr>
        <w:t>concordat</w:t>
      </w:r>
      <w:r>
        <w:rPr>
          <w:rFonts w:ascii="Arial" w:cs="Arial" w:eastAsia="Arial" w:hAnsi="Arial"/>
          <w:sz w:val="19"/>
          <w:szCs w:val="19"/>
          <w:color w:val="auto"/>
        </w:rPr>
        <w:t xml:space="preserve"> or analogous procedures according to the European Insolvency Regulation); and (d) each Luxembourg Loan Party is not, and will not, as a result of its entry into the Loan Documents or the performance of its obligations thereunder, be in a state of cessation of payments (</w:t>
      </w:r>
      <w:r>
        <w:rPr>
          <w:rFonts w:ascii="Arial" w:cs="Arial" w:eastAsia="Arial" w:hAnsi="Arial"/>
          <w:sz w:val="19"/>
          <w:szCs w:val="19"/>
          <w:i w:val="1"/>
          <w:iCs w:val="1"/>
          <w:color w:val="auto"/>
        </w:rPr>
        <w:t>cessation des paiements</w:t>
      </w:r>
      <w:r>
        <w:rPr>
          <w:rFonts w:ascii="Arial" w:cs="Arial" w:eastAsia="Arial" w:hAnsi="Arial"/>
          <w:sz w:val="19"/>
          <w:szCs w:val="19"/>
          <w:color w:val="auto"/>
        </w:rPr>
        <w:t>), or be deemed to in a such state, and has not, and will not, as a result of its entry into the Loan Documents or the performance of its obligations thereunder, lose its creditworthiness (</w:t>
      </w:r>
      <w:r>
        <w:rPr>
          <w:rFonts w:ascii="Arial" w:cs="Arial" w:eastAsia="Arial" w:hAnsi="Arial"/>
          <w:sz w:val="19"/>
          <w:szCs w:val="19"/>
          <w:i w:val="1"/>
          <w:iCs w:val="1"/>
          <w:color w:val="auto"/>
        </w:rPr>
        <w:t>ébranlement de crédit</w:t>
      </w:r>
      <w:r>
        <w:rPr>
          <w:rFonts w:ascii="Arial" w:cs="Arial" w:eastAsia="Arial" w:hAnsi="Arial"/>
          <w:sz w:val="19"/>
          <w:szCs w:val="19"/>
          <w:color w:val="auto"/>
        </w:rPr>
        <w:t>), or be deemed to have lost such creditworthiness and is not aware, or may not reasonably be aware of such circumstances.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6"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COVENANTS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Until the expiration or termination of the Commitments and thereafter until all Obligations of the Loan Parties hereunder and under the other Loan Documents (other than any contingent indemnification or similar obligations not yet due and payable) are paid in full and all Letters of Credit (other than any Letter of Credit that has been Cash Collateralized or with respect to which other arrangements satisfactory to the L/C Issuer have been made) have been terminated, the Loan Parties agree that, unless at any time the Required Lenders shall otherwise expressly consent in writing, they will:</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u w:val="single" w:color="auto"/>
          <w:color w:val="auto"/>
        </w:rPr>
        <w:t>Reports, Certificates and Other Information</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Furnish to the Administrative Agent (for delivery to the Lenders):</w:t>
      </w:r>
    </w:p>
    <w:p>
      <w:pPr>
        <w:spacing w:after="0" w:line="216" w:lineRule="exact"/>
        <w:rPr>
          <w:sz w:val="20"/>
          <w:szCs w:val="20"/>
          <w:color w:val="auto"/>
        </w:rPr>
      </w:pPr>
    </w:p>
    <w:p>
      <w:pPr>
        <w:jc w:val="both"/>
        <w:ind w:left="660" w:firstLine="645"/>
        <w:spacing w:after="0" w:line="269" w:lineRule="auto"/>
        <w:tabs>
          <w:tab w:leader="none" w:pos="170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Audit Report</w:t>
      </w:r>
      <w:r>
        <w:rPr>
          <w:rFonts w:ascii="Arial" w:cs="Arial" w:eastAsia="Arial" w:hAnsi="Arial"/>
          <w:sz w:val="18"/>
          <w:szCs w:val="18"/>
          <w:color w:val="auto"/>
        </w:rPr>
        <w:t>. Promptly when available, and in any event not later than the earlier of (i) five Business Days after the filing thereof with the SEC and (ii) 105 days after the end of each Fiscal Year (commencing with the Fiscal Year ending on or about July 31, 2015), a copy of the audited consolidated balance sheet of the Company and its consolidated Subsidiaries for such Fiscal Year together with audited consolidated statements of earnings and cash flows for such Fiscal Year, accompanied by (x) the report of Deloitte &amp; Touche LLP or another nationally-recognized independent registered public accounting firm (the “</w:t>
      </w:r>
      <w:r>
        <w:rPr>
          <w:rFonts w:ascii="Arial" w:cs="Arial" w:eastAsia="Arial" w:hAnsi="Arial"/>
          <w:sz w:val="18"/>
          <w:szCs w:val="18"/>
          <w:u w:val="single" w:color="auto"/>
          <w:color w:val="auto"/>
        </w:rPr>
        <w:t>Independent Auditor</w:t>
      </w:r>
      <w:r>
        <w:rPr>
          <w:rFonts w:ascii="Arial" w:cs="Arial" w:eastAsia="Arial" w:hAnsi="Arial"/>
          <w:sz w:val="18"/>
          <w:szCs w:val="18"/>
          <w:color w:val="auto"/>
        </w:rPr>
        <w:t xml:space="preserve">”), which report shall (A) state that such consolidated financial statements present fairly in all material respects the financial position for the periods indicated in conformity with GAAP and (B) not be qualified or limited because of a restricted or limited examination by the Independent Auditor of any material portion of the Company’s or any Subsidiary’s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 and (y) a written statement from such accountants to the effect that in making the examination necessary for the signing of such annual audit report by such accountants, they have not become aware of any Default that has occurred and is continuing or, if they have become aware of any such event, describing it in reasonable detail.</w:t>
      </w:r>
    </w:p>
    <w:p>
      <w:pPr>
        <w:spacing w:after="0" w:line="177" w:lineRule="exact"/>
        <w:rPr>
          <w:rFonts w:ascii="Arial" w:cs="Arial" w:eastAsia="Arial" w:hAnsi="Arial"/>
          <w:sz w:val="18"/>
          <w:szCs w:val="18"/>
          <w:color w:val="auto"/>
        </w:rPr>
      </w:pPr>
    </w:p>
    <w:p>
      <w:pPr>
        <w:jc w:val="both"/>
        <w:ind w:left="660" w:firstLine="645"/>
        <w:spacing w:after="0" w:line="274" w:lineRule="auto"/>
        <w:tabs>
          <w:tab w:leader="none" w:pos="173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Quarterly Reports</w:t>
      </w:r>
      <w:r>
        <w:rPr>
          <w:rFonts w:ascii="Arial" w:cs="Arial" w:eastAsia="Arial" w:hAnsi="Arial"/>
          <w:sz w:val="18"/>
          <w:szCs w:val="18"/>
          <w:color w:val="auto"/>
        </w:rPr>
        <w:t>. Promptly when available, and in any event not later than (i) five Business Days after the filing thereof with the SEC and (ii) 45 days after the end of each Fiscal Quarter (except the last Fiscal Quarter of each Fiscal Year), consolidated balance sheets of the Company and its consolidated Subsidiaries as of the end of such Fiscal Quarter, together with a consolidated statement of earnings for such Fiscal Quarter and consolidated statements of earnings and cash flows for the period beginning with the first day of such Fiscal Year and ending on the last day of such Fiscal Quarter, certified by an Executive Officer as fairly presenting in all material respects, in accordance with GAAP (subject to normal year-end audit adjustments and the absence of footnotes), the consolidated financial position and results of operations for the Company and its consolidated Subsidiaries for such periods.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6" w:right="239" w:bottom="1440" w:gutter="0" w:footer="0" w:header="0"/>
        </w:sectPr>
      </w:pPr>
    </w:p>
    <w:bookmarkStart w:id="84" w:name="page85"/>
    <w:bookmarkEnd w:id="84"/>
    <w:p>
      <w:pPr>
        <w:jc w:val="both"/>
        <w:ind w:left="-540" w:firstLine="645"/>
        <w:spacing w:after="0" w:line="259" w:lineRule="auto"/>
        <w:tabs>
          <w:tab w:leader="none" w:pos="643"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Compliance Certificates</w:t>
      </w:r>
      <w:r>
        <w:rPr>
          <w:rFonts w:ascii="Arial" w:cs="Arial" w:eastAsia="Arial" w:hAnsi="Arial"/>
          <w:sz w:val="19"/>
          <w:szCs w:val="19"/>
          <w:color w:val="auto"/>
        </w:rPr>
        <w:t xml:space="preserve">. Contemporaneously with the furnishing of a copy of each annual audit report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and of each set of quarterly statements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a duly completed Compliance Certificate, with appropriate insertions, dated the date of such annual report or such quarterly statements and signed by an Executive Officer, containing a computation of each of the financial covenants set forth in </w:t>
      </w:r>
      <w:r>
        <w:rPr>
          <w:rFonts w:ascii="Arial" w:cs="Arial" w:eastAsia="Arial" w:hAnsi="Arial"/>
          <w:sz w:val="19"/>
          <w:szCs w:val="19"/>
          <w:u w:val="single" w:color="auto"/>
          <w:color w:val="auto"/>
        </w:rPr>
        <w:t>Section 7.06</w:t>
      </w:r>
      <w:r>
        <w:rPr>
          <w:rFonts w:ascii="Arial" w:cs="Arial" w:eastAsia="Arial" w:hAnsi="Arial"/>
          <w:sz w:val="19"/>
          <w:szCs w:val="19"/>
          <w:color w:val="auto"/>
        </w:rPr>
        <w:t>, a computation of the Consolidated Net Leverage Ratio and to the effect that such officer has not become aware of any Default that has occurred and is continuing or, if there is any such event, describing it and the steps, if any, being taken to cure it.</w:t>
      </w:r>
    </w:p>
    <w:p>
      <w:pPr>
        <w:spacing w:after="0" w:line="178" w:lineRule="exact"/>
        <w:rPr>
          <w:rFonts w:ascii="Arial" w:cs="Arial" w:eastAsia="Arial" w:hAnsi="Arial"/>
          <w:sz w:val="19"/>
          <w:szCs w:val="19"/>
          <w:color w:val="auto"/>
        </w:rPr>
      </w:pPr>
    </w:p>
    <w:p>
      <w:pPr>
        <w:jc w:val="both"/>
        <w:ind w:left="-540" w:firstLine="645"/>
        <w:spacing w:after="0" w:line="243" w:lineRule="auto"/>
        <w:tabs>
          <w:tab w:leader="none" w:pos="56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Reports to SEC and to Shareholders</w:t>
      </w:r>
      <w:r>
        <w:rPr>
          <w:rFonts w:ascii="Arial" w:cs="Arial" w:eastAsia="Arial" w:hAnsi="Arial"/>
          <w:sz w:val="20"/>
          <w:szCs w:val="20"/>
          <w:color w:val="auto"/>
        </w:rPr>
        <w:t xml:space="preserve">. Except as otherwise provided in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7.01(b)</w:t>
      </w:r>
      <w:r>
        <w:rPr>
          <w:rFonts w:ascii="Arial" w:cs="Arial" w:eastAsia="Arial" w:hAnsi="Arial"/>
          <w:sz w:val="20"/>
          <w:szCs w:val="20"/>
          <w:color w:val="auto"/>
        </w:rPr>
        <w:t>, within 15 days after the filing or sending thereof, copies of all reports on Form 10-K, 10-Q or 8-K (including any amendment thereto) of any Loan Party filed with the SEC (excluding exhibits thereto, provided that the Company shall promptly deliver any such exhibit to the Administrative Agent upon request therefor); copies of all registration statements of any Loan Party filed with the SEC (other than on Form S-8); and copies of all proxy statements or other communications made generally to shareholders as a whole concerning material developments in the business of any Loan Party.</w:t>
      </w:r>
    </w:p>
    <w:p>
      <w:pPr>
        <w:spacing w:after="0" w:line="196" w:lineRule="exact"/>
        <w:rPr>
          <w:rFonts w:ascii="Arial" w:cs="Arial" w:eastAsia="Arial" w:hAnsi="Arial"/>
          <w:sz w:val="20"/>
          <w:szCs w:val="20"/>
          <w:color w:val="auto"/>
        </w:rPr>
      </w:pPr>
    </w:p>
    <w:p>
      <w:pPr>
        <w:jc w:val="both"/>
        <w:ind w:left="-540" w:firstLine="645"/>
        <w:spacing w:after="0" w:line="250" w:lineRule="auto"/>
        <w:tabs>
          <w:tab w:leader="none" w:pos="576"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Notice of Default, Litigation and ERISA Matters</w:t>
      </w:r>
      <w:r>
        <w:rPr>
          <w:rFonts w:ascii="Arial" w:cs="Arial" w:eastAsia="Arial" w:hAnsi="Arial"/>
          <w:sz w:val="20"/>
          <w:szCs w:val="20"/>
          <w:color w:val="auto"/>
        </w:rPr>
        <w:t>. Promptly upon any Executive Officer becoming aware of any of the following, written notice describing the same and the steps being taken by the Company or the Subsidiary affected thereby with respect thereto:</w:t>
      </w:r>
    </w:p>
    <w:p>
      <w:pPr>
        <w:spacing w:after="0" w:line="186" w:lineRule="exact"/>
        <w:rPr>
          <w:rFonts w:ascii="Arial" w:cs="Arial" w:eastAsia="Arial" w:hAnsi="Arial"/>
          <w:sz w:val="20"/>
          <w:szCs w:val="20"/>
          <w:color w:val="auto"/>
        </w:rPr>
      </w:pPr>
    </w:p>
    <w:p>
      <w:pPr>
        <w:ind w:left="1120" w:hanging="367"/>
        <w:spacing w:after="0"/>
        <w:tabs>
          <w:tab w:leader="none" w:pos="1120"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occurrence of a Default;</w:t>
      </w:r>
    </w:p>
    <w:p>
      <w:pPr>
        <w:spacing w:after="0" w:line="215" w:lineRule="exact"/>
        <w:rPr>
          <w:rFonts w:ascii="Arial" w:cs="Arial" w:eastAsia="Arial" w:hAnsi="Arial"/>
          <w:sz w:val="20"/>
          <w:szCs w:val="20"/>
          <w:color w:val="auto"/>
        </w:rPr>
      </w:pPr>
    </w:p>
    <w:p>
      <w:pPr>
        <w:jc w:val="both"/>
        <w:ind w:left="100" w:firstLine="653"/>
        <w:spacing w:after="0" w:line="246" w:lineRule="auto"/>
        <w:tabs>
          <w:tab w:leader="none" w:pos="121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litigation, arbitration or governmental investigation or proceeding not previously disclosed by the Company to the Lenders which involves an uninsured claim and has been instituted, or, to the knowledge of the Company, is threatened in writing against the Company or any Significant Subsidiary or to which any of the properties of any thereof is subject which could reasonably be expected to have a Material Adverse Effect;</w:t>
      </w:r>
    </w:p>
    <w:p>
      <w:pPr>
        <w:spacing w:after="0" w:line="191" w:lineRule="exact"/>
        <w:rPr>
          <w:rFonts w:ascii="Arial" w:cs="Arial" w:eastAsia="Arial" w:hAnsi="Arial"/>
          <w:sz w:val="20"/>
          <w:szCs w:val="20"/>
          <w:color w:val="auto"/>
        </w:rPr>
      </w:pPr>
    </w:p>
    <w:p>
      <w:pPr>
        <w:jc w:val="both"/>
        <w:ind w:left="100" w:firstLine="653"/>
        <w:spacing w:after="0" w:line="271" w:lineRule="auto"/>
        <w:tabs>
          <w:tab w:leader="none" w:pos="1225"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Pension Plan which could reasonably be expected to have a Material Adverse Effect, or any notice that any Multiemployer Pension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w:t>
      </w:r>
    </w:p>
    <w:p>
      <w:pPr>
        <w:spacing w:after="0" w:line="170" w:lineRule="exact"/>
        <w:rPr>
          <w:rFonts w:ascii="Arial" w:cs="Arial" w:eastAsia="Arial" w:hAnsi="Arial"/>
          <w:sz w:val="18"/>
          <w:szCs w:val="18"/>
          <w:color w:val="auto"/>
        </w:rPr>
      </w:pPr>
    </w:p>
    <w:p>
      <w:pPr>
        <w:ind w:left="1220" w:hanging="467"/>
        <w:spacing w:after="0"/>
        <w:tabs>
          <w:tab w:leader="none" w:pos="122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Loan Party becomes an entity deemed to hold Plan Assets; and</w:t>
      </w:r>
    </w:p>
    <w:p>
      <w:pPr>
        <w:spacing w:after="0" w:line="200" w:lineRule="exact"/>
        <w:rPr>
          <w:sz w:val="20"/>
          <w:szCs w:val="20"/>
          <w:color w:val="auto"/>
        </w:rPr>
      </w:pPr>
    </w:p>
    <w:p>
      <w:pPr>
        <w:spacing w:after="0" w:line="26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20"/>
          </w:cols>
          <w:pgMar w:left="1440" w:top="366" w:right="239" w:bottom="1440" w:gutter="0" w:footer="0" w:header="0"/>
        </w:sectPr>
      </w:pPr>
    </w:p>
    <w:bookmarkStart w:id="85" w:name="page86"/>
    <w:bookmarkEnd w:id="85"/>
    <w:p>
      <w:pPr>
        <w:ind w:left="640" w:firstLine="653"/>
        <w:spacing w:after="0" w:line="260" w:lineRule="auto"/>
        <w:tabs>
          <w:tab w:leader="none" w:pos="1712" w:val="left"/>
        </w:tabs>
        <w:numPr>
          <w:ilvl w:val="1"/>
          <w:numId w:val="97"/>
        </w:numPr>
        <w:rPr>
          <w:rFonts w:ascii="Arial" w:cs="Arial" w:eastAsia="Arial" w:hAnsi="Arial"/>
          <w:sz w:val="20"/>
          <w:szCs w:val="20"/>
          <w:color w:val="auto"/>
        </w:rPr>
      </w:pPr>
      <w:r>
        <w:rPr>
          <w:rFonts w:ascii="Arial" w:cs="Arial" w:eastAsia="Arial" w:hAnsi="Arial"/>
          <w:sz w:val="20"/>
          <w:szCs w:val="20"/>
          <w:color w:val="auto"/>
        </w:rPr>
        <w:t>any other event (including any violation of any Environmental Law or the assertion of any Environmental Claim) which could reasonably be expected to have a Material Adverse Effect.</w:t>
      </w:r>
    </w:p>
    <w:p>
      <w:pPr>
        <w:spacing w:after="0" w:line="176" w:lineRule="exact"/>
        <w:rPr>
          <w:rFonts w:ascii="Arial" w:cs="Arial" w:eastAsia="Arial" w:hAnsi="Arial"/>
          <w:sz w:val="20"/>
          <w:szCs w:val="20"/>
          <w:color w:val="auto"/>
        </w:rPr>
      </w:pPr>
    </w:p>
    <w:p>
      <w:pPr>
        <w:jc w:val="both"/>
        <w:ind w:firstLine="645"/>
        <w:spacing w:after="0" w:line="246" w:lineRule="auto"/>
        <w:tabs>
          <w:tab w:leader="none" w:pos="1107"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From time to time such other information concerning the Company and its Subsidiaries (including material financial and management reports submitted to the Company by independent auditors in connection with each annual or interim audit made by such auditors of the books of the Company) as the Administrative Agent or any Lender through the Administrative Agent may reasonably request.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7.01(d)</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publicly files such documents with the SEC; or (ii) on which such documents are (A) available on the website of the SEC at </w:t>
      </w:r>
      <w:r>
        <w:rPr>
          <w:rFonts w:ascii="Arial" w:cs="Arial" w:eastAsia="Arial" w:hAnsi="Arial"/>
          <w:sz w:val="18"/>
          <w:szCs w:val="18"/>
          <w:u w:val="single" w:color="auto"/>
          <w:color w:val="0000FF"/>
        </w:rPr>
        <w:t>http://www.sec.gov</w:t>
      </w:r>
      <w:r>
        <w:rPr>
          <w:rFonts w:ascii="Arial" w:cs="Arial" w:eastAsia="Arial" w:hAnsi="Arial"/>
          <w:sz w:val="18"/>
          <w:szCs w:val="18"/>
          <w:color w:val="auto"/>
        </w:rPr>
        <w:t xml:space="preserve"> or (B) posted on a Borrower’s behalf on an Internet or intranet website, if any, to which each Lender and the Administrative Agent have access (whether a commercial, third 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documents that are not available on </w:t>
      </w:r>
      <w:r>
        <w:rPr>
          <w:rFonts w:ascii="Arial" w:cs="Arial" w:eastAsia="Arial" w:hAnsi="Arial"/>
          <w:sz w:val="18"/>
          <w:szCs w:val="18"/>
          <w:u w:val="single" w:color="auto"/>
          <w:color w:val="0000FF"/>
        </w:rPr>
        <w:t>http://www.sec.gov</w:t>
      </w:r>
      <w:r>
        <w:rPr>
          <w:rFonts w:ascii="Arial" w:cs="Arial" w:eastAsia="Arial" w:hAnsi="Arial"/>
          <w:sz w:val="18"/>
          <w:szCs w:val="18"/>
          <w:color w:val="auto"/>
        </w:rPr>
        <w:t>, the Company shall notify (which may be 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hereby acknowledges that (a) the Administrative Agent and/or the Lead Arranger may, but shall not be obligated to, make available to the Lenders and the L/C Issuer materials and/or information provided by or on behalf of the Company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Debt Domain, IntraLinks,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Lead Arranger, the L/C Issuer and the Lenders to treat such Borrower Materials as not containing any material non-public information with respect to the Company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any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and shall only post such Borrower Materials on, a portion of the Platform not</w:t>
      </w: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760"/>
          </w:cols>
          <w:pgMar w:left="900" w:top="366" w:right="239" w:bottom="1440" w:gutter="0" w:footer="0" w:header="0"/>
        </w:sectPr>
      </w:pPr>
    </w:p>
    <w:bookmarkStart w:id="86" w:name="page87"/>
    <w:bookmarkEnd w:id="86"/>
    <w:p>
      <w:pPr>
        <w:ind w:left="660" w:right="20"/>
        <w:spacing w:after="0" w:line="260" w:lineRule="auto"/>
        <w:rPr>
          <w:sz w:val="20"/>
          <w:szCs w:val="20"/>
          <w:color w:val="auto"/>
        </w:rPr>
      </w:pPr>
      <w:r>
        <w:rPr>
          <w:rFonts w:ascii="Arial" w:cs="Arial" w:eastAsia="Arial" w:hAnsi="Arial"/>
          <w:sz w:val="20"/>
          <w:szCs w:val="20"/>
          <w:color w:val="auto"/>
        </w:rPr>
        <w:t>designated as “Public Side Information.” Notwithstanding the foregoing, the Company shall be under no obligation to mark any Borrower Materials “PUBLIC.”</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4" w:lineRule="auto"/>
        <w:tabs>
          <w:tab w:leader="none" w:pos="93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Keep, and cause each Significant Subsidiary to keep, its books and records in conformity with GAAP; (b) permit, and cause each Significant Subsidiary and each Domestic Subsidiary (other than Excluded Subsidiaries) to permit, the Administrative Agent (which may be accompanied by any Lender) or any representative thereof at any reasonable time during normal business hours and with reasonable prior notice to inspect the properties and operations of the Company and of such Subsidiary; and (c) permit, and cause each Significant Subsidiary and each Domestic Subsidiary (other than Excluded Subsidiaries) to permit, at any reasonable time during normal business hours and with reasonable notice (or at any time without notice if an Event of Default exists), the Administrative Agent (which may be accompanied by any Lender) or any representative thereof to visit any or all of its offices, to discuss its financial matters with its officers and its independent auditors (and the Company hereby authorizes such independent auditors to discuss such financial matters with the Administrative Agent (which may be accompanied by any Lender) or any representative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have the right to be present at any such discussions so long as no Event of Default exists), to examine (and photocopy extracts from) any of its books or other financial or operating records,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 Event of Default exists, (i) the Administrative Agent and the Lenders shall be limited in the aggregate to two visits and inspections per Fiscal Year (it being understood that the Administrative Agent may conduct such on-site visits and inspections when an Event of Default does not exist and may be accompanied by any Lender) and (ii) the costs and expenses associated with any visit or inspection made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shall be for the account of the Administrative Agent (or, if acting upon the request of or accompanied by any Lender, such Lender).</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Maintain, and cause each Significant Subsidiary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and, upon request of the Administrative Agent or any Lender through the Administrative Agent, furnish to the Administrative Agent or the Administrative Agent for delivery to such Lender a certificate setting forth in reasonable detail the nature and extent of all insurance maintained by the Company, the Significant Subsidiaries and the Domestic Subsidiaries (other than Excluded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self-insurance of risks and in amounts customary in the industry of the Company and its Subsidiaries shall be permitted.</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7.04</w:t>
      </w:r>
      <w:r>
        <w:rPr>
          <w:sz w:val="20"/>
          <w:szCs w:val="20"/>
          <w:color w:val="auto"/>
        </w:rPr>
        <w:tab/>
      </w:r>
      <w:r>
        <w:rPr>
          <w:rFonts w:ascii="Arial" w:cs="Arial" w:eastAsia="Arial" w:hAnsi="Arial"/>
          <w:sz w:val="18"/>
          <w:szCs w:val="18"/>
          <w:u w:val="single" w:color="auto"/>
          <w:color w:val="auto"/>
        </w:rPr>
        <w:t>Compliance with Laws; Payment of Taxes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6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Comply, and cause each Significant Subsidiary to comply, with all applicable Laws (including Environmental Laws and ERISA), rules, regulations, decrees, orders, judgments, licenses and permits, except to the extent the failure to comply therewith, either individually or in the aggregate with all other such failures, could not reasonably be expected to have a Material Adverse Effect.</w:t>
      </w:r>
    </w:p>
    <w:p>
      <w:pPr>
        <w:spacing w:after="0" w:line="170" w:lineRule="exact"/>
        <w:rPr>
          <w:rFonts w:ascii="Arial" w:cs="Arial" w:eastAsia="Arial" w:hAnsi="Arial"/>
          <w:sz w:val="19"/>
          <w:szCs w:val="19"/>
          <w:color w:val="auto"/>
        </w:rPr>
      </w:pPr>
    </w:p>
    <w:p>
      <w:pPr>
        <w:jc w:val="both"/>
        <w:ind w:firstLine="656"/>
        <w:spacing w:after="0" w:line="342" w:lineRule="auto"/>
        <w:tabs>
          <w:tab w:leader="none" w:pos="110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Pay, and cause each Significant Subsidiary to pay all taxes and governmental charges against it or any of its property, except such taxes that are not overdue by more than 60 days and such taxes the failure of which to pay, either individually or in the aggregate with all other such failures, could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require the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6" w:right="239" w:bottom="1440" w:gutter="0" w:footer="0" w:header="0"/>
        </w:sectPr>
      </w:pPr>
    </w:p>
    <w:bookmarkStart w:id="87" w:name="page88"/>
    <w:bookmarkEnd w:id="87"/>
    <w:p>
      <w:pPr>
        <w:jc w:val="both"/>
        <w:ind w:right="20"/>
        <w:spacing w:after="0" w:line="260" w:lineRule="auto"/>
        <w:rPr>
          <w:sz w:val="20"/>
          <w:szCs w:val="20"/>
          <w:color w:val="auto"/>
        </w:rPr>
      </w:pPr>
      <w:r>
        <w:rPr>
          <w:rFonts w:ascii="Arial" w:cs="Arial" w:eastAsia="Arial" w:hAnsi="Arial"/>
          <w:sz w:val="20"/>
          <w:szCs w:val="20"/>
          <w:color w:val="auto"/>
        </w:rPr>
        <w:t>or any Subsidiary to pay any such tax or charge so long as it shall contest the validity thereof in good faith by appropriate action and shall set aside on its books adequate reserves with respect thereto.</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7.05</w:t>
      </w:r>
      <w:r>
        <w:rPr>
          <w:sz w:val="20"/>
          <w:szCs w:val="20"/>
          <w:color w:val="auto"/>
        </w:rPr>
        <w:tab/>
      </w:r>
      <w:r>
        <w:rPr>
          <w:rFonts w:ascii="Arial" w:cs="Arial" w:eastAsia="Arial" w:hAnsi="Arial"/>
          <w:sz w:val="16"/>
          <w:szCs w:val="16"/>
          <w:u w:val="single" w:color="auto"/>
          <w:color w:val="auto"/>
        </w:rPr>
        <w:t>Maintenance of Existence, etc.</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Maintain and preserve, and (subject to </w:t>
      </w:r>
      <w:r>
        <w:rPr>
          <w:rFonts w:ascii="Arial" w:cs="Arial" w:eastAsia="Arial" w:hAnsi="Arial"/>
          <w:sz w:val="18"/>
          <w:szCs w:val="18"/>
          <w:u w:val="single" w:color="auto"/>
          <w:color w:val="auto"/>
        </w:rPr>
        <w:t>Section 7.09</w:t>
      </w:r>
      <w:r>
        <w:rPr>
          <w:rFonts w:ascii="Arial" w:cs="Arial" w:eastAsia="Arial" w:hAnsi="Arial"/>
          <w:sz w:val="18"/>
          <w:szCs w:val="18"/>
          <w:color w:val="auto"/>
        </w:rPr>
        <w:t>) cause each Significant Subsidiary to maintain and preserve, (a) its existence and good standing (or equivalent status) in the jurisdiction of its formation and (b) its qualification and good standing (or equivalent status) as a foreign entity in each jurisdiction where the nature of its business makes such qualification necessary (except in those instances in which the failure to be qualified or in good standing (or equivalent status) could not reasonably be expected to have a Material Adverse Effect).</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7.06</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5"/>
        <w:spacing w:after="0" w:line="271" w:lineRule="auto"/>
        <w:tabs>
          <w:tab w:leader="none" w:pos="170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xml:space="preserve">. Not permit the Consolidated Leverage Ratio as of the last day of any Computation Period to exceed 3.25 to 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connection with any individual Permitted Acquisition (or any series of Permitted Acquisitions occurring in any four Fiscal Quarter period) for which the aggregate purchase consideration equals or exceeds $100,000,000, the maximum Consolidated Leverage Ratio, with prior notice to the Administrative Agent, shall increase to 3.50 to 1.0 for the three consecutive Fiscal Quarter period beginning with, if an individual Permitted Acquisition, the quarter in which such Permitted Acquisition occurs, or, if a series of Permitted Acquisitions, the quarter in which the last Permitted Acquisition occurs, so long as (i) the Company is in compliance on a pro forma basis with this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at such 3.50 to 1.0 level after giving effect to such Permitted Acquisition and (ii) after any such Permitted Acquisition that results in an increase to the 3.50 to 1.0 level, the Consolidated Leverage Ratio permitted under this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shall decrease to 3.25 to 1.0 for at least one Fiscal Quarter before becoming eligible to again increase to 3.50 to 1.0 for a new period of three consecutive Fiscal Quarters (with the understanding that any Permitted Acquisition occurring during such Fiscal Quarter would be required to comply with the 3.25 to 1.0 ratio).</w:t>
      </w:r>
    </w:p>
    <w:p>
      <w:pPr>
        <w:spacing w:after="0" w:line="170" w:lineRule="exact"/>
        <w:rPr>
          <w:rFonts w:ascii="Arial" w:cs="Arial" w:eastAsia="Arial" w:hAnsi="Arial"/>
          <w:sz w:val="18"/>
          <w:szCs w:val="18"/>
          <w:color w:val="auto"/>
        </w:rPr>
      </w:pPr>
    </w:p>
    <w:p>
      <w:pPr>
        <w:ind w:left="660" w:right="20" w:firstLine="645"/>
        <w:spacing w:after="0" w:line="260" w:lineRule="auto"/>
        <w:tabs>
          <w:tab w:leader="none" w:pos="181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Not permit the Consolidated Interest Coverage Ratio as of the last day of any Computation Period to be less than 3.00 to 1.0.</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7.07</w:t>
      </w:r>
      <w:r>
        <w:rPr>
          <w:sz w:val="20"/>
          <w:szCs w:val="20"/>
          <w:color w:val="auto"/>
        </w:rPr>
        <w:tab/>
      </w:r>
      <w:r>
        <w:rPr>
          <w:rFonts w:ascii="Arial" w:cs="Arial" w:eastAsia="Arial" w:hAnsi="Arial"/>
          <w:sz w:val="18"/>
          <w:szCs w:val="18"/>
          <w:u w:val="single" w:color="auto"/>
          <w:color w:val="auto"/>
        </w:rPr>
        <w:t>Limitations on Debt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and not permit any Significant Subsidiary or any Securitization Subsidiary to, create, incur, assume or suffer to exist any Debt,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except:</w:t>
      </w:r>
    </w:p>
    <w:p>
      <w:pPr>
        <w:spacing w:after="0" w:line="200" w:lineRule="exact"/>
        <w:rPr>
          <w:sz w:val="20"/>
          <w:szCs w:val="20"/>
          <w:color w:val="auto"/>
        </w:rPr>
      </w:pPr>
    </w:p>
    <w:p>
      <w:pPr>
        <w:ind w:left="1700" w:hanging="395"/>
        <w:spacing w:after="0"/>
        <w:tabs>
          <w:tab w:leader="none" w:pos="170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Debt arising under the Loan Documents;</w:t>
      </w:r>
    </w:p>
    <w:p>
      <w:pPr>
        <w:spacing w:after="0" w:line="215" w:lineRule="exact"/>
        <w:rPr>
          <w:rFonts w:ascii="Arial" w:cs="Arial" w:eastAsia="Arial" w:hAnsi="Arial"/>
          <w:sz w:val="20"/>
          <w:szCs w:val="20"/>
          <w:color w:val="auto"/>
        </w:rPr>
      </w:pPr>
    </w:p>
    <w:p>
      <w:pPr>
        <w:ind w:left="1940" w:hanging="635"/>
        <w:spacing w:after="0"/>
        <w:tabs>
          <w:tab w:leader="none" w:pos="19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Debt incurred to finance the acquisition, construction or improvement of any fixed or capital asset (including</w:t>
      </w:r>
    </w:p>
    <w:p>
      <w:pPr>
        <w:spacing w:after="0" w:line="27" w:lineRule="exact"/>
        <w:rPr>
          <w:rFonts w:ascii="Arial" w:cs="Arial" w:eastAsia="Arial" w:hAnsi="Arial"/>
          <w:sz w:val="19"/>
          <w:szCs w:val="19"/>
          <w:color w:val="auto"/>
        </w:rPr>
      </w:pPr>
    </w:p>
    <w:p>
      <w:pPr>
        <w:jc w:val="both"/>
        <w:ind w:left="660" w:hanging="4"/>
        <w:spacing w:after="0" w:line="255" w:lineRule="auto"/>
        <w:tabs>
          <w:tab w:leader="none" w:pos="90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obligations under Capital Leases and (ii) Debt assumed in connection with the acquisition of any such asset or secured by a Lien on such asset prior to the acquisition thereof (and not incurred in contemplation of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Debt is incurred prior to or substantially concurrently with such acquisition or not later than 45 days following the completion of such construction or improvement, as the case may be, (y) such Debt does not exceed the cost of such asset as of the date of such acquisition or completion of construction thereof or of such improvement on the date of completion thereof, as the case may be, and (z) the aggregate outstanding principal amount of all Debt described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does not at the time of incurrence of any such Debt exceed the greater of (A) $50,000,000 and (B) 5% of the consolidated tangible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6" w:right="239" w:bottom="1440" w:gutter="0" w:footer="0" w:header="0"/>
        </w:sectPr>
      </w:pPr>
    </w:p>
    <w:bookmarkStart w:id="88" w:name="page89"/>
    <w:bookmarkEnd w:id="88"/>
    <w:p>
      <w:pPr>
        <w:ind w:right="20"/>
        <w:spacing w:after="0" w:line="260" w:lineRule="auto"/>
        <w:rPr>
          <w:sz w:val="20"/>
          <w:szCs w:val="20"/>
          <w:color w:val="auto"/>
        </w:rPr>
      </w:pPr>
      <w:r>
        <w:rPr>
          <w:rFonts w:ascii="Arial" w:cs="Arial" w:eastAsia="Arial" w:hAnsi="Arial"/>
          <w:sz w:val="20"/>
          <w:szCs w:val="20"/>
          <w:color w:val="auto"/>
        </w:rPr>
        <w:t xml:space="preserve">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77" w:lineRule="exact"/>
        <w:rPr>
          <w:sz w:val="20"/>
          <w:szCs w:val="20"/>
          <w:color w:val="auto"/>
        </w:rPr>
      </w:pPr>
    </w:p>
    <w:p>
      <w:pPr>
        <w:ind w:left="1040" w:hanging="395"/>
        <w:spacing w:after="0"/>
        <w:tabs>
          <w:tab w:leader="none" w:pos="10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Debt secured by Liens permitted by </w:t>
      </w:r>
      <w:r>
        <w:rPr>
          <w:rFonts w:ascii="Arial" w:cs="Arial" w:eastAsia="Arial" w:hAnsi="Arial"/>
          <w:sz w:val="20"/>
          <w:szCs w:val="20"/>
          <w:u w:val="single" w:color="auto"/>
          <w:color w:val="auto"/>
        </w:rPr>
        <w:t>Section 7.08(c)</w:t>
      </w:r>
      <w:r>
        <w:rPr>
          <w:rFonts w:ascii="Arial" w:cs="Arial" w:eastAsia="Arial" w:hAnsi="Arial"/>
          <w:sz w:val="20"/>
          <w:szCs w:val="20"/>
          <w:color w:val="auto"/>
        </w:rPr>
        <w:t xml:space="preserve">, </w:t>
      </w:r>
      <w:r>
        <w:rPr>
          <w:rFonts w:ascii="Arial" w:cs="Arial" w:eastAsia="Arial" w:hAnsi="Arial"/>
          <w:sz w:val="20"/>
          <w:szCs w:val="20"/>
          <w:u w:val="single" w:color="auto"/>
          <w:color w:val="auto"/>
        </w:rPr>
        <w:t>7.08(f)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7.08(t)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60" w:hanging="415"/>
        <w:spacing w:after="0"/>
        <w:tabs>
          <w:tab w:leader="none" w:pos="10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Debt (or any undrawn commitment therefor) existing on the Closing Date and listed in </w:t>
      </w:r>
      <w:r>
        <w:rPr>
          <w:rFonts w:ascii="Arial" w:cs="Arial" w:eastAsia="Arial" w:hAnsi="Arial"/>
          <w:sz w:val="20"/>
          <w:szCs w:val="20"/>
          <w:u w:val="single" w:color="auto"/>
          <w:color w:val="auto"/>
        </w:rPr>
        <w:t>Schedule 7.07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45"/>
        <w:spacing w:after="0" w:line="250" w:lineRule="auto"/>
        <w:tabs>
          <w:tab w:leader="none" w:pos="117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refinancings, extensions or renewals of any of the foregoing Debt to the extent the principal amount thereof is not increased (including extensions, renewals or replacements of guarantees in respect of such Debt as so refinanced, extended or renewed);</w:t>
      </w:r>
    </w:p>
    <w:p>
      <w:pPr>
        <w:spacing w:after="0" w:line="186" w:lineRule="exact"/>
        <w:rPr>
          <w:rFonts w:ascii="Arial" w:cs="Arial" w:eastAsia="Arial" w:hAnsi="Arial"/>
          <w:sz w:val="20"/>
          <w:szCs w:val="20"/>
          <w:color w:val="auto"/>
        </w:rPr>
      </w:pPr>
    </w:p>
    <w:p>
      <w:pPr>
        <w:ind w:left="1020" w:hanging="375"/>
        <w:spacing w:after="0"/>
        <w:tabs>
          <w:tab w:leader="none" w:pos="10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Subordinated Debt;</w:t>
      </w:r>
    </w:p>
    <w:p>
      <w:pPr>
        <w:spacing w:after="0" w:line="215" w:lineRule="exact"/>
        <w:rPr>
          <w:rFonts w:ascii="Arial" w:cs="Arial" w:eastAsia="Arial" w:hAnsi="Arial"/>
          <w:sz w:val="20"/>
          <w:szCs w:val="20"/>
          <w:color w:val="auto"/>
        </w:rPr>
      </w:pPr>
    </w:p>
    <w:p>
      <w:pPr>
        <w:jc w:val="both"/>
        <w:ind w:firstLine="645"/>
        <w:spacing w:after="0" w:line="269" w:lineRule="auto"/>
        <w:tabs>
          <w:tab w:leader="none" w:pos="11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Hedging Obligations incurred in the ordinary course of business for bona fide hedging purposes and not for speculation and Debt in respect of overdraft facilities, employee credit card programs, netting services, automatic clearing house arrangements and other cash management and similar arrangements, in each case in the ordinary course of business;</w:t>
      </w:r>
    </w:p>
    <w:p>
      <w:pPr>
        <w:spacing w:after="0" w:line="170" w:lineRule="exact"/>
        <w:rPr>
          <w:rFonts w:ascii="Arial" w:cs="Arial" w:eastAsia="Arial" w:hAnsi="Arial"/>
          <w:sz w:val="19"/>
          <w:szCs w:val="19"/>
          <w:color w:val="auto"/>
        </w:rPr>
      </w:pPr>
    </w:p>
    <w:p>
      <w:pPr>
        <w:ind w:left="1060" w:hanging="415"/>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Debt of a Person acquired in connection with a Permitted Acquisition that was not incurred in contemplation thereof;</w:t>
      </w:r>
    </w:p>
    <w:p>
      <w:pPr>
        <w:spacing w:after="0" w:line="238" w:lineRule="exact"/>
        <w:rPr>
          <w:rFonts w:ascii="Arial" w:cs="Arial" w:eastAsia="Arial" w:hAnsi="Arial"/>
          <w:sz w:val="18"/>
          <w:szCs w:val="18"/>
          <w:color w:val="auto"/>
        </w:rPr>
      </w:pPr>
    </w:p>
    <w:p>
      <w:pPr>
        <w:ind w:left="1020" w:hanging="375"/>
        <w:spacing w:after="0"/>
        <w:tabs>
          <w:tab w:leader="none" w:pos="1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Debt of the Company or a Significant Subsidiary as an account party in respect of trade and standby letters of credit;</w:t>
      </w:r>
    </w:p>
    <w:p>
      <w:pPr>
        <w:spacing w:after="0" w:line="238" w:lineRule="exact"/>
        <w:rPr>
          <w:rFonts w:ascii="Arial" w:cs="Arial" w:eastAsia="Arial" w:hAnsi="Arial"/>
          <w:sz w:val="18"/>
          <w:szCs w:val="18"/>
          <w:color w:val="auto"/>
        </w:rPr>
      </w:pPr>
    </w:p>
    <w:p>
      <w:pPr>
        <w:ind w:left="1020" w:hanging="375"/>
        <w:spacing w:after="0"/>
        <w:tabs>
          <w:tab w:leader="none" w:pos="1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Debt arising under surety, custom and similar bonds in the ordinary course of business consistent with past practice;</w:t>
      </w:r>
    </w:p>
    <w:p>
      <w:pPr>
        <w:spacing w:after="0" w:line="238" w:lineRule="exact"/>
        <w:rPr>
          <w:rFonts w:ascii="Arial" w:cs="Arial" w:eastAsia="Arial" w:hAnsi="Arial"/>
          <w:sz w:val="18"/>
          <w:szCs w:val="18"/>
          <w:color w:val="auto"/>
        </w:rPr>
      </w:pPr>
    </w:p>
    <w:p>
      <w:pPr>
        <w:jc w:val="both"/>
        <w:ind w:firstLine="645"/>
        <w:spacing w:after="0" w:line="278" w:lineRule="auto"/>
        <w:tabs>
          <w:tab w:leader="none" w:pos="118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Securitization Obligations in an aggregate outstanding amount not exceeding at the time of incurrence of any such Securitization Obligations the greater of (i) $100,000,000 and (ii) 10% of the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outstanding amount of all Securitization Obligations of the Domestic Borrowers and the Domestic Subsidiaries of the Company shall not exceed $35,000,000 at any time.</w:t>
      </w:r>
    </w:p>
    <w:p>
      <w:pPr>
        <w:spacing w:after="0" w:line="165" w:lineRule="exact"/>
        <w:rPr>
          <w:rFonts w:ascii="Arial" w:cs="Arial" w:eastAsia="Arial" w:hAnsi="Arial"/>
          <w:sz w:val="18"/>
          <w:szCs w:val="18"/>
          <w:color w:val="auto"/>
        </w:rPr>
      </w:pPr>
    </w:p>
    <w:p>
      <w:pPr>
        <w:ind w:firstLine="645"/>
        <w:spacing w:after="0" w:line="260" w:lineRule="auto"/>
        <w:tabs>
          <w:tab w:leader="none" w:pos="1042"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Debt under the Existing Credit Agreement, so long such Debt is repaid concurrently with the making of the initial Credit Extensions hereunder;</w:t>
      </w:r>
    </w:p>
    <w:p>
      <w:pPr>
        <w:spacing w:after="0" w:line="176" w:lineRule="exact"/>
        <w:rPr>
          <w:rFonts w:ascii="Arial" w:cs="Arial" w:eastAsia="Arial" w:hAnsi="Arial"/>
          <w:sz w:val="20"/>
          <w:szCs w:val="20"/>
          <w:color w:val="auto"/>
        </w:rPr>
      </w:pPr>
    </w:p>
    <w:p>
      <w:pPr>
        <w:ind w:firstLine="645"/>
        <w:spacing w:after="0" w:line="260" w:lineRule="auto"/>
        <w:tabs>
          <w:tab w:leader="none" w:pos="111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Debt arising under any Note Purchase Agreement or any Senior Note (and renewals, refinancings and extensions thereof) and, subject to </w:t>
      </w:r>
      <w:r>
        <w:rPr>
          <w:rFonts w:ascii="Arial" w:cs="Arial" w:eastAsia="Arial" w:hAnsi="Arial"/>
          <w:sz w:val="20"/>
          <w:szCs w:val="20"/>
          <w:u w:val="single" w:color="auto"/>
          <w:color w:val="auto"/>
        </w:rPr>
        <w:t>Section 7.16</w:t>
      </w:r>
      <w:r>
        <w:rPr>
          <w:rFonts w:ascii="Arial" w:cs="Arial" w:eastAsia="Arial" w:hAnsi="Arial"/>
          <w:sz w:val="20"/>
          <w:szCs w:val="20"/>
          <w:color w:val="auto"/>
        </w:rPr>
        <w:t>, any guarantee of the foregoing;</w:t>
      </w:r>
    </w:p>
    <w:p>
      <w:pPr>
        <w:spacing w:after="0" w:line="176" w:lineRule="exact"/>
        <w:rPr>
          <w:rFonts w:ascii="Arial" w:cs="Arial" w:eastAsia="Arial" w:hAnsi="Arial"/>
          <w:sz w:val="20"/>
          <w:szCs w:val="20"/>
          <w:color w:val="auto"/>
        </w:rPr>
      </w:pPr>
    </w:p>
    <w:p>
      <w:pPr>
        <w:ind w:firstLine="645"/>
        <w:spacing w:after="0" w:line="260" w:lineRule="auto"/>
        <w:tabs>
          <w:tab w:leader="none" w:pos="108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Suretyship Liabilities of the Company with respect to Debt permitted hereunder (but subject to any limitations otherwise applicable to the Company to incur such Debt directly);</w:t>
      </w:r>
    </w:p>
    <w:p>
      <w:pPr>
        <w:spacing w:after="0" w:line="176" w:lineRule="exact"/>
        <w:rPr>
          <w:rFonts w:ascii="Arial" w:cs="Arial" w:eastAsia="Arial" w:hAnsi="Arial"/>
          <w:sz w:val="20"/>
          <w:szCs w:val="20"/>
          <w:color w:val="auto"/>
        </w:rPr>
      </w:pPr>
    </w:p>
    <w:p>
      <w:pPr>
        <w:ind w:left="1100" w:hanging="455"/>
        <w:spacing w:after="0"/>
        <w:tabs>
          <w:tab w:leader="none" w:pos="11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Debt of a Foreign Subsidiary other than a Loan Party;</w:t>
      </w:r>
    </w:p>
    <w:p>
      <w:pPr>
        <w:spacing w:after="0" w:line="215" w:lineRule="exact"/>
        <w:rPr>
          <w:rFonts w:ascii="Arial" w:cs="Arial" w:eastAsia="Arial" w:hAnsi="Arial"/>
          <w:sz w:val="20"/>
          <w:szCs w:val="20"/>
          <w:color w:val="auto"/>
        </w:rPr>
      </w:pPr>
    </w:p>
    <w:p>
      <w:pPr>
        <w:ind w:firstLine="645"/>
        <w:spacing w:after="0" w:line="287" w:lineRule="auto"/>
        <w:tabs>
          <w:tab w:leader="none" w:pos="105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Debt arising from the honoring by a bank or other financial institution of a check, draft or similar instrument inadvertently (except in the case of daylight overdrafts) drawn against insufficient funds in the ordinary course of business;</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60"/>
          </w:cols>
          <w:pgMar w:left="900" w:top="366" w:right="239" w:bottom="1440" w:gutter="0" w:footer="0" w:header="0"/>
        </w:sectPr>
      </w:pPr>
    </w:p>
    <w:bookmarkStart w:id="89" w:name="page90"/>
    <w:bookmarkEnd w:id="89"/>
    <w:p>
      <w:pPr>
        <w:jc w:val="both"/>
        <w:ind w:left="660" w:firstLine="645"/>
        <w:spacing w:after="0" w:line="269" w:lineRule="auto"/>
        <w:tabs>
          <w:tab w:leader="none" w:pos="188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Suretyship Liabilities of any Loan Party or any Subsidiary with respect to (i) recourse obligations resulting from endorsement of negotiable instruments for collection in the ordinary course of business and (ii) workers' compensation and similar obligations of the Loan Parties and their Subsidiaries incurred in the ordinary course of business; and</w:t>
      </w:r>
    </w:p>
    <w:p>
      <w:pPr>
        <w:spacing w:after="0" w:line="170" w:lineRule="exact"/>
        <w:rPr>
          <w:rFonts w:ascii="Arial" w:cs="Arial" w:eastAsia="Arial" w:hAnsi="Arial"/>
          <w:sz w:val="19"/>
          <w:szCs w:val="19"/>
          <w:color w:val="auto"/>
        </w:rPr>
      </w:pPr>
    </w:p>
    <w:p>
      <w:pPr>
        <w:ind w:left="1680" w:hanging="375"/>
        <w:spacing w:after="0"/>
        <w:tabs>
          <w:tab w:leader="none" w:pos="16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other unsecured Debt and, subject to </w:t>
      </w:r>
      <w:r>
        <w:rPr>
          <w:rFonts w:ascii="Arial" w:cs="Arial" w:eastAsia="Arial" w:hAnsi="Arial"/>
          <w:sz w:val="20"/>
          <w:szCs w:val="20"/>
          <w:u w:val="single" w:color="auto"/>
          <w:color w:val="auto"/>
        </w:rPr>
        <w:t>Section 7.17</w:t>
      </w:r>
      <w:r>
        <w:rPr>
          <w:rFonts w:ascii="Arial" w:cs="Arial" w:eastAsia="Arial" w:hAnsi="Arial"/>
          <w:sz w:val="20"/>
          <w:szCs w:val="20"/>
          <w:color w:val="auto"/>
        </w:rPr>
        <w:t>, any guaranty thereof; and</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to the extent constituting Debt, Investments permitted under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1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incurrence of Debt described in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w:t>
      </w:r>
      <w:r>
        <w:rPr>
          <w:rFonts w:ascii="Arial" w:cs="Arial" w:eastAsia="Arial" w:hAnsi="Arial"/>
          <w:sz w:val="20"/>
          <w:szCs w:val="20"/>
          <w:u w:val="single" w:color="auto"/>
          <w:color w:val="auto"/>
        </w:rPr>
        <w:t>clause (o)</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clause (r)</w:t>
      </w:r>
      <w:r>
        <w:rPr>
          <w:rFonts w:ascii="Arial" w:cs="Arial" w:eastAsia="Arial" w:hAnsi="Arial"/>
          <w:sz w:val="20"/>
          <w:szCs w:val="20"/>
          <w:color w:val="auto"/>
        </w:rPr>
        <w:t xml:space="preserve"> after the Closing Date, (i) the Company is in pro forma compliance with the covenants set forth in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and (ii) no Default shall exist or result from the incurrence of such Debt.</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7.08</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Not, and not permit any Significant Subsidiary or any Securitization Subsidiary to, create or permit to exist any Lien on any of its real or personal properties, assets or rights of whatsoever nature (whether now owned or hereafter acquired), except:</w:t>
      </w:r>
    </w:p>
    <w:p>
      <w:pPr>
        <w:spacing w:after="0" w:line="177" w:lineRule="exact"/>
        <w:rPr>
          <w:sz w:val="20"/>
          <w:szCs w:val="20"/>
          <w:color w:val="auto"/>
        </w:rPr>
      </w:pPr>
    </w:p>
    <w:p>
      <w:pPr>
        <w:ind w:left="660" w:firstLine="645"/>
        <w:spacing w:after="0" w:line="316" w:lineRule="auto"/>
        <w:tabs>
          <w:tab w:leader="none" w:pos="178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Liens for taxes or other governmental charges not at the time delinquent for more than 90 days or thereafter payable without penalty or being contested in good faith by appropriate action and, in each case, for which it maintains adequate reserves;</w:t>
      </w:r>
    </w:p>
    <w:p>
      <w:pPr>
        <w:spacing w:after="0" w:line="130" w:lineRule="exact"/>
        <w:rPr>
          <w:rFonts w:ascii="Arial" w:cs="Arial" w:eastAsia="Arial" w:hAnsi="Arial"/>
          <w:sz w:val="18"/>
          <w:szCs w:val="18"/>
          <w:color w:val="auto"/>
        </w:rPr>
      </w:pPr>
    </w:p>
    <w:p>
      <w:pPr>
        <w:jc w:val="both"/>
        <w:ind w:left="660" w:firstLine="645"/>
        <w:spacing w:after="0" w:line="316" w:lineRule="auto"/>
        <w:tabs>
          <w:tab w:leader="none" w:pos="173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Liens arising in the ordinary course of business (such as (i) Liens of carriers, warehousemen, mechanics and materialmen and other similar Liens imposed by Law, (ii) Liens incurred in connection with worker’s compensation, unemployment compensation and other types of social security (excluding Liens arising under ERISA) or in connection with surety bonds, bids, performance bonds and similar obligations, (iii) Liens deemed to exist in connection with investments in repurchase agreements not prohibited by this Agreement) for sums not overdue for a period of more than 30 days or, if more than 30 days overdue, being contested in good faith by appropriate action and not involving borrowed money, and, in each case, for which it maintains adequate reserves;</w:t>
      </w:r>
    </w:p>
    <w:p>
      <w:pPr>
        <w:spacing w:after="0" w:line="140" w:lineRule="exact"/>
        <w:rPr>
          <w:rFonts w:ascii="Arial" w:cs="Arial" w:eastAsia="Arial" w:hAnsi="Arial"/>
          <w:sz w:val="16"/>
          <w:szCs w:val="16"/>
          <w:color w:val="auto"/>
        </w:rPr>
      </w:pPr>
    </w:p>
    <w:p>
      <w:pPr>
        <w:jc w:val="both"/>
        <w:ind w:left="660" w:firstLine="645"/>
        <w:spacing w:after="0" w:line="250" w:lineRule="auto"/>
        <w:tabs>
          <w:tab w:leader="none" w:pos="1735"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Liens identified in </w:t>
      </w:r>
      <w:r>
        <w:rPr>
          <w:rFonts w:ascii="Arial" w:cs="Arial" w:eastAsia="Arial" w:hAnsi="Arial"/>
          <w:sz w:val="20"/>
          <w:szCs w:val="20"/>
          <w:u w:val="single" w:color="auto"/>
          <w:color w:val="auto"/>
        </w:rPr>
        <w:t>Schedule 7.08</w:t>
      </w:r>
      <w:r>
        <w:rPr>
          <w:rFonts w:ascii="Arial" w:cs="Arial" w:eastAsia="Arial" w:hAnsi="Arial"/>
          <w:sz w:val="20"/>
          <w:szCs w:val="20"/>
          <w:color w:val="auto"/>
        </w:rPr>
        <w:t xml:space="preserve"> and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86" w:lineRule="exact"/>
        <w:rPr>
          <w:rFonts w:ascii="Arial" w:cs="Arial" w:eastAsia="Arial" w:hAnsi="Arial"/>
          <w:sz w:val="20"/>
          <w:szCs w:val="20"/>
          <w:color w:val="auto"/>
        </w:rPr>
      </w:pPr>
    </w:p>
    <w:p>
      <w:pPr>
        <w:jc w:val="both"/>
        <w:ind w:left="660" w:firstLine="645"/>
        <w:spacing w:after="0" w:line="260" w:lineRule="auto"/>
        <w:tabs>
          <w:tab w:leader="none" w:pos="185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attachments, appeal bonds, judgments and other similar Liens arising in connection with court proceedings, for an aggregate amount (with all other Liens existing pursuant to this clause (d)) at the time of incurrence not exceeding the greater of</w:t>
      </w:r>
    </w:p>
    <w:p>
      <w:pPr>
        <w:spacing w:after="0" w:line="1" w:lineRule="exact"/>
        <w:rPr>
          <w:rFonts w:ascii="Arial" w:cs="Arial" w:eastAsia="Arial" w:hAnsi="Arial"/>
          <w:sz w:val="19"/>
          <w:szCs w:val="19"/>
          <w:color w:val="auto"/>
        </w:rPr>
      </w:pPr>
    </w:p>
    <w:p>
      <w:pPr>
        <w:jc w:val="both"/>
        <w:ind w:left="660" w:hanging="4"/>
        <w:spacing w:after="0" w:line="241" w:lineRule="auto"/>
        <w:tabs>
          <w:tab w:leader="none" w:pos="91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$25,000,000 and (ii) 2.5% of the consolidated tangible assets of the Company and its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execution or other enforcement of such Liens is effectively stayed and the claims secured thereby are being actively contested in good faith and by appropriate action;</w:t>
      </w:r>
    </w:p>
    <w:p>
      <w:pPr>
        <w:spacing w:after="0" w:line="194" w:lineRule="exact"/>
        <w:rPr>
          <w:rFonts w:ascii="Arial" w:cs="Arial" w:eastAsia="Arial" w:hAnsi="Arial"/>
          <w:sz w:val="20"/>
          <w:szCs w:val="20"/>
          <w:color w:val="auto"/>
        </w:rPr>
      </w:pPr>
    </w:p>
    <w:p>
      <w:pPr>
        <w:ind w:left="660" w:right="20" w:firstLine="645"/>
        <w:spacing w:after="0" w:line="260" w:lineRule="auto"/>
        <w:tabs>
          <w:tab w:leader="none" w:pos="1776"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 zoning, building, entitlement and other land use regulations with which the normal operation of the business of the Company and its Subsidiaries complies; (ii) any zoning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2" w:right="239" w:bottom="1440" w:gutter="0" w:footer="0" w:header="0"/>
        </w:sectPr>
      </w:pPr>
    </w:p>
    <w:bookmarkStart w:id="90" w:name="page91"/>
    <w:bookmarkEnd w:id="90"/>
    <w:p>
      <w:pPr>
        <w:jc w:val="both"/>
        <w:spacing w:after="0" w:line="246" w:lineRule="auto"/>
        <w:rPr>
          <w:sz w:val="20"/>
          <w:szCs w:val="20"/>
          <w:color w:val="auto"/>
        </w:rPr>
      </w:pPr>
      <w:r>
        <w:rPr>
          <w:rFonts w:ascii="Arial" w:cs="Arial" w:eastAsia="Arial" w:hAnsi="Arial"/>
          <w:sz w:val="20"/>
          <w:szCs w:val="20"/>
          <w:color w:val="auto"/>
        </w:rPr>
        <w:t>similar Law or right reserved to or vested in any Governmental Authority to control or regulate the use of real property; and (iii) easements, rights of way, restrictions, minor defects or irregularities in title and other similar Liens, in each of the foregoing cases that is not interfering in any material respect with the ordinary conduct of the business of the Company, any Significant Subsidiary or any Domestic Subsidiary (other than Excluded Subsidiaries);</w:t>
      </w:r>
    </w:p>
    <w:p>
      <w:pPr>
        <w:spacing w:after="0" w:line="192" w:lineRule="exact"/>
        <w:rPr>
          <w:sz w:val="20"/>
          <w:szCs w:val="20"/>
          <w:color w:val="auto"/>
        </w:rPr>
      </w:pPr>
    </w:p>
    <w:p>
      <w:pPr>
        <w:jc w:val="both"/>
        <w:ind w:firstLine="645"/>
        <w:spacing w:after="0" w:line="276" w:lineRule="auto"/>
        <w:tabs>
          <w:tab w:leader="none" w:pos="117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and on proceeds thereof, and in each case not created in contemplation thereof or of such Person becoming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65" w:lineRule="exact"/>
        <w:rPr>
          <w:rFonts w:ascii="Arial" w:cs="Arial" w:eastAsia="Arial" w:hAnsi="Arial"/>
          <w:sz w:val="18"/>
          <w:szCs w:val="18"/>
          <w:color w:val="auto"/>
        </w:rPr>
      </w:pPr>
    </w:p>
    <w:p>
      <w:pPr>
        <w:jc w:val="both"/>
        <w:ind w:firstLine="645"/>
        <w:spacing w:after="0" w:line="243" w:lineRule="auto"/>
        <w:tabs>
          <w:tab w:leader="none" w:pos="11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Liens securing Debt permitted by </w:t>
      </w:r>
      <w:r>
        <w:rPr>
          <w:rFonts w:ascii="Arial" w:cs="Arial" w:eastAsia="Arial" w:hAnsi="Arial"/>
          <w:sz w:val="20"/>
          <w:szCs w:val="20"/>
          <w:u w:val="single" w:color="auto"/>
          <w:color w:val="auto"/>
        </w:rPr>
        <w:t>Section 7.07(b)</w:t>
      </w:r>
      <w:r>
        <w:rPr>
          <w:rFonts w:ascii="Arial" w:cs="Arial" w:eastAsia="Arial" w:hAnsi="Arial"/>
          <w:sz w:val="20"/>
          <w:szCs w:val="20"/>
          <w:color w:val="auto"/>
        </w:rPr>
        <w:t xml:space="preserve"> (including, without limitation, Liens of sellers of goods arising under Article 2 of the Uniform Commercial Code or similar provisions of applicable Law) or any refinancing, renewal, extension or replacement thereof (to the extent the aggregate principal amount of such Debt is not increased);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 attaches solely to the property so acquired, constructed or improved in such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individual financings under </w:t>
      </w:r>
      <w:r>
        <w:rPr>
          <w:rFonts w:ascii="Arial" w:cs="Arial" w:eastAsia="Arial" w:hAnsi="Arial"/>
          <w:sz w:val="20"/>
          <w:szCs w:val="20"/>
          <w:u w:val="single" w:color="auto"/>
          <w:color w:val="auto"/>
        </w:rPr>
        <w:t>Section 7.07(b)</w:t>
      </w:r>
      <w:r>
        <w:rPr>
          <w:rFonts w:ascii="Arial" w:cs="Arial" w:eastAsia="Arial" w:hAnsi="Arial"/>
          <w:sz w:val="20"/>
          <w:szCs w:val="20"/>
          <w:color w:val="auto"/>
        </w:rPr>
        <w:t xml:space="preserve"> provided by one Person (or an Affiliate thereof) may be cross-collateralized to other financings provided by such Person and its Affiliates that are permitted by </w:t>
      </w:r>
      <w:r>
        <w:rPr>
          <w:rFonts w:ascii="Arial" w:cs="Arial" w:eastAsia="Arial" w:hAnsi="Arial"/>
          <w:sz w:val="20"/>
          <w:szCs w:val="20"/>
          <w:u w:val="single" w:color="auto"/>
          <w:color w:val="auto"/>
        </w:rPr>
        <w:t>Section 7.07(b)</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firstLine="645"/>
        <w:spacing w:after="0" w:line="242" w:lineRule="auto"/>
        <w:tabs>
          <w:tab w:leader="none" w:pos="11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 Liens arising in the ordinary course of business with respect to deposit accounts relating to intercompany cash pooling, interest set-off and/or sweeping arrangements;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deposit account is not a dedicated cash collateral account and is not subject to restrictions against access by the Company or the applicable Subsidiary in excess of those set forth by regulations promulgated by the FRB and (ii) such deposit account is not intended by the Company or the applicable Subsidiary to provide collateral to such depository institution;</w:t>
      </w:r>
    </w:p>
    <w:p>
      <w:pPr>
        <w:spacing w:after="0" w:line="197" w:lineRule="exact"/>
        <w:rPr>
          <w:rFonts w:ascii="Arial" w:cs="Arial" w:eastAsia="Arial" w:hAnsi="Arial"/>
          <w:sz w:val="20"/>
          <w:szCs w:val="20"/>
          <w:color w:val="auto"/>
        </w:rPr>
      </w:pPr>
    </w:p>
    <w:p>
      <w:pPr>
        <w:ind w:left="1020" w:hanging="375"/>
        <w:spacing w:after="0"/>
        <w:tabs>
          <w:tab w:leader="none" w:pos="10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Liens securing Securitization Obligations;</w:t>
      </w:r>
    </w:p>
    <w:p>
      <w:pPr>
        <w:spacing w:after="0" w:line="215" w:lineRule="exact"/>
        <w:rPr>
          <w:rFonts w:ascii="Arial" w:cs="Arial" w:eastAsia="Arial" w:hAnsi="Arial"/>
          <w:sz w:val="20"/>
          <w:szCs w:val="20"/>
          <w:color w:val="auto"/>
        </w:rPr>
      </w:pPr>
    </w:p>
    <w:p>
      <w:pPr>
        <w:jc w:val="both"/>
        <w:ind w:firstLine="645"/>
        <w:spacing w:after="0" w:line="246" w:lineRule="auto"/>
        <w:tabs>
          <w:tab w:leader="none" w:pos="101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(i) Liens arising under any Loan Document, (ii) Liens in favor of any Loan Party, (iii) Liens on the assets of any non-Loan Party in favor of the Company or any of its Subsidiaries, (iv) Liens on the assets of any Foreign Subsidiary in favor of any other Foreign Subsidiary; and (v) Liens on the assets of any Subsidiary that is not a Loan Party in connection with an Investment permitted pursuant </w:t>
      </w:r>
      <w:r>
        <w:rPr>
          <w:rFonts w:ascii="Arial" w:cs="Arial" w:eastAsia="Arial" w:hAnsi="Arial"/>
          <w:sz w:val="20"/>
          <w:szCs w:val="20"/>
          <w:u w:val="single" w:color="auto"/>
          <w:color w:val="auto"/>
        </w:rPr>
        <w:t>Section 7.17(d)</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060" w:hanging="415"/>
        <w:spacing w:after="0"/>
        <w:tabs>
          <w:tab w:leader="none" w:pos="10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interest of title of a lessor under leases permitted by this Agreement;</w:t>
      </w:r>
    </w:p>
    <w:p>
      <w:pPr>
        <w:spacing w:after="0" w:line="215" w:lineRule="exact"/>
        <w:rPr>
          <w:rFonts w:ascii="Arial" w:cs="Arial" w:eastAsia="Arial" w:hAnsi="Arial"/>
          <w:sz w:val="20"/>
          <w:szCs w:val="20"/>
          <w:color w:val="auto"/>
        </w:rPr>
      </w:pPr>
    </w:p>
    <w:p>
      <w:pPr>
        <w:jc w:val="both"/>
        <w:ind w:firstLine="645"/>
        <w:spacing w:after="0" w:line="250" w:lineRule="auto"/>
        <w:tabs>
          <w:tab w:leader="none" w:pos="104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(including Liens arising under Section 2-507 of the Uniform Commercial Code) entered into by the Company or any Subsidiary in the ordinary course of business;</w:t>
      </w:r>
    </w:p>
    <w:p>
      <w:pPr>
        <w:spacing w:after="0" w:line="200" w:lineRule="exact"/>
        <w:rPr>
          <w:sz w:val="20"/>
          <w:szCs w:val="20"/>
          <w:color w:val="auto"/>
        </w:rPr>
      </w:pP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60"/>
          </w:cols>
          <w:pgMar w:left="900" w:top="366" w:right="239" w:bottom="1440" w:gutter="0" w:footer="0" w:header="0"/>
        </w:sectPr>
      </w:pPr>
    </w:p>
    <w:bookmarkStart w:id="91" w:name="page92"/>
    <w:bookmarkEnd w:id="91"/>
    <w:p>
      <w:pPr>
        <w:ind w:left="660" w:firstLine="645"/>
        <w:spacing w:after="0" w:line="260" w:lineRule="auto"/>
        <w:tabs>
          <w:tab w:leader="none" w:pos="188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Liens in favor of customs or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7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security given to a public utility or any Governmental Authority when required by such public utility or Governmental Authority in connection with operations of a Loan Party of Subsidiary in the ordinary course of business;</w:t>
      </w:r>
    </w:p>
    <w:p>
      <w:pPr>
        <w:spacing w:after="0" w:line="176" w:lineRule="exact"/>
        <w:rPr>
          <w:rFonts w:ascii="Arial" w:cs="Arial" w:eastAsia="Arial" w:hAnsi="Arial"/>
          <w:sz w:val="20"/>
          <w:szCs w:val="20"/>
          <w:color w:val="auto"/>
        </w:rPr>
      </w:pPr>
    </w:p>
    <w:p>
      <w:pPr>
        <w:ind w:left="660" w:firstLine="645"/>
        <w:spacing w:after="0" w:line="260" w:lineRule="auto"/>
        <w:tabs>
          <w:tab w:leader="none" w:pos="171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receipt of progress payments and advances from customers in the ordinary course of business to the extent the same create Liens on the related inventory and proceeds thereof;</w:t>
      </w:r>
    </w:p>
    <w:p>
      <w:pPr>
        <w:spacing w:after="0" w:line="176" w:lineRule="exact"/>
        <w:rPr>
          <w:rFonts w:ascii="Arial" w:cs="Arial" w:eastAsia="Arial" w:hAnsi="Arial"/>
          <w:sz w:val="20"/>
          <w:szCs w:val="20"/>
          <w:color w:val="auto"/>
        </w:rPr>
      </w:pPr>
    </w:p>
    <w:p>
      <w:pPr>
        <w:ind w:left="660" w:firstLine="645"/>
        <w:spacing w:after="0" w:line="287" w:lineRule="auto"/>
        <w:tabs>
          <w:tab w:leader="none" w:pos="171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pledges and deposits in the ordinary course of business securing liability for reimbursement or indemnification obligations of insurance carriers providing property, casualty or liability insurance to the Company or any of its Subsidiaries;</w:t>
      </w:r>
    </w:p>
    <w:p>
      <w:pPr>
        <w:spacing w:after="0" w:line="152" w:lineRule="exact"/>
        <w:rPr>
          <w:rFonts w:ascii="Arial" w:cs="Arial" w:eastAsia="Arial" w:hAnsi="Arial"/>
          <w:sz w:val="19"/>
          <w:szCs w:val="19"/>
          <w:color w:val="auto"/>
        </w:rPr>
      </w:pPr>
    </w:p>
    <w:p>
      <w:pPr>
        <w:jc w:val="both"/>
        <w:ind w:left="660" w:firstLine="645"/>
        <w:spacing w:after="0" w:line="246" w:lineRule="auto"/>
        <w:tabs>
          <w:tab w:leader="none" w:pos="185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any interest or title of an owner of equipment or inventory on loan or consignment to the Company or any of its Subsidiaries and Liens arising from precautionary UCC financing statement filings (or equivalent filings, registrations or agreements in foreign jurisdictions) made in respect of operating leases entered into by the Company or any Subsidiary in the ordinary course of business;</w:t>
      </w:r>
    </w:p>
    <w:p>
      <w:pPr>
        <w:spacing w:after="0" w:line="205" w:lineRule="exact"/>
        <w:rPr>
          <w:rFonts w:ascii="Arial" w:cs="Arial" w:eastAsia="Arial" w:hAnsi="Arial"/>
          <w:sz w:val="20"/>
          <w:szCs w:val="20"/>
          <w:color w:val="auto"/>
        </w:rPr>
      </w:pPr>
    </w:p>
    <w:p>
      <w:pPr>
        <w:jc w:val="both"/>
        <w:ind w:left="660" w:firstLine="645"/>
        <w:spacing w:after="0" w:line="250" w:lineRule="auto"/>
        <w:tabs>
          <w:tab w:leader="none" w:pos="180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Liens created or deemed to exist in connection with any sale, transfer, conveyance or other disposition of accounts receivable not prohibited by this Agreement, but only to the extent that any such Lien relates to the applicable accounts receivable actually sold, transferred conveyed or otherwise disposed of;</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0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leases, subleases, licenses or sublicenses (including, in the case of licenses and sublicenses, of intellectual property) granted to others in the ordinary course of business which do not materially interfere with the ordinary conduct of the business of the Company or any Subsidiary and do not secure any Debt; and</w:t>
      </w:r>
    </w:p>
    <w:p>
      <w:pPr>
        <w:spacing w:after="0" w:line="186" w:lineRule="exact"/>
        <w:rPr>
          <w:rFonts w:ascii="Arial" w:cs="Arial" w:eastAsia="Arial" w:hAnsi="Arial"/>
          <w:sz w:val="20"/>
          <w:szCs w:val="20"/>
          <w:color w:val="auto"/>
        </w:rPr>
      </w:pPr>
    </w:p>
    <w:p>
      <w:pPr>
        <w:jc w:val="both"/>
        <w:ind w:left="660" w:firstLine="645"/>
        <w:spacing w:after="0" w:line="260" w:lineRule="auto"/>
        <w:tabs>
          <w:tab w:leader="none" w:pos="175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other Liens so long as, at the time of incurrence of the obligations secured by such Lien, the aggregate amount of all obligations secured by Liens incurred pursuant to this clause (t) shall not exceed the greater of (i) $35,000,000 and (ii) 3.5% of the consolidated tangible assets of the Company and its Subsidiaries as of the last day of the Fiscal Quarter most recently ended for which financial statements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Lien permitted under this </w:t>
      </w:r>
      <w:r>
        <w:rPr>
          <w:rFonts w:ascii="Arial" w:cs="Arial" w:eastAsia="Arial" w:hAnsi="Arial"/>
          <w:sz w:val="19"/>
          <w:szCs w:val="19"/>
          <w:u w:val="single" w:color="auto"/>
          <w:color w:val="auto"/>
        </w:rPr>
        <w:t>clause (t)</w:t>
      </w:r>
      <w:r>
        <w:rPr>
          <w:rFonts w:ascii="Arial" w:cs="Arial" w:eastAsia="Arial" w:hAnsi="Arial"/>
          <w:sz w:val="19"/>
          <w:szCs w:val="19"/>
          <w:color w:val="auto"/>
        </w:rPr>
        <w:t xml:space="preserve"> may secure any obligations under any Note Purchase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Lien permitted above on any property may extend to the identifiable proceeds of such property.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7.09</w:t>
      </w:r>
      <w:r>
        <w:rPr>
          <w:sz w:val="20"/>
          <w:szCs w:val="20"/>
          <w:color w:val="auto"/>
        </w:rPr>
        <w:tab/>
      </w:r>
      <w:r>
        <w:rPr>
          <w:rFonts w:ascii="Arial" w:cs="Arial" w:eastAsia="Arial" w:hAnsi="Arial"/>
          <w:sz w:val="16"/>
          <w:szCs w:val="16"/>
          <w:u w:val="single" w:color="auto"/>
          <w:color w:val="auto"/>
        </w:rPr>
        <w:t>Fundamental Changes, Consolidations, Sales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Not, and not permit any Significant Subsidiary to, be a party to any merger or consolidation, or sell, transfer, convey or lease any of its assets, or sell or assign with or without recourse any receivables, except for:</w:t>
      </w:r>
    </w:p>
    <w:p>
      <w:pPr>
        <w:spacing w:after="0" w:line="177" w:lineRule="exact"/>
        <w:rPr>
          <w:sz w:val="20"/>
          <w:szCs w:val="20"/>
          <w:color w:val="auto"/>
        </w:rPr>
      </w:pPr>
    </w:p>
    <w:p>
      <w:pPr>
        <w:jc w:val="both"/>
        <w:ind w:left="660" w:firstLine="645"/>
        <w:spacing w:after="0" w:line="291" w:lineRule="auto"/>
        <w:tabs>
          <w:tab w:leader="none" w:pos="181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such merger or consolidation, sale, transfer, conveyance, lease or assignment (i) of or by any Guarantor or any Borrower into, with or to the Company, another Loan Party or any other wholly-owned Subsidiary (provided that (x) if the Company is a party to such transaction, the Company shall be the survivor, (y) if a Borrower (other than the Company) is party to such transaction,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6" w:right="239" w:bottom="1440" w:gutter="0" w:footer="0" w:header="0"/>
        </w:sectPr>
      </w:pPr>
    </w:p>
    <w:bookmarkStart w:id="92" w:name="page93"/>
    <w:bookmarkEnd w:id="92"/>
    <w:p>
      <w:pPr>
        <w:jc w:val="both"/>
        <w:ind w:left="660"/>
        <w:spacing w:after="0" w:line="272" w:lineRule="auto"/>
        <w:rPr>
          <w:sz w:val="20"/>
          <w:szCs w:val="20"/>
          <w:color w:val="auto"/>
        </w:rPr>
      </w:pPr>
      <w:r>
        <w:rPr>
          <w:rFonts w:ascii="Arial" w:cs="Arial" w:eastAsia="Arial" w:hAnsi="Arial"/>
          <w:sz w:val="18"/>
          <w:szCs w:val="18"/>
          <w:color w:val="auto"/>
        </w:rPr>
        <w:t>either such Borrower or another Borrower shall be the survivor and (z) if a Guarantor is a party to such transaction, either such Guarantor or another Loan Party shall be the survivor), (ii) of or by any Foreign Subsidiary into, with or to any other Foreign Subsidiary (provided that if a Borrower is party to such transaction, either such Borrower or another Borrower shall be the survivor) or</w:t>
      </w:r>
    </w:p>
    <w:p>
      <w:pPr>
        <w:spacing w:after="0" w:line="1" w:lineRule="exact"/>
        <w:rPr>
          <w:sz w:val="20"/>
          <w:szCs w:val="20"/>
          <w:color w:val="auto"/>
        </w:rPr>
      </w:pPr>
    </w:p>
    <w:p>
      <w:pPr>
        <w:ind w:left="1000" w:hanging="344"/>
        <w:spacing w:after="0"/>
        <w:tabs>
          <w:tab w:leader="none" w:pos="10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of or by any Subsidiary that is not a Loan Party into, with or to any other Subsidiary or the Company;</w:t>
      </w:r>
    </w:p>
    <w:p>
      <w:pPr>
        <w:spacing w:after="0" w:line="199" w:lineRule="exact"/>
        <w:rPr>
          <w:rFonts w:ascii="Arial" w:cs="Arial" w:eastAsia="Arial" w:hAnsi="Arial"/>
          <w:sz w:val="20"/>
          <w:szCs w:val="20"/>
          <w:color w:val="auto"/>
        </w:rPr>
      </w:pPr>
    </w:p>
    <w:p>
      <w:pPr>
        <w:ind w:left="1720" w:hanging="415"/>
        <w:spacing w:after="0"/>
        <w:tabs>
          <w:tab w:leader="none" w:pos="172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5"/>
        <w:spacing w:after="0" w:line="260" w:lineRule="auto"/>
        <w:tabs>
          <w:tab w:leader="none" w:pos="1722" w:val="left"/>
        </w:tabs>
        <w:numPr>
          <w:ilvl w:val="1"/>
          <w:numId w:val="111"/>
        </w:numPr>
        <w:rPr>
          <w:rFonts w:ascii="Arial" w:cs="Arial" w:eastAsia="Arial" w:hAnsi="Arial"/>
          <w:sz w:val="20"/>
          <w:szCs w:val="20"/>
          <w:color w:val="auto"/>
        </w:rPr>
      </w:pPr>
      <w:r>
        <w:rPr>
          <w:rFonts w:ascii="Arial" w:cs="Arial" w:eastAsia="Arial" w:hAnsi="Arial"/>
          <w:sz w:val="20"/>
          <w:szCs w:val="20"/>
          <w:color w:val="auto"/>
        </w:rPr>
        <w:t>dispositions of accounts receivable, lease receivables, other financial assets and other rights and related assets pursuant to a Permitted Securitization or any factoring transaction;</w:t>
      </w:r>
    </w:p>
    <w:p>
      <w:pPr>
        <w:spacing w:after="0" w:line="176" w:lineRule="exact"/>
        <w:rPr>
          <w:rFonts w:ascii="Arial" w:cs="Arial" w:eastAsia="Arial" w:hAnsi="Arial"/>
          <w:sz w:val="20"/>
          <w:szCs w:val="20"/>
          <w:color w:val="auto"/>
        </w:rPr>
      </w:pPr>
    </w:p>
    <w:p>
      <w:pPr>
        <w:jc w:val="both"/>
        <w:ind w:left="660" w:right="20" w:firstLine="645"/>
        <w:spacing w:after="0" w:line="250" w:lineRule="auto"/>
        <w:tabs>
          <w:tab w:leader="none" w:pos="17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749" w:val="left"/>
        </w:tabs>
        <w:numPr>
          <w:ilvl w:val="1"/>
          <w:numId w:val="111"/>
        </w:numPr>
        <w:rPr>
          <w:rFonts w:ascii="Arial" w:cs="Arial" w:eastAsia="Arial" w:hAnsi="Arial"/>
          <w:sz w:val="20"/>
          <w:szCs w:val="20"/>
          <w:color w:val="auto"/>
        </w:rPr>
      </w:pPr>
      <w:r>
        <w:rPr>
          <w:rFonts w:ascii="Arial" w:cs="Arial" w:eastAsia="Arial" w:hAnsi="Arial"/>
          <w:sz w:val="20"/>
          <w:szCs w:val="20"/>
          <w:color w:val="auto"/>
        </w:rPr>
        <w:t>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spacing w:after="0" w:line="186" w:lineRule="exact"/>
        <w:rPr>
          <w:rFonts w:ascii="Arial" w:cs="Arial" w:eastAsia="Arial" w:hAnsi="Arial"/>
          <w:sz w:val="20"/>
          <w:szCs w:val="20"/>
          <w:color w:val="auto"/>
        </w:rPr>
      </w:pPr>
    </w:p>
    <w:p>
      <w:pPr>
        <w:ind w:left="660" w:firstLine="645"/>
        <w:spacing w:after="0" w:line="260" w:lineRule="auto"/>
        <w:tabs>
          <w:tab w:leader="none" w:pos="175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sales and dispositions of assets (including Capital Stock of Subsidiaries) purchased in connection with (and as a direct result of) a Permitted Acquisition;</w:t>
      </w:r>
    </w:p>
    <w:p>
      <w:pPr>
        <w:spacing w:after="0" w:line="176" w:lineRule="exact"/>
        <w:rPr>
          <w:rFonts w:ascii="Arial" w:cs="Arial" w:eastAsia="Arial" w:hAnsi="Arial"/>
          <w:sz w:val="20"/>
          <w:szCs w:val="20"/>
          <w:color w:val="auto"/>
        </w:rPr>
      </w:pPr>
    </w:p>
    <w:p>
      <w:pPr>
        <w:jc w:val="both"/>
        <w:ind w:left="660" w:firstLine="645"/>
        <w:spacing w:after="0" w:line="269" w:lineRule="auto"/>
        <w:tabs>
          <w:tab w:leader="none" w:pos="180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dispositions of property in the ordinary course of business to the extent that (i) such property is exchanged for credit against the purchase price of similar replacement equipment or other revenue-producing property or (ii) the proceeds of such disposition are promptly applied to the purchase price of such replacement or other revenue-producing property;</w:t>
      </w:r>
    </w:p>
    <w:p>
      <w:pPr>
        <w:spacing w:after="0" w:line="170" w:lineRule="exact"/>
        <w:rPr>
          <w:rFonts w:ascii="Arial" w:cs="Arial" w:eastAsia="Arial" w:hAnsi="Arial"/>
          <w:sz w:val="19"/>
          <w:szCs w:val="19"/>
          <w:color w:val="auto"/>
        </w:rPr>
      </w:pPr>
    </w:p>
    <w:p>
      <w:pPr>
        <w:jc w:val="both"/>
        <w:ind w:left="660" w:firstLine="645"/>
        <w:spacing w:after="0" w:line="250" w:lineRule="auto"/>
        <w:tabs>
          <w:tab w:leader="none" w:pos="1787"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dispositions of property to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of such Property is a Loan Party (i) the transferee thereof must be a Loan Party (other than a Foreign Loan Party) or (ii) to the extent such transaction constitutes an Investment, such transaction is permitted under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to the extent constituting a disposition, Investments permitted under </w:t>
      </w:r>
      <w:r>
        <w:rPr>
          <w:rFonts w:ascii="Arial" w:cs="Arial" w:eastAsia="Arial" w:hAnsi="Arial"/>
          <w:sz w:val="20"/>
          <w:szCs w:val="20"/>
          <w:u w:val="single" w:color="auto"/>
          <w:color w:val="auto"/>
        </w:rPr>
        <w:t>Section 7.17(n)</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jc w:val="both"/>
        <w:ind w:left="660" w:right="20" w:firstLine="645"/>
        <w:spacing w:after="0" w:line="263" w:lineRule="auto"/>
        <w:tabs>
          <w:tab w:leader="none" w:pos="171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other sales and dispositions of assets so long as no Default exists or would exist immediately after giving effect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fair market value of all property disposed of by the Loan Parties pursuant to this clause (j) shall not exceed 25% of consolidated tangible assets of the Company and its Subsidiaries as of the last day of the Fiscal Quarter most recently ended for which financial statements have been delivered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For the avoidance of doubt, the granting of a Lien to secure the repayment of Debt or other obligations shall not, in and of itself, constitute a conveyance or transfer of assets pursuant to this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17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Notwithstanding the foregoing, prior to the disposition (including by way of a merger or consolidation), dissolution, liquidation or winding up of any Subsidiary that is a Designated Borrower, the Company shall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6" w:right="2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0"/>
          <w:szCs w:val="20"/>
          <w:color w:val="auto"/>
        </w:rPr>
        <w:t xml:space="preserve">terminate such Subsidiary’s status as a Designated Borrower in accordance with </w:t>
      </w:r>
      <w:r>
        <w:rPr>
          <w:rFonts w:ascii="Arial" w:cs="Arial" w:eastAsia="Arial" w:hAnsi="Arial"/>
          <w:sz w:val="20"/>
          <w:szCs w:val="20"/>
          <w:u w:val="single" w:color="auto"/>
          <w:color w:val="auto"/>
        </w:rPr>
        <w:t>Section 2.14(e)</w:t>
      </w:r>
      <w:r>
        <w:rPr>
          <w:rFonts w:ascii="Arial" w:cs="Arial" w:eastAsia="Arial" w:hAnsi="Arial"/>
          <w:sz w:val="20"/>
          <w:szCs w:val="20"/>
          <w:color w:val="auto"/>
        </w:rPr>
        <w:t xml:space="preserve"> and any Loans or other outstanding Obligations of such Subsidiary shall be assumed by the Company.</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Use the proceeds of the Credit Extensions solely (i) to refinance the Existing Credit Agreement in full, (ii) to finance Permitted Acquisitions and (iii) for capital expenditures, working capital and other general corporate purposes, and not use the proceeds of the Loans, directly or indirectly, to purchase or carry Margin Stock.</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Take, execute and deliver, and cause each applicable Subsidiary to take, execute and deliver, any and all such further acts and agreements as the Administrative Agent or the Required Lenders may reasonably request from time to time in order to ensure that the Obligations are guaranteed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by the Company and, to the extent required under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the applicable Subsidiaries; and deliver, or cause the applicable Guarantor to deliver, to the Administrative Agent such documents as the Administrative Agent (or the Required Lenders acting through the Administrative Agent) may reasonably request (including opinions of counsel) to confirm that the Guaranty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the legal, valid and binding obligation of each Guarantor.</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 enter into, or cause, suffer or permit to exist any transaction, arrangement or contract with any of its other Affiliates (other than another Loan Party or another Subsidiary or a Person that becomes a Subsidiary as a result of such transaction, arrangement or contract) which is on terms, taken as a whole, which are less favorable than are obtainable from any Person which is not one of its Affiliates under comparable circumstances,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shall not prohibit:</w:t>
      </w:r>
    </w:p>
    <w:p>
      <w:pPr>
        <w:spacing w:after="0" w:line="192"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capital contributions and dividends and other distributions with respect to the Capital Stock of the Company or such Loan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Party;</w:t>
      </w:r>
    </w:p>
    <w:p>
      <w:pPr>
        <w:spacing w:after="0" w:line="200" w:lineRule="exact"/>
        <w:rPr>
          <w:sz w:val="20"/>
          <w:szCs w:val="20"/>
          <w:color w:val="auto"/>
        </w:rPr>
      </w:pPr>
    </w:p>
    <w:p>
      <w:pPr>
        <w:ind w:left="660" w:firstLine="645"/>
        <w:spacing w:after="0" w:line="260" w:lineRule="auto"/>
        <w:tabs>
          <w:tab w:leader="none" w:pos="178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employment or severance agreement and any amendment thereto entered into by the Company or any other Loan Party in the ordinary course of business;</w:t>
      </w:r>
    </w:p>
    <w:p>
      <w:pPr>
        <w:spacing w:after="0" w:line="176" w:lineRule="exact"/>
        <w:rPr>
          <w:rFonts w:ascii="Arial" w:cs="Arial" w:eastAsia="Arial" w:hAnsi="Arial"/>
          <w:sz w:val="20"/>
          <w:szCs w:val="20"/>
          <w:color w:val="auto"/>
        </w:rPr>
      </w:pPr>
    </w:p>
    <w:p>
      <w:pPr>
        <w:ind w:left="1700" w:hanging="395"/>
        <w:spacing w:after="0"/>
        <w:tabs>
          <w:tab w:leader="none" w:pos="17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payment of reasonable directors’ fees and benefits;</w:t>
      </w:r>
    </w:p>
    <w:p>
      <w:pPr>
        <w:spacing w:after="0" w:line="215" w:lineRule="exact"/>
        <w:rPr>
          <w:rFonts w:ascii="Arial" w:cs="Arial" w:eastAsia="Arial" w:hAnsi="Arial"/>
          <w:sz w:val="20"/>
          <w:szCs w:val="20"/>
          <w:color w:val="auto"/>
        </w:rPr>
      </w:pPr>
    </w:p>
    <w:p>
      <w:pPr>
        <w:ind w:left="660" w:right="20" w:firstLine="645"/>
        <w:spacing w:after="0" w:line="260" w:lineRule="auto"/>
        <w:tabs>
          <w:tab w:leader="none" w:pos="178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provision of officers’ and directors’ indemnification and insurance in the ordinary course of business to the extent permitted by applicable Law;</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6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non-interest bearing (or below-market interest-bearing) intercompany loans or other advances in the ordinary course of business and consistent with past practice;</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payment of employee salaries, bonuses and employee benefits in the ordinary course of business;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sales or leases of goods to Affiliates in the ordinary course of business for less than fair market value, but for not less than</w:t>
      </w:r>
    </w:p>
    <w:p>
      <w:pPr>
        <w:spacing w:after="0" w:line="6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cost;</w:t>
      </w:r>
    </w:p>
    <w:p>
      <w:pPr>
        <w:spacing w:after="0" w:line="199" w:lineRule="exact"/>
        <w:rPr>
          <w:rFonts w:ascii="Arial" w:cs="Arial" w:eastAsia="Arial" w:hAnsi="Arial"/>
          <w:sz w:val="16"/>
          <w:szCs w:val="16"/>
          <w:color w:val="auto"/>
        </w:rPr>
      </w:pPr>
    </w:p>
    <w:p>
      <w:pPr>
        <w:ind w:left="1720" w:hanging="415"/>
        <w:spacing w:after="0"/>
        <w:tabs>
          <w:tab w:leader="none" w:pos="17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[reserved;]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6" w:right="239" w:bottom="1440" w:gutter="0" w:footer="0" w:header="0"/>
        </w:sectPr>
      </w:pPr>
    </w:p>
    <w:bookmarkStart w:id="94" w:name="page95"/>
    <w:bookmarkEnd w:id="94"/>
    <w:p>
      <w:pPr>
        <w:ind w:left="1960" w:hanging="655"/>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20"/>
          <w:szCs w:val="20"/>
          <w:color w:val="auto"/>
        </w:rPr>
        <w:t>transactions effected as part of a Permitted Securitization; or</w:t>
      </w:r>
    </w:p>
    <w:p>
      <w:pPr>
        <w:spacing w:after="0" w:line="215" w:lineRule="exact"/>
        <w:rPr>
          <w:rFonts w:ascii="Arial" w:cs="Arial" w:eastAsia="Arial" w:hAnsi="Arial"/>
          <w:sz w:val="18"/>
          <w:szCs w:val="18"/>
          <w:color w:val="auto"/>
        </w:rPr>
      </w:pPr>
    </w:p>
    <w:p>
      <w:pPr>
        <w:ind w:left="660" w:firstLine="645"/>
        <w:spacing w:after="0" w:line="260" w:lineRule="auto"/>
        <w:tabs>
          <w:tab w:leader="none" w:pos="1729"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any transaction permitted under </w:t>
      </w:r>
      <w:r>
        <w:rPr>
          <w:rFonts w:ascii="Arial" w:cs="Arial" w:eastAsia="Arial" w:hAnsi="Arial"/>
          <w:sz w:val="20"/>
          <w:szCs w:val="20"/>
          <w:u w:val="single" w:color="auto"/>
          <w:color w:val="auto"/>
        </w:rPr>
        <w:t>Section 7.07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Loan Party may forgive Debt owing to it by an Affiliate that is not a Loan Party), </w:t>
      </w:r>
      <w:r>
        <w:rPr>
          <w:rFonts w:ascii="Arial" w:cs="Arial" w:eastAsia="Arial" w:hAnsi="Arial"/>
          <w:sz w:val="20"/>
          <w:szCs w:val="20"/>
          <w:u w:val="single" w:color="auto"/>
          <w:color w:val="auto"/>
        </w:rPr>
        <w:t>7.09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7.17</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Maintain, and cause each Significant Subsidiary to maintain, each Pension Plan in compliance with all applicable requirements of Law and regulations, except to the extent non-compliance could not reasonably be expected to have a Material Adverse Effect.</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7.14</w:t>
      </w:r>
      <w:r>
        <w:rPr>
          <w:sz w:val="20"/>
          <w:szCs w:val="20"/>
          <w:color w:val="auto"/>
        </w:rPr>
        <w:tab/>
      </w: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Conduct, and cause each Significant Subsidiary to conduct, its operations and keep and maintain its property in compliance with all Environmental Laws, except to the extent non-compliance could not reasonably be expected to have a Material Adverse Effect.</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7.15</w:t>
      </w:r>
      <w:r>
        <w:rPr>
          <w:sz w:val="20"/>
          <w:szCs w:val="20"/>
          <w:color w:val="auto"/>
        </w:rPr>
        <w:tab/>
      </w:r>
      <w:r>
        <w:rPr>
          <w:rFonts w:ascii="Arial" w:cs="Arial" w:eastAsia="Arial" w:hAnsi="Arial"/>
          <w:sz w:val="18"/>
          <w:szCs w:val="18"/>
          <w:u w:val="single" w:color="auto"/>
          <w:color w:val="auto"/>
        </w:rPr>
        <w:t>Business Activities</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 and not permit any Significant Subsidiary to, engage in any line of business other than the same or similar lines of business engaged in by the Company and its Significant Subsidiaries as of the Closing Date and reasonable extensions thereof.</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7.16</w:t>
      </w:r>
      <w:r>
        <w:rPr>
          <w:sz w:val="20"/>
          <w:szCs w:val="20"/>
          <w:color w:val="auto"/>
        </w:rPr>
        <w:tab/>
      </w:r>
      <w:r>
        <w:rPr>
          <w:rFonts w:ascii="Arial" w:cs="Arial" w:eastAsia="Arial" w:hAnsi="Arial"/>
          <w:sz w:val="16"/>
          <w:szCs w:val="16"/>
          <w:u w:val="single" w:color="auto"/>
          <w:color w:val="auto"/>
        </w:rPr>
        <w:t>Non-Guarantor Domestic Subsidiaries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8" w:lineRule="auto"/>
        <w:tabs>
          <w:tab w:leader="none" w:pos="162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 later than the date that is sixty (60) days after the end of each Fiscal Quarter (or such later date as agreed by the Administrative Agent in its sole discretion), take all steps necessary to cause each Domestic Subsidiary (other than Excluded Subsidiaries) that was not a Guarantor as of the end of such Fiscal Quarter to become a party to this Agreement as a Guarantor. Without limiting the foregoing, the Company will cause any Subsidiary that guarantees, or that is required by the terms of any Note Purchase Agreement or any Senior Note to guarantee, Debt in respect of any Note Purchase Agreement and/or any Senior Note to be a Guarantor.</w:t>
      </w:r>
    </w:p>
    <w:p>
      <w:pPr>
        <w:spacing w:after="0" w:line="165" w:lineRule="exact"/>
        <w:rPr>
          <w:rFonts w:ascii="Arial" w:cs="Arial" w:eastAsia="Arial" w:hAnsi="Arial"/>
          <w:sz w:val="18"/>
          <w:szCs w:val="18"/>
          <w:color w:val="auto"/>
        </w:rPr>
      </w:pPr>
    </w:p>
    <w:p>
      <w:pPr>
        <w:jc w:val="both"/>
        <w:ind w:firstLine="656"/>
        <w:spacing w:after="0" w:line="244" w:lineRule="auto"/>
        <w:tabs>
          <w:tab w:leader="none" w:pos="164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Notwithstanding the foregoing </w:t>
      </w:r>
      <w:r>
        <w:rPr>
          <w:rFonts w:ascii="Arial" w:cs="Arial" w:eastAsia="Arial" w:hAnsi="Arial"/>
          <w:sz w:val="20"/>
          <w:szCs w:val="20"/>
          <w:u w:val="single" w:color="auto"/>
          <w:color w:val="auto"/>
        </w:rPr>
        <w:t>Section 7.16(a)</w:t>
      </w:r>
      <w:r>
        <w:rPr>
          <w:rFonts w:ascii="Arial" w:cs="Arial" w:eastAsia="Arial" w:hAnsi="Arial"/>
          <w:sz w:val="20"/>
          <w:szCs w:val="20"/>
          <w:color w:val="auto"/>
        </w:rPr>
        <w:t xml:space="preserve">, Brady Mexico Holding LLC, Brady Precision Converting, LLC, Brady Investment Co. and PDMX, Inc. shall not be required to become Guarantors on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such Subsidiary has not been released from its obligation to guarantee the Debt in respect of the Note Purchase Agreements and/or the Senior Notes by the date that is 120 days after the Closing Date (or such later date as agreed by the Administrative Agent in its sole discretion), such Subsidiary shall be required to become a Guarantor in accordance with </w:t>
      </w:r>
      <w:r>
        <w:rPr>
          <w:rFonts w:ascii="Arial" w:cs="Arial" w:eastAsia="Arial" w:hAnsi="Arial"/>
          <w:sz w:val="20"/>
          <w:szCs w:val="20"/>
          <w:u w:val="single" w:color="auto"/>
          <w:color w:val="auto"/>
        </w:rPr>
        <w:t>Section 7.16(a)</w:t>
      </w:r>
      <w:r>
        <w:rPr>
          <w:rFonts w:ascii="Arial" w:cs="Arial" w:eastAsia="Arial" w:hAnsi="Arial"/>
          <w:sz w:val="20"/>
          <w:szCs w:val="20"/>
          <w:color w:val="auto"/>
        </w:rPr>
        <w: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7.17</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and not permit any Significant Subsidiary to, make any Investments, except:</w:t>
      </w:r>
    </w:p>
    <w:p>
      <w:pPr>
        <w:spacing w:after="0" w:line="216" w:lineRule="exact"/>
        <w:rPr>
          <w:sz w:val="20"/>
          <w:szCs w:val="20"/>
          <w:color w:val="auto"/>
        </w:rPr>
      </w:pPr>
    </w:p>
    <w:p>
      <w:pPr>
        <w:ind w:left="2360" w:hanging="407"/>
        <w:spacing w:after="0"/>
        <w:tabs>
          <w:tab w:leader="none" w:pos="23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Investments held in the form of cash or Cash Equivalents;</w:t>
      </w:r>
    </w:p>
    <w:p>
      <w:pPr>
        <w:spacing w:after="0" w:line="215" w:lineRule="exact"/>
        <w:rPr>
          <w:rFonts w:ascii="Arial" w:cs="Arial" w:eastAsia="Arial" w:hAnsi="Arial"/>
          <w:sz w:val="20"/>
          <w:szCs w:val="20"/>
          <w:color w:val="auto"/>
        </w:rPr>
      </w:pPr>
    </w:p>
    <w:p>
      <w:pPr>
        <w:ind w:left="660" w:firstLine="1293"/>
        <w:spacing w:after="0" w:line="260" w:lineRule="auto"/>
        <w:tabs>
          <w:tab w:leader="none" w:pos="236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Investments existing or committed to as of the Closing Date and set forth in </w:t>
      </w:r>
      <w:r>
        <w:rPr>
          <w:rFonts w:ascii="Arial" w:cs="Arial" w:eastAsia="Arial" w:hAnsi="Arial"/>
          <w:sz w:val="20"/>
          <w:szCs w:val="20"/>
          <w:u w:val="single" w:color="auto"/>
          <w:color w:val="auto"/>
        </w:rPr>
        <w:t>Schedule 7.17</w:t>
      </w:r>
      <w:r>
        <w:rPr>
          <w:rFonts w:ascii="Arial" w:cs="Arial" w:eastAsia="Arial" w:hAnsi="Arial"/>
          <w:sz w:val="20"/>
          <w:szCs w:val="20"/>
          <w:color w:val="auto"/>
        </w:rPr>
        <w:t xml:space="preserve"> (and any modification, replacement, renewal or extension thereof, to the extent that the amount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of the original Investment is not increased except by the terms of such Investment or as otherwise permitted under this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239" w:lineRule="exact"/>
        <w:rPr>
          <w:sz w:val="20"/>
          <w:szCs w:val="20"/>
          <w:color w:val="auto"/>
        </w:rPr>
      </w:pPr>
    </w:p>
    <w:p>
      <w:pPr>
        <w:ind w:left="1700" w:hanging="407"/>
        <w:spacing w:after="0"/>
        <w:tabs>
          <w:tab w:leader="none" w:pos="170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Investments in any Person that is a Loan Party prior to giving effect to such Investment;</w:t>
      </w:r>
    </w:p>
    <w:p>
      <w:pPr>
        <w:spacing w:after="0" w:line="215" w:lineRule="exact"/>
        <w:rPr>
          <w:rFonts w:ascii="Arial" w:cs="Arial" w:eastAsia="Arial" w:hAnsi="Arial"/>
          <w:sz w:val="20"/>
          <w:szCs w:val="20"/>
          <w:color w:val="auto"/>
        </w:rPr>
      </w:pPr>
    </w:p>
    <w:p>
      <w:pPr>
        <w:ind w:left="1060" w:hanging="415"/>
        <w:spacing w:after="0"/>
        <w:tabs>
          <w:tab w:leader="none" w:pos="10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Investments by any Subsidiary that is not a Loan Party in any other Subsidiary;</w:t>
      </w:r>
    </w:p>
    <w:p>
      <w:pPr>
        <w:spacing w:after="0" w:line="215" w:lineRule="exact"/>
        <w:rPr>
          <w:rFonts w:ascii="Arial" w:cs="Arial" w:eastAsia="Arial" w:hAnsi="Arial"/>
          <w:sz w:val="20"/>
          <w:szCs w:val="20"/>
          <w:color w:val="auto"/>
        </w:rPr>
      </w:pPr>
    </w:p>
    <w:p>
      <w:pPr>
        <w:jc w:val="both"/>
        <w:ind w:firstLine="1293"/>
        <w:spacing w:after="0" w:line="276" w:lineRule="auto"/>
        <w:tabs>
          <w:tab w:leader="none" w:pos="169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 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spacing w:after="0" w:line="165" w:lineRule="exact"/>
        <w:rPr>
          <w:rFonts w:ascii="Arial" w:cs="Arial" w:eastAsia="Arial" w:hAnsi="Arial"/>
          <w:sz w:val="18"/>
          <w:szCs w:val="18"/>
          <w:color w:val="auto"/>
        </w:rPr>
      </w:pPr>
    </w:p>
    <w:p>
      <w:pPr>
        <w:jc w:val="both"/>
        <w:ind w:firstLine="1293"/>
        <w:spacing w:after="0" w:line="250" w:lineRule="auto"/>
        <w:tabs>
          <w:tab w:leader="none" w:pos="174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loans and advances to officers, directors and employees of the Company or any Subsidiary in connection with travel, entertainment, relocation and analogous ordinary business purposes and advances of payroll payments to employees in the ordinary course of business;</w:t>
      </w:r>
    </w:p>
    <w:p>
      <w:pPr>
        <w:spacing w:after="0" w:line="186" w:lineRule="exact"/>
        <w:rPr>
          <w:rFonts w:ascii="Arial" w:cs="Arial" w:eastAsia="Arial" w:hAnsi="Arial"/>
          <w:sz w:val="20"/>
          <w:szCs w:val="20"/>
          <w:color w:val="auto"/>
        </w:rPr>
      </w:pPr>
    </w:p>
    <w:p>
      <w:pPr>
        <w:ind w:left="1700" w:hanging="407"/>
        <w:spacing w:after="0"/>
        <w:tabs>
          <w:tab w:leader="none" w:pos="170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Suretyship Liabilities permitted by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407"/>
        <w:spacing w:after="0"/>
        <w:tabs>
          <w:tab w:leader="none" w:pos="170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5" w:lineRule="exact"/>
        <w:rPr>
          <w:rFonts w:ascii="Arial" w:cs="Arial" w:eastAsia="Arial" w:hAnsi="Arial"/>
          <w:sz w:val="20"/>
          <w:szCs w:val="20"/>
          <w:color w:val="auto"/>
        </w:rPr>
      </w:pPr>
    </w:p>
    <w:p>
      <w:pPr>
        <w:ind w:firstLine="1293"/>
        <w:spacing w:after="0" w:line="260" w:lineRule="auto"/>
        <w:tabs>
          <w:tab w:leader="none" w:pos="181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from credit-worthy obligors in connection with dispositions permitted under </w:t>
      </w:r>
      <w:r>
        <w:rPr>
          <w:rFonts w:ascii="Arial" w:cs="Arial" w:eastAsia="Arial" w:hAnsi="Arial"/>
          <w:sz w:val="20"/>
          <w:szCs w:val="20"/>
          <w:u w:val="single" w:color="auto"/>
          <w:color w:val="auto"/>
        </w:rPr>
        <w:t>Section 7.09</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660" w:hanging="367"/>
        <w:spacing w:after="0"/>
        <w:tabs>
          <w:tab w:leader="none" w:pos="166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Investments in non-qualified employee benefit plans, including deferred compensation plans;</w:t>
      </w:r>
    </w:p>
    <w:p>
      <w:pPr>
        <w:spacing w:after="0" w:line="216" w:lineRule="exact"/>
        <w:rPr>
          <w:sz w:val="20"/>
          <w:szCs w:val="20"/>
          <w:color w:val="auto"/>
        </w:rPr>
      </w:pPr>
    </w:p>
    <w:p>
      <w:pPr>
        <w:jc w:val="both"/>
        <w:ind w:firstLine="645"/>
        <w:spacing w:after="0" w:line="278" w:lineRule="auto"/>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Investments in partnerships, joint ventures and any other non-Wholly Owned Subsidiary where the aggregate amount of such Investments (excluding any such Investment existing or committed for on the Closing Date and listed on </w:t>
      </w:r>
      <w:r>
        <w:rPr>
          <w:rFonts w:ascii="Arial" w:cs="Arial" w:eastAsia="Arial" w:hAnsi="Arial"/>
          <w:sz w:val="18"/>
          <w:szCs w:val="18"/>
          <w:u w:val="single" w:color="auto"/>
          <w:color w:val="auto"/>
        </w:rPr>
        <w:t>Schedule 7.17</w:t>
      </w:r>
      <w:r>
        <w:rPr>
          <w:rFonts w:ascii="Arial" w:cs="Arial" w:eastAsia="Arial" w:hAnsi="Arial"/>
          <w:sz w:val="18"/>
          <w:szCs w:val="18"/>
          <w:color w:val="auto"/>
        </w:rPr>
        <w:t xml:space="preserve">) outstanding at any one time does not exceed the greater of (i) $50,000,000 and (ii) 5% of consolidated tangible assets of the Company and its Subsidiaries as of the last day of the Fiscal Quarter most recently ended for which financial statements have been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Party may become a general partner in any partnership;</w:t>
      </w:r>
    </w:p>
    <w:p>
      <w:pPr>
        <w:spacing w:after="0" w:line="165" w:lineRule="exact"/>
        <w:rPr>
          <w:rFonts w:ascii="Arial" w:cs="Arial" w:eastAsia="Arial" w:hAnsi="Arial"/>
          <w:sz w:val="18"/>
          <w:szCs w:val="18"/>
          <w:color w:val="auto"/>
        </w:rPr>
      </w:pPr>
    </w:p>
    <w:p>
      <w:pPr>
        <w:jc w:val="both"/>
        <w:ind w:firstLine="1293"/>
        <w:spacing w:after="0" w:line="250" w:lineRule="auto"/>
        <w:tabs>
          <w:tab w:leader="none" w:pos="1798"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Investments by a Loan Party in a Subsidiary that is not a Loan Party for purposes of funding a Permitted Acquisition so long as the sum of (i) unrestricted cash of the Company and its Domestic Subsidiaries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unutilized availability under the Aggregate Revolving Commitments is at least $175,000,000;</w:t>
      </w:r>
    </w:p>
    <w:p>
      <w:pPr>
        <w:spacing w:after="0" w:line="186" w:lineRule="exact"/>
        <w:rPr>
          <w:rFonts w:ascii="Arial" w:cs="Arial" w:eastAsia="Arial" w:hAnsi="Arial"/>
          <w:sz w:val="20"/>
          <w:szCs w:val="20"/>
          <w:color w:val="auto"/>
        </w:rPr>
      </w:pPr>
    </w:p>
    <w:p>
      <w:pPr>
        <w:jc w:val="both"/>
        <w:ind w:firstLine="1293"/>
        <w:spacing w:after="0" w:line="250" w:lineRule="auto"/>
        <w:tabs>
          <w:tab w:leader="none" w:pos="1789"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Investment made by a Loan Party in a Subsidiary that is not a Loan Party with cash proceeds received from distributions from Subsidiaries that are not Loan Parties to the extent such Investment is made within 15 days of the receipt of such cash proceeds;</w:t>
      </w:r>
    </w:p>
    <w:p>
      <w:pPr>
        <w:spacing w:after="0" w:line="186" w:lineRule="exact"/>
        <w:rPr>
          <w:rFonts w:ascii="Arial" w:cs="Arial" w:eastAsia="Arial" w:hAnsi="Arial"/>
          <w:sz w:val="20"/>
          <w:szCs w:val="20"/>
          <w:color w:val="auto"/>
        </w:rPr>
      </w:pPr>
    </w:p>
    <w:p>
      <w:pPr>
        <w:ind w:firstLine="1293"/>
        <w:spacing w:after="0" w:line="260" w:lineRule="auto"/>
        <w:tabs>
          <w:tab w:leader="none" w:pos="1707" w:val="left"/>
        </w:tabs>
        <w:numPr>
          <w:ilvl w:val="1"/>
          <w:numId w:val="118"/>
        </w:numPr>
        <w:rPr>
          <w:rFonts w:ascii="Arial" w:cs="Arial" w:eastAsia="Arial" w:hAnsi="Arial"/>
          <w:sz w:val="20"/>
          <w:szCs w:val="20"/>
          <w:color w:val="auto"/>
        </w:rPr>
      </w:pPr>
      <w:r>
        <w:rPr>
          <w:rFonts w:ascii="Arial" w:cs="Arial" w:eastAsia="Arial" w:hAnsi="Arial"/>
          <w:sz w:val="20"/>
          <w:szCs w:val="20"/>
          <w:color w:val="auto"/>
        </w:rPr>
        <w:t>Investments consisting of the transfer of Capital Stock or Debt (other than Obligations) of a Foreign Subsidiary to the Company or any other Subsidiary of the Company;</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760"/>
          </w:cols>
          <w:pgMar w:left="900" w:top="366" w:right="239" w:bottom="1440" w:gutter="0" w:footer="0" w:header="0"/>
        </w:sectPr>
      </w:pPr>
    </w:p>
    <w:bookmarkStart w:id="96" w:name="page97"/>
    <w:bookmarkEnd w:id="96"/>
    <w:p>
      <w:pPr>
        <w:ind w:left="660" w:right="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Debt of a Foreign Subsidiary shall not be transferred to a Loan Party unless such Loan Party would be permitted to incur such Debt pursuant to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177" w:lineRule="exact"/>
        <w:rPr>
          <w:sz w:val="20"/>
          <w:szCs w:val="20"/>
          <w:color w:val="auto"/>
        </w:rPr>
      </w:pPr>
    </w:p>
    <w:p>
      <w:pPr>
        <w:ind w:left="660" w:firstLine="1293"/>
        <w:spacing w:after="0" w:line="260" w:lineRule="auto"/>
        <w:tabs>
          <w:tab w:leader="none" w:pos="2489" w:val="left"/>
        </w:tabs>
        <w:numPr>
          <w:ilvl w:val="2"/>
          <w:numId w:val="119"/>
        </w:numPr>
        <w:rPr>
          <w:rFonts w:ascii="Arial" w:cs="Arial" w:eastAsia="Arial" w:hAnsi="Arial"/>
          <w:sz w:val="20"/>
          <w:szCs w:val="20"/>
          <w:color w:val="auto"/>
        </w:rPr>
      </w:pPr>
      <w:r>
        <w:rPr>
          <w:rFonts w:ascii="Arial" w:cs="Arial" w:eastAsia="Arial" w:hAnsi="Arial"/>
          <w:sz w:val="20"/>
          <w:szCs w:val="20"/>
          <w:color w:val="auto"/>
        </w:rPr>
        <w:t>any endorsement of a check or other medium of payment for deposit or collection through normal banking channels or any similar transaction in the normal course of business;</w:t>
      </w:r>
    </w:p>
    <w:p>
      <w:pPr>
        <w:spacing w:after="0" w:line="176" w:lineRule="exact"/>
        <w:rPr>
          <w:rFonts w:ascii="Arial" w:cs="Arial" w:eastAsia="Arial" w:hAnsi="Arial"/>
          <w:sz w:val="20"/>
          <w:szCs w:val="20"/>
          <w:color w:val="auto"/>
        </w:rPr>
      </w:pPr>
    </w:p>
    <w:p>
      <w:pPr>
        <w:ind w:left="2360" w:hanging="407"/>
        <w:spacing w:after="0"/>
        <w:tabs>
          <w:tab w:leader="none" w:pos="2360" w:val="left"/>
        </w:tabs>
        <w:numPr>
          <w:ilvl w:val="2"/>
          <w:numId w:val="119"/>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15" w:lineRule="exact"/>
        <w:rPr>
          <w:rFonts w:ascii="Arial" w:cs="Arial" w:eastAsia="Arial" w:hAnsi="Arial"/>
          <w:sz w:val="20"/>
          <w:szCs w:val="20"/>
          <w:color w:val="auto"/>
        </w:rPr>
      </w:pPr>
    </w:p>
    <w:p>
      <w:pPr>
        <w:jc w:val="both"/>
        <w:ind w:right="120" w:firstLine="1305"/>
        <w:spacing w:after="0" w:line="309" w:lineRule="auto"/>
        <w:tabs>
          <w:tab w:leader="none" w:pos="170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Investments of a nature not contemplated in the foregoing clauses,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such Investment is made, the aggregate amount of all Investments outstanding at any one time pursuant to this clause (q) shall not exceed the greater of (x) $50,000,000 and</w:t>
      </w:r>
    </w:p>
    <w:p>
      <w:pPr>
        <w:spacing w:after="0" w:line="1" w:lineRule="exact"/>
        <w:rPr>
          <w:rFonts w:ascii="Arial" w:cs="Arial" w:eastAsia="Arial" w:hAnsi="Arial"/>
          <w:sz w:val="16"/>
          <w:szCs w:val="16"/>
          <w:color w:val="auto"/>
        </w:rPr>
      </w:pPr>
    </w:p>
    <w:p>
      <w:pPr>
        <w:ind w:right="400" w:firstLine="8"/>
        <w:spacing w:after="0" w:line="244" w:lineRule="auto"/>
        <w:tabs>
          <w:tab w:leader="none" w:pos="2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5% of consolidated tangible assets of the Company and its Significant Subsidiaries as of the last day of the Fiscal Quarter most recently ended for which financial statements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7.18</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Not, and not permit any Significant Subsidiary (other than an Excluded Subsidiary) to, enter into, or permit to exist, any written Contractual Obligation that encumbers or restricts the ability of any such Person to (i) pay dividends or make any other distributions to any Loan Party on its Capital Stock or with respect to any other interest or participation in, or measured by, its profits or (ii) repay any loans or advances owed to any Loan Party, except for (1) this Agreement and the other Loan Documents, (2) the Note Purchase Agreements, (3) restrictions and conditions imposed by Law, (4) customary restrictions and conditions contained in any agreement relating to the sale or other disposition of any property permitted under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pending the consummation of such sale or other disposition, and/or (5) Contractual Obligations which (A) (i)(x) exist on the Closing Date and (to the extent not otherwise permitted by this </w:t>
      </w:r>
      <w:r>
        <w:rPr>
          <w:rFonts w:ascii="Arial" w:cs="Arial" w:eastAsia="Arial" w:hAnsi="Arial"/>
          <w:sz w:val="18"/>
          <w:szCs w:val="18"/>
          <w:u w:val="single" w:color="auto"/>
          <w:color w:val="auto"/>
        </w:rPr>
        <w:t>Section 7.18</w:t>
      </w:r>
      <w:r>
        <w:rPr>
          <w:rFonts w:ascii="Arial" w:cs="Arial" w:eastAsia="Arial" w:hAnsi="Arial"/>
          <w:sz w:val="18"/>
          <w:szCs w:val="18"/>
          <w:color w:val="auto"/>
        </w:rPr>
        <w:t xml:space="preserve">) are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7.18</w:t>
      </w:r>
      <w:r>
        <w:rPr>
          <w:rFonts w:ascii="Arial" w:cs="Arial" w:eastAsia="Arial" w:hAnsi="Arial"/>
          <w:sz w:val="18"/>
          <w:szCs w:val="18"/>
          <w:color w:val="auto"/>
        </w:rPr>
        <w:t xml:space="preserve"> hereto and (y) to the extent Contractual Obligations permitted by clause (x) are set forth in an agreement evidencing Debt, are set forth in any agreement evidencing any permitted renewal, extension or refinancing of such Debt so long as such renewal, extension or refinancing does not expand the scope of such Contractual Obligation, (ii) are binding on a Subsidiary at the time such Subsidiary first becomes a Subsidiary, so long as such Contractual Obligations were not entered into in contemplation of such Person becoming a Subsidiary, (B) are customary provisions in joint venture agreements and other similar agreements applicable to joint ventures permitted under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and applicable solely to such joint venture entered into in the ordinary course of business or (C) are set forth in the agreements governing any Permitted Securitization with respect to any Securitization Subsidiary.</w:t>
      </w:r>
    </w:p>
    <w:p>
      <w:pPr>
        <w:spacing w:after="0" w:line="18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7.19</w:t>
      </w:r>
      <w:r>
        <w:rPr>
          <w:sz w:val="20"/>
          <w:szCs w:val="20"/>
          <w:color w:val="auto"/>
        </w:rPr>
        <w:tab/>
      </w:r>
      <w:r>
        <w:rPr>
          <w:rFonts w:ascii="Arial" w:cs="Arial" w:eastAsia="Arial" w:hAnsi="Arial"/>
          <w:sz w:val="16"/>
          <w:szCs w:val="16"/>
          <w:u w:val="single" w:color="auto"/>
          <w:color w:val="auto"/>
        </w:rPr>
        <w:t>Organization Documents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amend, modify or change its Organization Documents in a manner materially adverse to the Lenders.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7.20</w:t>
      </w:r>
      <w:r>
        <w:rPr>
          <w:sz w:val="20"/>
          <w:szCs w:val="20"/>
          <w:color w:val="auto"/>
        </w:rPr>
        <w:tab/>
      </w:r>
      <w:r>
        <w:rPr>
          <w:rFonts w:ascii="Arial" w:cs="Arial" w:eastAsia="Arial" w:hAnsi="Arial"/>
          <w:sz w:val="16"/>
          <w:szCs w:val="16"/>
          <w:u w:val="single" w:color="auto"/>
          <w:color w:val="auto"/>
        </w:rPr>
        <w:t>Sanctions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 directly or, to the knowledge of the Loan Parties,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of Sanctions.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6" w:right="239" w:bottom="1440" w:gutter="0" w:footer="0" w:header="0"/>
        </w:sectPr>
      </w:pPr>
    </w:p>
    <w:bookmarkStart w:id="97" w:name="page98"/>
    <w:bookmarkEnd w:id="97"/>
    <w:p>
      <w:pPr>
        <w:spacing w:after="0"/>
        <w:tabs>
          <w:tab w:leader="none" w:pos="52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4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Conduct its businesses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8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Not directly or, to the knowledge of the Loan Parties, indirectly use the proceeds of any Credit Extension for any purpose which would breach the United States Foreign Corrupt Practices Act of 1977, the UK Bribery Act 2010 or other similar anti-corruption legislation in other jurisdictions.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u w:val="single" w:color="auto"/>
          <w:color w:val="auto"/>
        </w:rPr>
        <w:t>Events of Defaul</w:t>
      </w:r>
      <w:r>
        <w:rPr>
          <w:rFonts w:ascii="Arial" w:cs="Arial" w:eastAsia="Arial" w:hAnsi="Arial"/>
          <w:sz w:val="18"/>
          <w:szCs w:val="18"/>
          <w:color w:val="auto"/>
        </w:rPr>
        <w:t>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following shall constitute an Event of Default under this Agreement:</w:t>
      </w:r>
    </w:p>
    <w:p>
      <w:pPr>
        <w:spacing w:after="0" w:line="216" w:lineRule="exact"/>
        <w:rPr>
          <w:sz w:val="20"/>
          <w:szCs w:val="20"/>
          <w:color w:val="auto"/>
        </w:rPr>
      </w:pPr>
    </w:p>
    <w:p>
      <w:pPr>
        <w:jc w:val="both"/>
        <w:ind w:left="660" w:firstLine="645"/>
        <w:spacing w:after="0" w:line="246" w:lineRule="auto"/>
        <w:tabs>
          <w:tab w:leader="none" w:pos="1776"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Non-Payment of the Loans, etc.</w:t>
      </w:r>
      <w:r>
        <w:rPr>
          <w:rFonts w:ascii="Arial" w:cs="Arial" w:eastAsia="Arial" w:hAnsi="Arial"/>
          <w:sz w:val="20"/>
          <w:szCs w:val="20"/>
          <w:color w:val="auto"/>
        </w:rPr>
        <w:t xml:space="preserve"> Default in the payment when due of the principal of any Loan or any reimbursement obligation with respect to any Letter of Credit; default, and continuance thereof for five days, in the payment when due of any interest or fee; or default, and continuance thereof for ten days, in the payment when due of any other amount payable by the Loan Parties hereunder or under any other Loan Document.</w:t>
      </w:r>
    </w:p>
    <w:p>
      <w:pPr>
        <w:spacing w:after="0" w:line="191" w:lineRule="exact"/>
        <w:rPr>
          <w:rFonts w:ascii="Arial" w:cs="Arial" w:eastAsia="Arial" w:hAnsi="Arial"/>
          <w:sz w:val="20"/>
          <w:szCs w:val="20"/>
          <w:color w:val="auto"/>
        </w:rPr>
      </w:pPr>
    </w:p>
    <w:p>
      <w:pPr>
        <w:jc w:val="both"/>
        <w:ind w:left="660" w:firstLine="645"/>
        <w:spacing w:after="0" w:line="269" w:lineRule="auto"/>
        <w:tabs>
          <w:tab w:leader="none" w:pos="176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Non-Payment of Other Debt, etc.</w:t>
      </w:r>
      <w:r>
        <w:rPr>
          <w:rFonts w:ascii="Arial" w:cs="Arial" w:eastAsia="Arial" w:hAnsi="Arial"/>
          <w:sz w:val="18"/>
          <w:szCs w:val="18"/>
          <w:color w:val="auto"/>
        </w:rPr>
        <w:t xml:space="preserve"> (i) Any default shall occur under the terms applicable to any Debt of the Company or any Significant Subsidiary (other than Debt hereunder and intercompany Debt) in an aggregate principal amount (for all such Debt so affected) exceeding $25,000,000 and such default shall (x) consist of the failure to pay such Debt when due (subject to any applicable grace period), whether by acceleration or otherwise, or (y) accelerate the maturity of such Debt or permit the holder or holders thereof, or any trustee or agent for such holder or holders, to cause such Debt to become due and payable prior to its expressed maturity; or</w:t>
      </w:r>
    </w:p>
    <w:p>
      <w:pPr>
        <w:spacing w:after="0" w:line="3" w:lineRule="exact"/>
        <w:rPr>
          <w:rFonts w:ascii="Arial" w:cs="Arial" w:eastAsia="Arial" w:hAnsi="Arial"/>
          <w:sz w:val="18"/>
          <w:szCs w:val="18"/>
          <w:color w:val="auto"/>
        </w:rPr>
      </w:pPr>
    </w:p>
    <w:p>
      <w:pPr>
        <w:jc w:val="both"/>
        <w:ind w:left="660" w:hanging="4"/>
        <w:spacing w:after="0" w:line="241" w:lineRule="auto"/>
        <w:tabs>
          <w:tab w:leader="none" w:pos="98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any event shall occur with respect to any Securitization Obligations that results in, or permits the holder or holders of such obligations, or any trustee or agent for such holder or holders, to require, the replacement or resignation of the servicer with respect thereto and the appointment of a new servicer other than the Company or any Subsidiary.</w:t>
      </w:r>
    </w:p>
    <w:p>
      <w:pPr>
        <w:spacing w:after="0" w:line="196" w:lineRule="exact"/>
        <w:rPr>
          <w:rFonts w:ascii="Arial" w:cs="Arial" w:eastAsia="Arial" w:hAnsi="Arial"/>
          <w:sz w:val="20"/>
          <w:szCs w:val="20"/>
          <w:color w:val="auto"/>
        </w:rPr>
      </w:pPr>
    </w:p>
    <w:p>
      <w:pPr>
        <w:jc w:val="both"/>
        <w:ind w:left="660" w:firstLine="645"/>
        <w:spacing w:after="0" w:line="276" w:lineRule="auto"/>
        <w:tabs>
          <w:tab w:leader="none" w:pos="1749"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Bankruptcy, Insolvency, etc.</w:t>
      </w:r>
      <w:r>
        <w:rPr>
          <w:rFonts w:ascii="Arial" w:cs="Arial" w:eastAsia="Arial" w:hAnsi="Arial"/>
          <w:sz w:val="18"/>
          <w:szCs w:val="18"/>
          <w:color w:val="auto"/>
        </w:rPr>
        <w:t xml:space="preserve"> The Company or any Significant Subsidiary becomes insolvent or generally fails to pay, or admits in writing its general inability or refusal to pay, debts as they become due; or the Company or any Significant Subsidiary applies for, consents to, or acquiesces in the appointment of a trustee, receiver or other custodian for the Company or any Significant Subsidiary or any substantial part of the property thereof, or makes a general assignment for the benefit of creditors; or, in the absence of such application, consent or acquiescence, a trustee, receiver or other custodian is appointed for the Company or such Significant Subsidiary or for any substantial part of the property thereof and is not discharged within 60 days; or any bankruptcy,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6" w:right="239" w:bottom="1440" w:gutter="0" w:footer="0" w:header="0"/>
        </w:sectPr>
      </w:pPr>
    </w:p>
    <w:bookmarkStart w:id="98" w:name="page99"/>
    <w:bookmarkEnd w:id="98"/>
    <w:p>
      <w:pPr>
        <w:jc w:val="both"/>
        <w:ind w:left="4"/>
        <w:spacing w:after="0" w:line="244" w:lineRule="auto"/>
        <w:rPr>
          <w:sz w:val="20"/>
          <w:szCs w:val="20"/>
          <w:color w:val="auto"/>
        </w:rPr>
      </w:pPr>
      <w:r>
        <w:rPr>
          <w:rFonts w:ascii="Arial" w:cs="Arial" w:eastAsia="Arial" w:hAnsi="Arial"/>
          <w:sz w:val="20"/>
          <w:szCs w:val="20"/>
          <w:color w:val="auto"/>
        </w:rPr>
        <w:t>reorganization, debt arrangement, or other case or proceeding under any Debtor Relief Law, or any dissolution or liquidation proceeding (except the voluntary dissolution, not under any Debtor Relief Law, of a Significant Subsidiary), is commenced in respect of the Company or any Significant Subsidiary, and if such case or proceeding is not commenced by the Company or any Significant Subsidiary, an order for relief is entered therein, or such case or proceeding is consented to or acquiesced in by the Company or such Significant Subsidiary or remains for 60 days undismissed.</w:t>
      </w:r>
    </w:p>
    <w:p>
      <w:pPr>
        <w:spacing w:after="0" w:line="195" w:lineRule="exact"/>
        <w:rPr>
          <w:sz w:val="20"/>
          <w:szCs w:val="20"/>
          <w:color w:val="auto"/>
        </w:rPr>
      </w:pPr>
    </w:p>
    <w:p>
      <w:pPr>
        <w:jc w:val="both"/>
        <w:ind w:left="4" w:right="20" w:firstLine="645"/>
        <w:spacing w:after="0" w:line="275" w:lineRule="auto"/>
        <w:tabs>
          <w:tab w:leader="none" w:pos="1171"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Non-Compliance with Provisions of this Agreement</w:t>
      </w:r>
      <w:r>
        <w:rPr>
          <w:rFonts w:ascii="Arial" w:cs="Arial" w:eastAsia="Arial" w:hAnsi="Arial"/>
          <w:sz w:val="18"/>
          <w:szCs w:val="18"/>
          <w:color w:val="auto"/>
        </w:rPr>
        <w:t xml:space="preserve">. (i) Failure by the Company to comply with or to perform any covenant set forth in </w:t>
      </w:r>
      <w:r>
        <w:rPr>
          <w:rFonts w:ascii="Arial" w:cs="Arial" w:eastAsia="Arial" w:hAnsi="Arial"/>
          <w:sz w:val="18"/>
          <w:szCs w:val="18"/>
          <w:u w:val="single" w:color="auto"/>
          <w:color w:val="auto"/>
        </w:rPr>
        <w:t>Sections 7.01(e)(i)</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(with respect to the Borrowers),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w:t>
      </w:r>
      <w:r>
        <w:rPr>
          <w:rFonts w:ascii="Arial" w:cs="Arial" w:eastAsia="Arial" w:hAnsi="Arial"/>
          <w:sz w:val="18"/>
          <w:szCs w:val="18"/>
          <w:u w:val="single" w:color="auto"/>
          <w:color w:val="auto"/>
        </w:rPr>
        <w:t>7.12, 7.16</w:t>
      </w:r>
      <w:r>
        <w:rPr>
          <w:rFonts w:ascii="Arial" w:cs="Arial" w:eastAsia="Arial" w:hAnsi="Arial"/>
          <w:sz w:val="18"/>
          <w:szCs w:val="18"/>
          <w:color w:val="auto"/>
        </w:rPr>
        <w:t xml:space="preserve">, </w:t>
      </w:r>
      <w:r>
        <w:rPr>
          <w:rFonts w:ascii="Arial" w:cs="Arial" w:eastAsia="Arial" w:hAnsi="Arial"/>
          <w:sz w:val="18"/>
          <w:szCs w:val="18"/>
          <w:u w:val="single" w:color="auto"/>
          <w:color w:val="auto"/>
        </w:rPr>
        <w:t>7.17</w:t>
      </w:r>
      <w:r>
        <w:rPr>
          <w:rFonts w:ascii="Arial" w:cs="Arial" w:eastAsia="Arial" w:hAnsi="Arial"/>
          <w:sz w:val="18"/>
          <w:szCs w:val="18"/>
          <w:color w:val="auto"/>
        </w:rPr>
        <w:t xml:space="preserve">, </w:t>
      </w:r>
      <w:r>
        <w:rPr>
          <w:rFonts w:ascii="Arial" w:cs="Arial" w:eastAsia="Arial" w:hAnsi="Arial"/>
          <w:sz w:val="18"/>
          <w:szCs w:val="18"/>
          <w:u w:val="single" w:color="auto"/>
          <w:color w:val="auto"/>
        </w:rPr>
        <w:t>7.18</w:t>
      </w:r>
      <w:r>
        <w:rPr>
          <w:rFonts w:ascii="Arial" w:cs="Arial" w:eastAsia="Arial" w:hAnsi="Arial"/>
          <w:sz w:val="18"/>
          <w:szCs w:val="18"/>
          <w:color w:val="auto"/>
        </w:rPr>
        <w:t xml:space="preserve">, </w:t>
      </w:r>
      <w:r>
        <w:rPr>
          <w:rFonts w:ascii="Arial" w:cs="Arial" w:eastAsia="Arial" w:hAnsi="Arial"/>
          <w:sz w:val="18"/>
          <w:szCs w:val="18"/>
          <w:u w:val="single" w:color="auto"/>
          <w:color w:val="auto"/>
        </w:rPr>
        <w:t>7.20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7.21</w:t>
      </w:r>
      <w:r>
        <w:rPr>
          <w:rFonts w:ascii="Arial" w:cs="Arial" w:eastAsia="Arial" w:hAnsi="Arial"/>
          <w:sz w:val="18"/>
          <w:szCs w:val="18"/>
          <w:color w:val="auto"/>
        </w:rPr>
        <w:t>;</w:t>
      </w:r>
    </w:p>
    <w:p>
      <w:pPr>
        <w:jc w:val="both"/>
        <w:ind w:left="4" w:hanging="4"/>
        <w:spacing w:after="0"/>
        <w:tabs>
          <w:tab w:leader="none" w:pos="31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failure by the Company to comply with or to perform any covenant set forth in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7.01(c)</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7.01(e)</w:t>
      </w:r>
      <w:r>
        <w:rPr>
          <w:rFonts w:ascii="Arial" w:cs="Arial" w:eastAsia="Arial" w:hAnsi="Arial"/>
          <w:sz w:val="20"/>
          <w:szCs w:val="20"/>
          <w:color w:val="auto"/>
        </w:rPr>
        <w:t xml:space="preserve"> (to the extent not covered by clause (i) above),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(to the extent not covered by clause (i) above), </w:t>
      </w:r>
      <w:r>
        <w:rPr>
          <w:rFonts w:ascii="Arial" w:cs="Arial" w:eastAsia="Arial" w:hAnsi="Arial"/>
          <w:sz w:val="20"/>
          <w:szCs w:val="20"/>
          <w:u w:val="single" w:color="auto"/>
          <w:color w:val="auto"/>
        </w:rPr>
        <w:t>7.10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7.11</w:t>
      </w:r>
      <w:r>
        <w:rPr>
          <w:rFonts w:ascii="Arial" w:cs="Arial" w:eastAsia="Arial" w:hAnsi="Arial"/>
          <w:sz w:val="20"/>
          <w:szCs w:val="20"/>
          <w:color w:val="auto"/>
        </w:rPr>
        <w:t xml:space="preserve"> and continuance of such failure for ten days after an Executive Officer obtains actual knowledge; or (iii) failure by the Company to comply with or to perform any other provision of this Agreement (and not constituting an Event of Default under any of the other provisions of this </w:t>
      </w:r>
      <w:r>
        <w:rPr>
          <w:rFonts w:ascii="Arial" w:cs="Arial" w:eastAsia="Arial" w:hAnsi="Arial"/>
          <w:sz w:val="20"/>
          <w:szCs w:val="20"/>
          <w:u w:val="single" w:color="auto"/>
          <w:color w:val="auto"/>
        </w:rPr>
        <w:t>Section 9.01</w:t>
      </w:r>
      <w:r>
        <w:rPr>
          <w:rFonts w:ascii="Arial" w:cs="Arial" w:eastAsia="Arial" w:hAnsi="Arial"/>
          <w:sz w:val="20"/>
          <w:szCs w:val="20"/>
          <w:color w:val="auto"/>
        </w:rPr>
        <w:t>) and continuance of such failure for 30 days after written notice thereof to the Company from the Administrative Agent or any Lender (acting through the Administrative Agent).</w:t>
      </w:r>
    </w:p>
    <w:p>
      <w:pPr>
        <w:spacing w:after="0" w:line="197" w:lineRule="exact"/>
        <w:rPr>
          <w:rFonts w:ascii="Arial" w:cs="Arial" w:eastAsia="Arial" w:hAnsi="Arial"/>
          <w:sz w:val="20"/>
          <w:szCs w:val="20"/>
          <w:color w:val="auto"/>
        </w:rPr>
      </w:pPr>
    </w:p>
    <w:p>
      <w:pPr>
        <w:jc w:val="both"/>
        <w:ind w:left="4" w:firstLine="645"/>
        <w:spacing w:after="0" w:line="282" w:lineRule="auto"/>
        <w:tabs>
          <w:tab w:leader="none" w:pos="114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made by a Loan Party under any Loan Document is breached or is false or misleading in any material respect when made or deemed made, or any schedule, certificate, financial statement, report, notice or other writing furnished by a Loan Party to the Administrative Agent or any Lender pursuant hereto is false or misleading in any material respect on the date as of which the facts therein set forth are stated or certified.</w:t>
      </w:r>
    </w:p>
    <w:p>
      <w:pPr>
        <w:spacing w:after="0" w:line="161" w:lineRule="exact"/>
        <w:rPr>
          <w:rFonts w:ascii="Arial" w:cs="Arial" w:eastAsia="Arial" w:hAnsi="Arial"/>
          <w:sz w:val="18"/>
          <w:szCs w:val="18"/>
          <w:color w:val="auto"/>
        </w:rPr>
      </w:pPr>
    </w:p>
    <w:p>
      <w:pPr>
        <w:jc w:val="both"/>
        <w:ind w:left="4" w:firstLine="645"/>
        <w:spacing w:after="0" w:line="256" w:lineRule="auto"/>
        <w:tabs>
          <w:tab w:leader="none" w:pos="1124"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Pension Plans and Plan Assets</w:t>
      </w:r>
      <w:r>
        <w:rPr>
          <w:rFonts w:ascii="Arial" w:cs="Arial" w:eastAsia="Arial" w:hAnsi="Arial"/>
          <w:sz w:val="19"/>
          <w:szCs w:val="19"/>
          <w:color w:val="auto"/>
        </w:rPr>
        <w:t>. (i) Institution of any steps by the Company or any Subsidiary or any other Person to terminate a Pension Plan if as a result of such termination the Company or any Subsidiary could reasonably be expected to be required to make a contribution to such Pension Plan, or could reasonably be expected to incur a liability or obligation to such Pension Plan, in excess of $25,000,000; (ii) a contribution failure occurs with respect to any Pension Plan sufficient to give rise to a Lien securing a material amount under section 303(k) of ERISA; (iii) there shall occur any withdrawal or partial withdrawal from a Multiemployer Pension Plan and the withdrawal liability (without unaccrued interest) to Multiemployer Pension Plans as a result of such withdrawal (including any outstanding withdrawal liability that the Company and the Controlled Group have incurred on the date of such withdrawal) exceeds $25,000,000; or (iv) any Loan Party becomes an entity deemed to hold Plan Assets, and in each case, under this clause (f), such event or circumstance results in a Material Adverse Effect.</w:t>
      </w:r>
    </w:p>
    <w:p>
      <w:pPr>
        <w:spacing w:after="0" w:line="184" w:lineRule="exact"/>
        <w:rPr>
          <w:rFonts w:ascii="Arial" w:cs="Arial" w:eastAsia="Arial" w:hAnsi="Arial"/>
          <w:sz w:val="19"/>
          <w:szCs w:val="19"/>
          <w:color w:val="auto"/>
        </w:rPr>
      </w:pPr>
    </w:p>
    <w:p>
      <w:pPr>
        <w:jc w:val="both"/>
        <w:ind w:left="4" w:firstLine="645"/>
        <w:spacing w:after="0" w:line="278" w:lineRule="auto"/>
        <w:tabs>
          <w:tab w:leader="none" w:pos="1157"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(i) Final judgments which exceed an aggregate of $25,000,000 (net of insurance proceeds in the event a solvent insurer has acknowledged in writing its obligation to satisfy such judgment) shall be rendered against the Company or any Subsidiary or (ii) any one or more non-monetary final judgments shall be rendered against the Company or any Subsidiary that have, or could reasonably be expected to have, individually or in the aggregate, a Material Adverse Effect, in each case shall not have been paid, discharged or vacated or had execution thereof stayed pending appeal within 60 days after entry or filing of such judgments.</w:t>
      </w:r>
    </w:p>
    <w:p>
      <w:pPr>
        <w:spacing w:after="0" w:line="165" w:lineRule="exact"/>
        <w:rPr>
          <w:rFonts w:ascii="Arial" w:cs="Arial" w:eastAsia="Arial" w:hAnsi="Arial"/>
          <w:sz w:val="18"/>
          <w:szCs w:val="18"/>
          <w:color w:val="auto"/>
        </w:rPr>
      </w:pPr>
    </w:p>
    <w:p>
      <w:pPr>
        <w:jc w:val="both"/>
        <w:ind w:left="4" w:firstLine="645"/>
        <w:spacing w:after="0" w:line="250" w:lineRule="auto"/>
        <w:tabs>
          <w:tab w:leader="none" w:pos="1076"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Loan Document, at any time after its execution and delivery and for any reason other than as expressly permitted hereunder or thereunder, in accordance with its terms or satisfaction in full of all the Obligations (other than any contingent</w:t>
      </w:r>
    </w:p>
    <w:p>
      <w:pPr>
        <w:spacing w:after="0" w:line="21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64"/>
          </w:cols>
          <w:pgMar w:left="896" w:top="366" w:right="239" w:bottom="1440" w:gutter="0" w:footer="0" w:header="0"/>
        </w:sectPr>
      </w:pPr>
    </w:p>
    <w:bookmarkStart w:id="99" w:name="page100"/>
    <w:bookmarkEnd w:id="99"/>
    <w:p>
      <w:pPr>
        <w:jc w:val="both"/>
        <w:ind w:left="660"/>
        <w:spacing w:after="0" w:line="263" w:lineRule="auto"/>
        <w:rPr>
          <w:sz w:val="20"/>
          <w:szCs w:val="20"/>
          <w:color w:val="auto"/>
        </w:rPr>
      </w:pPr>
      <w:r>
        <w:rPr>
          <w:rFonts w:ascii="Arial" w:cs="Arial" w:eastAsia="Arial" w:hAnsi="Arial"/>
          <w:sz w:val="19"/>
          <w:szCs w:val="19"/>
          <w:color w:val="auto"/>
        </w:rPr>
        <w:t>obligation that is not due and payable), ceases to be in full force and effect with respect to any Loan Party party thereto (other than in accordance with its terms); or any Loan Party (or any other Person acting on behalf thereof) contests in any manner the validity or enforceability of any Loan Document to which it is a party; or any Loan Party denies that it has any or further liability or obligation under, or purports to revoke, terminate or rescind, any Loan Document other than in accordance with its terms.</w:t>
      </w:r>
    </w:p>
    <w:p>
      <w:pPr>
        <w:spacing w:after="0" w:line="177" w:lineRule="exact"/>
        <w:rPr>
          <w:sz w:val="20"/>
          <w:szCs w:val="20"/>
          <w:color w:val="auto"/>
        </w:rPr>
      </w:pPr>
    </w:p>
    <w:p>
      <w:pPr>
        <w:jc w:val="both"/>
        <w:ind w:left="660" w:firstLine="645"/>
        <w:spacing w:after="0" w:line="255" w:lineRule="auto"/>
        <w:tabs>
          <w:tab w:leader="none" w:pos="1675"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 Any Person or group of Persons (within the meaning of Section 13 or 14 of the Securities Exchange Act of 1934) (excluding (w) any employee benefit plan of the Company or any of its Subsidiaries, (x) any person or entity acting in its capacity as trustee, agent or other fiduciary or administrator of any such plan and (y) Elizabeth Brady, William Brady and their descendants or any trusts established for them or their descendants, and the W. H. Brady Foundation, Inc.) shall acquire beneficial ownership (within the meaning of Rule 13d-3 promulgated under such Act) of one-third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 at least two-thirds of the directors who either were directors at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Required Lenders, take any or all of the following actions:</w:t>
      </w:r>
    </w:p>
    <w:p>
      <w:pPr>
        <w:spacing w:after="0" w:line="200" w:lineRule="exact"/>
        <w:rPr>
          <w:sz w:val="20"/>
          <w:szCs w:val="20"/>
          <w:color w:val="auto"/>
        </w:rPr>
      </w:pPr>
    </w:p>
    <w:p>
      <w:pPr>
        <w:ind w:left="660" w:firstLine="645"/>
        <w:spacing w:after="0" w:line="260" w:lineRule="auto"/>
        <w:tabs>
          <w:tab w:leader="none" w:pos="185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76" w:lineRule="exact"/>
        <w:rPr>
          <w:rFonts w:ascii="Arial" w:cs="Arial" w:eastAsia="Arial" w:hAnsi="Arial"/>
          <w:sz w:val="20"/>
          <w:szCs w:val="20"/>
          <w:color w:val="auto"/>
        </w:rPr>
      </w:pPr>
    </w:p>
    <w:p>
      <w:pPr>
        <w:jc w:val="both"/>
        <w:ind w:left="660" w:firstLine="645"/>
        <w:spacing w:after="0" w:line="269" w:lineRule="auto"/>
        <w:tabs>
          <w:tab w:leader="none" w:pos="184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0" w:lineRule="exact"/>
        <w:rPr>
          <w:rFonts w:ascii="Arial" w:cs="Arial" w:eastAsia="Arial" w:hAnsi="Arial"/>
          <w:sz w:val="19"/>
          <w:szCs w:val="19"/>
          <w:color w:val="auto"/>
        </w:rPr>
      </w:pPr>
    </w:p>
    <w:p>
      <w:pPr>
        <w:ind w:left="660" w:firstLine="645"/>
        <w:spacing w:after="0" w:line="260" w:lineRule="auto"/>
        <w:tabs>
          <w:tab w:leader="none" w:pos="170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require that the Borrowers Cash Collateralize the L/C Obligations (in an amount equal to the Minimum Collateral Amount with respect thereto); and</w:t>
      </w:r>
    </w:p>
    <w:p>
      <w:pPr>
        <w:spacing w:after="0" w:line="176" w:lineRule="exact"/>
        <w:rPr>
          <w:rFonts w:ascii="Arial" w:cs="Arial" w:eastAsia="Arial" w:hAnsi="Arial"/>
          <w:sz w:val="20"/>
          <w:szCs w:val="20"/>
          <w:color w:val="auto"/>
        </w:rPr>
      </w:pPr>
    </w:p>
    <w:p>
      <w:pPr>
        <w:ind w:left="660" w:firstLine="645"/>
        <w:spacing w:after="0" w:line="260" w:lineRule="auto"/>
        <w:tabs>
          <w:tab w:leader="none" w:pos="171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 all rights and remedies available to it, the Lenders and the L/C Issuer under the Loan Documents or applicable Law or equity;</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6"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Obligations as aforesaid shall automatically become effective, in each case without further act of the Administrative Agent or any Lender.</w:t>
      </w:r>
    </w:p>
    <w:p>
      <w:pPr>
        <w:spacing w:after="0" w:line="23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be applied by the Administrative Agent in the following order:</w:t>
      </w:r>
    </w:p>
    <w:p>
      <w:pPr>
        <w:spacing w:after="0" w:line="19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the reasonable and documented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6"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and the L/C Issuer (including the reasonable and documented fees, charges and disbursements of counsel due and owing pursuant to the terms of this Agreement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77"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Hedging Agreement between any Loan Party and any Lender, or any Affiliate of a Lender, ratably among the Lenders (and, in the case of such Hedging Agreements, Affiliates of Lenders) and the L/C Issuer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held by them;</w:t>
      </w:r>
    </w:p>
    <w:p>
      <w:pPr>
        <w:spacing w:after="0" w:line="195"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(a) payment of that portion of the Obligations constituting unpaid principal of the Loans and L/C Borrowings, (b) payment of breakage, termination or other payments, and any interest accrued thereon, due under any Hedging Agreement between any Loan Party and any Lender, or any Affiliate of a Lender, (c) payments of amounts due under any Treasury Management Agreement between any Loan Party and any Lender, or any Affiliate of a Lender and (d) Cash Collateralize that portion of L/C Obligations comprised of the aggregate undrawn amount of Letters of Credit, ratably among the Lenders (and, in the case of such Hedging Agreements, Affiliates of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65"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(other than contingent obligations not yet due and payable) have been paid in full, to the Borrowers or as otherwise required by Law.</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Obligations arising under any Hedging Agreement or Treasury Management Agreement between any Loan Party and any Hedge Bank or Treasury Management Bank, as applicable, shall be excluded from the application described above if the Administrative Agent has not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6" w:right="239" w:bottom="1440" w:gutter="0" w:footer="0" w:header="0"/>
        </w:sectPr>
      </w:pPr>
    </w:p>
    <w:bookmarkStart w:id="101" w:name="page102"/>
    <w:bookmarkEnd w:id="101"/>
    <w:p>
      <w:pPr>
        <w:jc w:val="both"/>
        <w:spacing w:after="0" w:line="282" w:lineRule="auto"/>
        <w:rPr>
          <w:sz w:val="20"/>
          <w:szCs w:val="20"/>
          <w:color w:val="auto"/>
        </w:rPr>
      </w:pPr>
      <w:r>
        <w:rPr>
          <w:rFonts w:ascii="Arial" w:cs="Arial" w:eastAsia="Arial" w:hAnsi="Arial"/>
          <w:sz w:val="18"/>
          <w:szCs w:val="18"/>
          <w:color w:val="auto"/>
        </w:rPr>
        <w:t xml:space="preserve">received a written notice regarding such obligations, together with such supporting documentation as the Administrative Agent may request, from the applicable Lender or Affiliate of a Lender, as the case may be. Each Affiliate of a Lender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for itself and its Affiliates as if a “Lender” party hereto.</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ADMINISTRATIVE AGENT</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with respect to </w:t>
      </w:r>
      <w:r>
        <w:rPr>
          <w:rFonts w:ascii="Arial" w:cs="Arial" w:eastAsia="Arial" w:hAnsi="Arial"/>
          <w:sz w:val="19"/>
          <w:szCs w:val="19"/>
          <w:u w:val="single" w:color="auto"/>
          <w:color w:val="auto"/>
        </w:rPr>
        <w:t>Sections 10.03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10.06</w:t>
      </w:r>
      <w:r>
        <w:rPr>
          <w:rFonts w:ascii="Arial" w:cs="Arial" w:eastAsia="Arial" w:hAnsi="Arial"/>
          <w:sz w:val="19"/>
          <w:szCs w:val="19"/>
          <w:color w:val="auto"/>
        </w:rPr>
        <w:t>,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6" w:right="239" w:bottom="1440" w:gutter="0" w:footer="0" w:header="0"/>
        </w:sectPr>
      </w:pPr>
    </w:p>
    <w:bookmarkStart w:id="102" w:name="page103"/>
    <w:bookmarkEnd w:id="102"/>
    <w:p>
      <w:pPr>
        <w:ind w:left="1860" w:hanging="555"/>
        <w:spacing w:after="0"/>
        <w:tabs>
          <w:tab w:leader="none" w:pos="18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99" w:lineRule="exact"/>
        <w:rPr>
          <w:rFonts w:ascii="Arial" w:cs="Arial" w:eastAsia="Arial" w:hAnsi="Arial"/>
          <w:sz w:val="19"/>
          <w:szCs w:val="19"/>
          <w:color w:val="auto"/>
        </w:rPr>
      </w:pPr>
    </w:p>
    <w:p>
      <w:pPr>
        <w:jc w:val="both"/>
        <w:ind w:left="660" w:firstLine="645"/>
        <w:spacing w:after="0" w:line="242" w:lineRule="auto"/>
        <w:tabs>
          <w:tab w:leader="none" w:pos="174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7" w:lineRule="exact"/>
        <w:rPr>
          <w:rFonts w:ascii="Arial" w:cs="Arial" w:eastAsia="Arial" w:hAnsi="Arial"/>
          <w:sz w:val="20"/>
          <w:szCs w:val="20"/>
          <w:color w:val="auto"/>
        </w:rPr>
      </w:pPr>
    </w:p>
    <w:p>
      <w:pPr>
        <w:jc w:val="both"/>
        <w:ind w:left="660" w:firstLine="645"/>
        <w:spacing w:after="0" w:line="250" w:lineRule="auto"/>
        <w:tabs>
          <w:tab w:leader="none" w:pos="170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9.02</w:t>
      </w:r>
      <w:r>
        <w:rPr>
          <w:rFonts w:ascii="Arial" w:cs="Arial" w:eastAsia="Arial" w:hAnsi="Arial"/>
          <w:sz w:val="19"/>
          <w:szCs w:val="19"/>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Company, a Lender or the L/C Issuer.</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Administrative Agent shall be entitled to rely conclusively on a representation of the assignee Lender or Participant in any document delivered in connection with the Credit Agreement, including, without limitation, the relevant Assignment and Assumption or participation agreement, as applicable, that such assignee or purchaser is not a Disqualified Institution.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6"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respect to or arising out of any assignment or participation of Loans, or disclosure of confidential information, to any Disqualified Institution.</w:t>
      </w:r>
    </w:p>
    <w:p>
      <w:pPr>
        <w:spacing w:after="0" w:line="200" w:lineRule="exact"/>
        <w:rPr>
          <w:sz w:val="20"/>
          <w:szCs w:val="20"/>
          <w:color w:val="auto"/>
        </w:rPr>
      </w:pPr>
    </w:p>
    <w:p>
      <w:pPr>
        <w:spacing w:after="0" w:line="2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in good faith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The Administrative Agent may perform any and all of its duties and exercise its rights and powers hereunder or under any other Loan Document by or through any one or more sub</w:t>
      </w:r>
      <w:r>
        <w:rPr>
          <w:rFonts w:ascii="MS PGothic" w:cs="MS PGothic" w:eastAsia="MS PGothic" w:hAnsi="MS PGothic"/>
          <w:sz w:val="19"/>
          <w:szCs w:val="19"/>
          <w:color w:val="auto"/>
        </w:rPr>
        <w:t>‑</w:t>
      </w:r>
      <w:r>
        <w:rPr>
          <w:rFonts w:ascii="Arial" w:cs="Arial" w:eastAsia="Arial" w:hAnsi="Arial"/>
          <w:sz w:val="19"/>
          <w:szCs w:val="19"/>
          <w:color w:val="auto"/>
        </w:rPr>
        <w:t>agents appointed by the Administrative Agent. The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9"/>
          <w:szCs w:val="19"/>
          <w:color w:val="auto"/>
        </w:rPr>
        <w:t>‑</w:t>
      </w:r>
      <w:r>
        <w:rPr>
          <w:rFonts w:ascii="Arial" w:cs="Arial" w:eastAsia="Arial" w:hAnsi="Arial"/>
          <w:sz w:val="19"/>
          <w:szCs w:val="19"/>
          <w:color w:val="auto"/>
        </w:rPr>
        <w:t>agent and to the Related Parties of the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6" w:lineRule="auto"/>
        <w:tabs>
          <w:tab w:leader="none" w:pos="108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the L/C Issuer and the Company. Upon receipt of any such notice of resignation, the Required Lenders shall have the right, with the consent of the Company so long as no Event of Default exists (such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Administrative Agent may (but shall not be obligated to) on behalf of the Lenders and the L/C Issuer, with the consent of the Company so long as no Event of Default exists (such consent of the Company not to be unreasonably withheld or delayed), appoint a successor Administrative Agent meeting the qualifications set forth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6" w:right="239" w:bottom="1440" w:gutter="0" w:footer="0" w:header="0"/>
        </w:sectPr>
      </w:pPr>
    </w:p>
    <w:bookmarkStart w:id="104" w:name="page105"/>
    <w:bookmarkEnd w:id="104"/>
    <w:p>
      <w:pPr>
        <w:spacing w:after="0" w:line="260" w:lineRule="auto"/>
        <w:rPr>
          <w:sz w:val="20"/>
          <w:szCs w:val="20"/>
          <w:color w:val="auto"/>
        </w:rPr>
      </w:pPr>
      <w:r>
        <w:rPr>
          <w:rFonts w:ascii="Arial" w:cs="Arial" w:eastAsia="Arial" w:hAnsi="Arial"/>
          <w:sz w:val="20"/>
          <w:szCs w:val="20"/>
          <w:color w:val="auto"/>
        </w:rPr>
        <w:t>Whether or not a successor has been appointed, such resignation shall become effective in accordance with such notice on the Resignation Effective Date.</w:t>
      </w:r>
    </w:p>
    <w:p>
      <w:pPr>
        <w:spacing w:after="0" w:line="177" w:lineRule="exact"/>
        <w:rPr>
          <w:sz w:val="20"/>
          <w:szCs w:val="20"/>
          <w:color w:val="auto"/>
        </w:rPr>
      </w:pPr>
    </w:p>
    <w:p>
      <w:pPr>
        <w:jc w:val="both"/>
        <w:ind w:firstLine="656"/>
        <w:spacing w:after="0" w:line="274" w:lineRule="auto"/>
        <w:tabs>
          <w:tab w:leader="none" w:pos="10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and with the consent of the Company so long as no Event of Default exists (such consent of the Company not to be unreasonably withheld or delayed), by notice in writing to the Company and such Person remove such Person as Administrative Agent and, with the consent of the Company so long as no Event of Default exists (such consent of the Company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such removal shall nonetheless become effective in accordance with such notice on the Removal Effective Date.</w:t>
      </w:r>
    </w:p>
    <w:p>
      <w:pPr>
        <w:spacing w:after="0" w:line="169" w:lineRule="exact"/>
        <w:rPr>
          <w:rFonts w:ascii="Arial" w:cs="Arial" w:eastAsia="Arial" w:hAnsi="Arial"/>
          <w:sz w:val="18"/>
          <w:szCs w:val="18"/>
          <w:color w:val="auto"/>
        </w:rPr>
      </w:pPr>
    </w:p>
    <w:p>
      <w:pPr>
        <w:jc w:val="both"/>
        <w:ind w:firstLine="656"/>
        <w:spacing w:after="0" w:line="269" w:lineRule="auto"/>
        <w:tabs>
          <w:tab w:leader="none" w:pos="118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75" w:lineRule="exact"/>
        <w:rPr>
          <w:rFonts w:ascii="Arial" w:cs="Arial" w:eastAsia="Arial" w:hAnsi="Arial"/>
          <w:sz w:val="18"/>
          <w:szCs w:val="18"/>
          <w:color w:val="auto"/>
        </w:rPr>
      </w:pPr>
    </w:p>
    <w:p>
      <w:pPr>
        <w:jc w:val="both"/>
        <w:ind w:firstLine="656"/>
        <w:spacing w:after="0" w:line="256" w:lineRule="auto"/>
        <w:tabs>
          <w:tab w:leader="none" w:pos="112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Any resignation by Bank of America as Administrative Agent pursuant to this Section shall also, on the Resignation Effective Date, effect its resignation as L/C Issuer and Swing Line Lender. If Bank of America so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Bank of America so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by the Company of a successor L/C Issuer or Swing Line Lender hereunder (which successor shall in all cases be a Lender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6" w:right="239" w:bottom="1440" w:gutter="0" w:footer="0" w:header="0"/>
        </w:sectPr>
      </w:pPr>
    </w:p>
    <w:bookmarkStart w:id="105" w:name="page106"/>
    <w:bookmarkEnd w:id="105"/>
    <w:p>
      <w:pPr>
        <w:jc w:val="both"/>
        <w:spacing w:after="0" w:line="278" w:lineRule="auto"/>
        <w:rPr>
          <w:sz w:val="20"/>
          <w:szCs w:val="20"/>
          <w:color w:val="auto"/>
        </w:rPr>
      </w:pPr>
      <w:r>
        <w:rPr>
          <w:rFonts w:ascii="Arial" w:cs="Arial" w:eastAsia="Arial" w:hAnsi="Arial"/>
          <w:sz w:val="18"/>
          <w:szCs w:val="18"/>
          <w:color w:val="auto"/>
        </w:rPr>
        <w:t>than a Defaulting Lender), (i) such successor shall succeed to and become vested with all of the rights, powers, privileges and duties of the retiring L/C Issuer or Swing Line Lender, as applicable, (ii) the retiring L/C Issuer and Swing Line Lender, as applicable,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92" w:lineRule="exact"/>
        <w:rPr>
          <w:sz w:val="20"/>
          <w:szCs w:val="20"/>
          <w:color w:val="auto"/>
        </w:rPr>
      </w:pPr>
    </w:p>
    <w:p>
      <w:pPr>
        <w:jc w:val="both"/>
        <w:ind w:left="660" w:firstLine="645"/>
        <w:spacing w:after="0" w:line="243" w:lineRule="auto"/>
        <w:tabs>
          <w:tab w:leader="none" w:pos="170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2.03(i)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196" w:lineRule="exact"/>
        <w:rPr>
          <w:rFonts w:ascii="Arial" w:cs="Arial" w:eastAsia="Arial" w:hAnsi="Arial"/>
          <w:sz w:val="20"/>
          <w:szCs w:val="20"/>
          <w:color w:val="auto"/>
        </w:rPr>
      </w:pPr>
    </w:p>
    <w:p>
      <w:pPr>
        <w:ind w:left="1720" w:hanging="415"/>
        <w:spacing w:after="0"/>
        <w:tabs>
          <w:tab w:leader="none" w:pos="1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judicial proceeding is hereby authorized by each Lender and the L/C Issuer to make such payments to the Administrative Agent and, in the event the Administrative Agent shall consent to the making of such payments directly to the Lenders and the L/C Issuer, to pay to the Administrative Agent any amount due for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6" w:right="239" w:bottom="1440" w:gutter="0" w:footer="0" w:header="0"/>
        </w:sectPr>
      </w:pPr>
    </w:p>
    <w:bookmarkStart w:id="106" w:name="page107"/>
    <w:bookmarkEnd w:id="106"/>
    <w:p>
      <w:pPr>
        <w:jc w:val="both"/>
        <w:spacing w:after="0" w:line="260" w:lineRule="auto"/>
        <w:rPr>
          <w:sz w:val="20"/>
          <w:szCs w:val="20"/>
          <w:color w:val="auto"/>
        </w:rPr>
      </w:pPr>
      <w:r>
        <w:rPr>
          <w:rFonts w:ascii="Arial" w:cs="Arial" w:eastAsia="Arial" w:hAnsi="Arial"/>
          <w:sz w:val="20"/>
          <w:szCs w:val="20"/>
          <w:color w:val="auto"/>
        </w:rPr>
        <w:t xml:space="preserve">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6"/>
          <w:szCs w:val="16"/>
          <w:u w:val="single" w:color="auto"/>
          <w:color w:val="auto"/>
        </w:rPr>
        <w:t>Guaranty Matters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 Agent at any time, the Required Lenders will confirm in writing the Administrative Agent’s authority to release any Guarantor from its obligations under the Guaranty, pursuant to this </w:t>
      </w:r>
      <w:r>
        <w:rPr>
          <w:rFonts w:ascii="Arial" w:cs="Arial" w:eastAsia="Arial" w:hAnsi="Arial"/>
          <w:sz w:val="19"/>
          <w:szCs w:val="19"/>
          <w:u w:val="single" w:color="auto"/>
          <w:color w:val="auto"/>
        </w:rPr>
        <w:t>Section 10.10</w:t>
      </w:r>
      <w:r>
        <w:rPr>
          <w:rFonts w:ascii="Arial" w:cs="Arial" w:eastAsia="Arial" w:hAnsi="Arial"/>
          <w:sz w:val="19"/>
          <w:szCs w:val="19"/>
          <w:color w:val="auto"/>
        </w:rPr>
        <w:t>.</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6"/>
          <w:szCs w:val="16"/>
          <w:u w:val="single" w:color="auto"/>
          <w:color w:val="auto"/>
        </w:rPr>
        <w:t>Treasury Management Agreements and Hedge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No Treasury Management Bank or Hedge Bank that obtains the benefit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or the Guaranty by virtue of the provisions hereof shall have any right to notice of any action or to consent to, direct or object to any action hereunder or under any other Loan Document or otherwise in respect of the provisions hereof or of the Guaranty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Treasury Management Agreements and Hedge Agreements with Treasury Management Banks or Hedge Banks, as applicable, except to the extent expressly provided herein and unless the Administrative Agent has received a written notice of such Obligations, together with such supporting documentation as the Administrative Agent may request, from the applicable Treasury Management Bank or Hedge Bank, as the case may be. The Administrative Agent shall not be required to verify the payment of, or that other satisfactory arrangements have been made with respect to, Obligations arising under Treasury Management Agreements and Hedge Agreements in the case of the Maturity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No amendment or waiver of any provision of this Agreement or any other Loan Document, and no consent to any departure by the Borrowers or any other Loan Party therefrom, shall be effective unless in writing signed by the Required Lenders (or by the Administrative Agent at the written request or direction of the Required Lenders) and the Loan Parties party thereto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195" w:lineRule="exact"/>
        <w:rPr>
          <w:sz w:val="20"/>
          <w:szCs w:val="20"/>
          <w:color w:val="auto"/>
        </w:rPr>
      </w:pPr>
    </w:p>
    <w:p>
      <w:pPr>
        <w:ind w:left="1580" w:hanging="275"/>
        <w:spacing w:after="0"/>
        <w:tabs>
          <w:tab w:leader="none" w:pos="15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no such amendment, waiver or consent shall:</w:t>
      </w:r>
    </w:p>
    <w:p>
      <w:pPr>
        <w:spacing w:after="0" w:line="215" w:lineRule="exact"/>
        <w:rPr>
          <w:rFonts w:ascii="Arial" w:cs="Arial" w:eastAsia="Arial" w:hAnsi="Arial"/>
          <w:sz w:val="20"/>
          <w:szCs w:val="20"/>
          <w:color w:val="auto"/>
        </w:rPr>
      </w:pPr>
    </w:p>
    <w:p>
      <w:pPr>
        <w:ind w:left="1300" w:firstLine="653"/>
        <w:spacing w:after="0" w:line="260" w:lineRule="auto"/>
        <w:tabs>
          <w:tab w:leader="none" w:pos="2355" w:val="left"/>
        </w:tabs>
        <w:numPr>
          <w:ilvl w:val="1"/>
          <w:numId w:val="133"/>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9.02</w:t>
      </w:r>
      <w:r>
        <w:rPr>
          <w:rFonts w:ascii="Arial" w:cs="Arial" w:eastAsia="Arial" w:hAnsi="Arial"/>
          <w:sz w:val="20"/>
          <w:szCs w:val="20"/>
          <w:color w:val="auto"/>
        </w:rPr>
        <w:t>) without the written consent of such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6" w:right="239" w:bottom="1440" w:gutter="0" w:footer="0" w:header="0"/>
        </w:sectPr>
      </w:pPr>
    </w:p>
    <w:bookmarkStart w:id="107" w:name="page108"/>
    <w:bookmarkEnd w:id="107"/>
    <w:p>
      <w:pPr>
        <w:ind w:left="1300"/>
        <w:spacing w:after="0" w:line="316" w:lineRule="auto"/>
        <w:rPr>
          <w:sz w:val="20"/>
          <w:szCs w:val="20"/>
          <w:color w:val="auto"/>
        </w:rPr>
      </w:pPr>
      <w:r>
        <w:rPr>
          <w:rFonts w:ascii="Arial" w:cs="Arial" w:eastAsia="Arial" w:hAnsi="Arial"/>
          <w:sz w:val="18"/>
          <w:szCs w:val="18"/>
          <w:color w:val="auto"/>
        </w:rPr>
        <w:t xml:space="preserve">Lender (it being understood and agreed that a waiver of any condition precedent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or of any Default or a mandatory reduction in Commitments is not considered an extension or increase in Commitments of any Lender);</w:t>
      </w:r>
    </w:p>
    <w:p>
      <w:pPr>
        <w:spacing w:after="0" w:line="130" w:lineRule="exact"/>
        <w:rPr>
          <w:sz w:val="20"/>
          <w:szCs w:val="20"/>
          <w:color w:val="auto"/>
        </w:rPr>
      </w:pPr>
    </w:p>
    <w:p>
      <w:pPr>
        <w:jc w:val="both"/>
        <w:ind w:left="1300" w:firstLine="653"/>
        <w:spacing w:after="0" w:line="263" w:lineRule="auto"/>
        <w:tabs>
          <w:tab w:leader="none" w:pos="2383" w:val="left"/>
        </w:tabs>
        <w:numPr>
          <w:ilvl w:val="1"/>
          <w:numId w:val="134"/>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of principal (excluding mandatory prepayments), interest, fees or other amounts due to the Lenders (or any of them) or any scheduled reduction of the Aggregate Revolving Commitments hereunder or under any other Loan Document without the written consent of each Lender entitled to receive such payment or whose Commitment is being so reduced;</w:t>
      </w:r>
    </w:p>
    <w:p>
      <w:pPr>
        <w:spacing w:after="0" w:line="176" w:lineRule="exact"/>
        <w:rPr>
          <w:rFonts w:ascii="Arial" w:cs="Arial" w:eastAsia="Arial" w:hAnsi="Arial"/>
          <w:sz w:val="19"/>
          <w:szCs w:val="19"/>
          <w:color w:val="auto"/>
        </w:rPr>
      </w:pPr>
    </w:p>
    <w:p>
      <w:pPr>
        <w:jc w:val="both"/>
        <w:ind w:left="1300" w:firstLine="653"/>
        <w:spacing w:after="0" w:line="258" w:lineRule="auto"/>
        <w:tabs>
          <w:tab w:leader="none" w:pos="249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reduce the principal of, or the rate of interest specified herein on, any Loan or L/C Borrowing, or (subject to clause (i) of the final proviso to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any fees or other amounts payable hereunder or under any other Loan Document without the written consent of each Lender entitled to receive such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79" w:lineRule="exact"/>
        <w:rPr>
          <w:rFonts w:ascii="Arial" w:cs="Arial" w:eastAsia="Arial" w:hAnsi="Arial"/>
          <w:sz w:val="19"/>
          <w:szCs w:val="19"/>
          <w:color w:val="auto"/>
        </w:rPr>
      </w:pPr>
    </w:p>
    <w:p>
      <w:pPr>
        <w:ind w:left="1300" w:firstLine="653"/>
        <w:spacing w:after="0" w:line="260" w:lineRule="auto"/>
        <w:tabs>
          <w:tab w:leader="none" w:pos="2454" w:val="left"/>
        </w:tabs>
        <w:numPr>
          <w:ilvl w:val="1"/>
          <w:numId w:val="134"/>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in a manner that would alter the pro rata sharing of payments required thereby without the written consent of each Lender directly affected thereby;</w:t>
      </w:r>
    </w:p>
    <w:p>
      <w:pPr>
        <w:spacing w:after="0" w:line="176" w:lineRule="exact"/>
        <w:rPr>
          <w:rFonts w:ascii="Arial" w:cs="Arial" w:eastAsia="Arial" w:hAnsi="Arial"/>
          <w:sz w:val="20"/>
          <w:szCs w:val="20"/>
          <w:color w:val="auto"/>
        </w:rPr>
      </w:pPr>
    </w:p>
    <w:p>
      <w:pPr>
        <w:ind w:left="2360" w:hanging="407"/>
        <w:spacing w:after="0"/>
        <w:tabs>
          <w:tab w:leader="none" w:pos="236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amend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or the definition of “Alternative Currency” without the written consent of each Lender;</w:t>
      </w:r>
    </w:p>
    <w:p>
      <w:pPr>
        <w:spacing w:after="0" w:line="227" w:lineRule="exact"/>
        <w:rPr>
          <w:rFonts w:ascii="Arial" w:cs="Arial" w:eastAsia="Arial" w:hAnsi="Arial"/>
          <w:sz w:val="19"/>
          <w:szCs w:val="19"/>
          <w:color w:val="auto"/>
        </w:rPr>
      </w:pPr>
    </w:p>
    <w:p>
      <w:pPr>
        <w:ind w:left="1300" w:firstLine="653"/>
        <w:spacing w:after="0" w:line="260" w:lineRule="auto"/>
        <w:tabs>
          <w:tab w:leader="none" w:pos="2427" w:val="left"/>
        </w:tabs>
        <w:numPr>
          <w:ilvl w:val="1"/>
          <w:numId w:val="134"/>
        </w:numPr>
        <w:rPr>
          <w:rFonts w:ascii="Arial" w:cs="Arial" w:eastAsia="Arial" w:hAnsi="Arial"/>
          <w:sz w:val="20"/>
          <w:szCs w:val="20"/>
          <w:color w:val="auto"/>
        </w:rPr>
      </w:pPr>
      <w:r>
        <w:rPr>
          <w:rFonts w:ascii="Arial" w:cs="Arial" w:eastAsia="Arial" w:hAnsi="Arial"/>
          <w:sz w:val="20"/>
          <w:szCs w:val="20"/>
          <w:color w:val="auto"/>
        </w:rPr>
        <w:t>change any provision of this Section or the definition of “Required Lenders” without the written consent of each Lender directly affected thereby; or</w:t>
      </w:r>
    </w:p>
    <w:p>
      <w:pPr>
        <w:spacing w:after="0" w:line="176" w:lineRule="exact"/>
        <w:rPr>
          <w:rFonts w:ascii="Arial" w:cs="Arial" w:eastAsia="Arial" w:hAnsi="Arial"/>
          <w:sz w:val="20"/>
          <w:szCs w:val="20"/>
          <w:color w:val="auto"/>
        </w:rPr>
      </w:pPr>
    </w:p>
    <w:p>
      <w:pPr>
        <w:jc w:val="both"/>
        <w:ind w:left="1300" w:firstLine="653"/>
        <w:spacing w:after="0" w:line="246" w:lineRule="auto"/>
        <w:tabs>
          <w:tab w:leader="none" w:pos="2509" w:val="left"/>
        </w:tabs>
        <w:numPr>
          <w:ilvl w:val="1"/>
          <w:numId w:val="134"/>
        </w:numPr>
        <w:rPr>
          <w:rFonts w:ascii="Arial" w:cs="Arial" w:eastAsia="Arial" w:hAnsi="Arial"/>
          <w:sz w:val="20"/>
          <w:szCs w:val="20"/>
          <w:color w:val="auto"/>
        </w:rPr>
      </w:pPr>
      <w:r>
        <w:rPr>
          <w:rFonts w:ascii="Arial" w:cs="Arial" w:eastAsia="Arial" w:hAnsi="Arial"/>
          <w:sz w:val="20"/>
          <w:szCs w:val="20"/>
          <w:color w:val="auto"/>
        </w:rPr>
        <w:t xml:space="preserve">release the Company or, except in connection with a transaction or series of transactions not prohibited by this Agreement, any other Borrower or all or substantially all of the Guarantors, from its or their obligations under the Loan Documents without the written consent of each Lender directly affected thereby except to the extent the release of any Guarantor is permitted pursuant to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660" w:right="20" w:firstLine="645"/>
        <w:spacing w:after="0" w:line="260" w:lineRule="auto"/>
        <w:tabs>
          <w:tab w:leader="none" w:pos="17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176" w:lineRule="exact"/>
        <w:rPr>
          <w:rFonts w:ascii="Arial" w:cs="Arial" w:eastAsia="Arial" w:hAnsi="Arial"/>
          <w:sz w:val="20"/>
          <w:szCs w:val="20"/>
          <w:color w:val="auto"/>
        </w:rPr>
      </w:pPr>
    </w:p>
    <w:p>
      <w:pPr>
        <w:ind w:left="660" w:firstLine="645"/>
        <w:spacing w:after="0" w:line="260" w:lineRule="auto"/>
        <w:tabs>
          <w:tab w:leader="none" w:pos="177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unless also signed by the Swing Line Lender, no amendment, waiver or consent shall affect the rights or duties of the Swing Line Lender under this Agreement; and</w:t>
      </w:r>
    </w:p>
    <w:p>
      <w:pPr>
        <w:spacing w:after="0" w:line="176" w:lineRule="exact"/>
        <w:rPr>
          <w:rFonts w:ascii="Arial" w:cs="Arial" w:eastAsia="Arial" w:hAnsi="Arial"/>
          <w:sz w:val="20"/>
          <w:szCs w:val="20"/>
          <w:color w:val="auto"/>
        </w:rPr>
      </w:pPr>
    </w:p>
    <w:p>
      <w:pPr>
        <w:ind w:left="660" w:firstLine="645"/>
        <w:spacing w:after="0" w:line="260" w:lineRule="auto"/>
        <w:tabs>
          <w:tab w:leader="none" w:pos="17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unless also signed by the Administrative Agent, no amendment, waiver or consent shall affect the rights or duties of the Administrative Agent under this Agreement or any other Loan Document;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notwithstanding anything to the contrary herein, (i) the Fee Letter may be amended, or rights or privileges thereunder waived, in a writing executed only by the parties thereto; (ii) each Lender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6" w:right="239" w:bottom="1440" w:gutter="0" w:footer="0" w:header="0"/>
        </w:sectPr>
      </w:pPr>
    </w:p>
    <w:bookmarkStart w:id="108" w:name="page109"/>
    <w:bookmarkEnd w:id="108"/>
    <w:p>
      <w:pPr>
        <w:jc w:val="both"/>
        <w:spacing w:after="0" w:line="275" w:lineRule="auto"/>
        <w:rPr>
          <w:sz w:val="20"/>
          <w:szCs w:val="20"/>
          <w:color w:val="auto"/>
        </w:rPr>
      </w:pPr>
      <w:r>
        <w:rPr>
          <w:rFonts w:ascii="Arial" w:cs="Arial" w:eastAsia="Arial" w:hAnsi="Arial"/>
          <w:sz w:val="18"/>
          <w:szCs w:val="18"/>
          <w:color w:val="auto"/>
        </w:rPr>
        <w:t>is entitled to vote as such Lender sees fit on any bankruptcy reorganization plan that affects the Loans, and each Lender acknowledges that the provisions of Section 1126(c) of the Bankruptcy Code of the United States supersedes the unanimous consent provisions set forth herein;</w:t>
      </w:r>
    </w:p>
    <w:p>
      <w:pPr>
        <w:spacing w:after="0" w:line="1" w:lineRule="exact"/>
        <w:rPr>
          <w:sz w:val="20"/>
          <w:szCs w:val="20"/>
          <w:color w:val="auto"/>
        </w:rPr>
      </w:pPr>
    </w:p>
    <w:p>
      <w:pPr>
        <w:jc w:val="both"/>
        <w:ind w:firstLine="8"/>
        <w:spacing w:after="0" w:line="254" w:lineRule="auto"/>
        <w:tabs>
          <w:tab w:leader="none" w:pos="3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Required Lenders shall determine whether or not to allow a Loan Party to use cash collateral in the context of a bankruptcy or insolvency proceeding and such determination shall be binding on all of the Lenders; and (iv)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the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(other than any disproportionate impact because of the relative size of such Lender's Commitments) shall require the consent of such Defaulting Lender.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Notwithstanding any provision of this Agreement or any other Loan Document to the contrary, (A) this Agreement or any other Loan Document may be amended by an agreement in writing entered into by the Company and the Administrative Agent to cure any ambiguity, omission, defect or inconsistency, or to comply with local law or advice of local counsel,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(B) as to any amendment, amendment and restatement or other modification otherwise approved in accordance with this </w:t>
      </w:r>
      <w:r>
        <w:rPr>
          <w:rFonts w:ascii="Arial" w:cs="Arial" w:eastAsia="Arial" w:hAnsi="Arial"/>
          <w:sz w:val="19"/>
          <w:szCs w:val="19"/>
          <w:u w:val="single" w:color="auto"/>
          <w:color w:val="auto"/>
        </w:rPr>
        <w:t>Section 11.01</w:t>
      </w:r>
      <w:r>
        <w:rPr>
          <w:rFonts w:ascii="Arial" w:cs="Arial" w:eastAsia="Arial" w:hAnsi="Arial"/>
          <w:sz w:val="19"/>
          <w:szCs w:val="19"/>
          <w:color w:val="auto"/>
        </w:rPr>
        <w:t>,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anything to the contrary contained herein, in order to implement any additional Commitments in accordance with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this Agreement may be amended for such purpose (but solely to the extent necessary to implement such additional Commitments in accordance with </w:t>
      </w:r>
      <w:r>
        <w:rPr>
          <w:rFonts w:ascii="Arial" w:cs="Arial" w:eastAsia="Arial" w:hAnsi="Arial"/>
          <w:sz w:val="20"/>
          <w:szCs w:val="20"/>
          <w:u w:val="single" w:color="auto"/>
          <w:color w:val="auto"/>
        </w:rPr>
        <w:t>Section 2.01(b)</w:t>
      </w:r>
      <w:r>
        <w:rPr>
          <w:rFonts w:ascii="Arial" w:cs="Arial" w:eastAsia="Arial" w:hAnsi="Arial"/>
          <w:sz w:val="20"/>
          <w:szCs w:val="20"/>
          <w:color w:val="auto"/>
        </w:rPr>
        <w:t>) by the Company, the other Loan Parties, the Administrative Agent and the relevant Lenders providing such additional Commitments.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82" w:lineRule="auto"/>
        <w:tabs>
          <w:tab w:leader="none" w:pos="111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61" w:lineRule="exact"/>
        <w:rPr>
          <w:rFonts w:ascii="Arial" w:cs="Arial" w:eastAsia="Arial" w:hAnsi="Arial"/>
          <w:sz w:val="18"/>
          <w:szCs w:val="18"/>
          <w:color w:val="auto"/>
        </w:rPr>
      </w:pPr>
    </w:p>
    <w:p>
      <w:pPr>
        <w:ind w:left="660" w:firstLine="645"/>
        <w:spacing w:after="0" w:line="260" w:lineRule="auto"/>
        <w:tabs>
          <w:tab w:leader="none" w:pos="1716" w:val="left"/>
        </w:tabs>
        <w:numPr>
          <w:ilvl w:val="1"/>
          <w:numId w:val="137"/>
        </w:numPr>
        <w:rPr>
          <w:rFonts w:ascii="Arial" w:cs="Arial" w:eastAsia="Arial" w:hAnsi="Arial"/>
          <w:sz w:val="20"/>
          <w:szCs w:val="20"/>
          <w:color w:val="auto"/>
        </w:rPr>
      </w:pPr>
      <w:r>
        <w:rPr>
          <w:rFonts w:ascii="Arial" w:cs="Arial" w:eastAsia="Arial" w:hAnsi="Arial"/>
          <w:sz w:val="20"/>
          <w:szCs w:val="20"/>
          <w:color w:val="auto"/>
        </w:rPr>
        <w:t xml:space="preserve">if to a Loan Party, the Administrative Agent, the L/C Issuer or the Swing Line Lender, to the address, facsimile number, electronic mail address or telephone number specified for such Person on </w:t>
      </w:r>
      <w:r>
        <w:rPr>
          <w:rFonts w:ascii="Arial" w:cs="Arial" w:eastAsia="Arial" w:hAnsi="Arial"/>
          <w:sz w:val="20"/>
          <w:szCs w:val="20"/>
          <w:u w:val="single" w:color="auto"/>
          <w:color w:val="auto"/>
        </w:rPr>
        <w:t>Schedule 11.02</w:t>
      </w:r>
      <w:r>
        <w:rPr>
          <w:rFonts w:ascii="Arial" w:cs="Arial" w:eastAsia="Arial" w:hAnsi="Arial"/>
          <w:sz w:val="20"/>
          <w:szCs w:val="20"/>
          <w:color w:val="auto"/>
        </w:rPr>
        <w:t>;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6" w:right="239" w:bottom="1440" w:gutter="0" w:footer="0" w:header="0"/>
        </w:sectPr>
      </w:pPr>
    </w:p>
    <w:bookmarkStart w:id="109" w:name="page110"/>
    <w:bookmarkEnd w:id="109"/>
    <w:p>
      <w:pPr>
        <w:jc w:val="both"/>
        <w:ind w:left="660" w:firstLine="645"/>
        <w:spacing w:after="0" w:line="246" w:lineRule="auto"/>
        <w:tabs>
          <w:tab w:leader="none" w:pos="1811"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1" w:lineRule="exact"/>
        <w:rPr>
          <w:sz w:val="20"/>
          <w:szCs w:val="20"/>
          <w:color w:val="auto"/>
        </w:rPr>
      </w:pPr>
    </w:p>
    <w:p>
      <w:pPr>
        <w:jc w:val="both"/>
        <w:ind w:firstLine="656"/>
        <w:spacing w:after="0" w:line="232" w:lineRule="exact"/>
        <w:tabs>
          <w:tab w:leader="none" w:pos="107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Notices and other communications to the Lenders and the L/C Issuer hereunder may be delivered or furnished by electronic communication (including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(on behalf of itself and the other Loan Parties)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(except as otherwise provided in the penultimate paragraph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1" w:lineRule="exact"/>
        <w:rPr>
          <w:sz w:val="20"/>
          <w:szCs w:val="20"/>
          <w:color w:val="auto"/>
        </w:rPr>
      </w:pPr>
    </w:p>
    <w:p>
      <w:pPr>
        <w:jc w:val="both"/>
        <w:ind w:firstLine="656"/>
        <w:spacing w:after="0" w:line="272" w:lineRule="auto"/>
        <w:tabs>
          <w:tab w:leader="none" w:pos="1129"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Borrower, any Lender, the L/C Issuer or any other Person for losses, claims, damages, liabilities or expenses of any kind (whether in tort, contract or otherwise) arising out of any Borrower’s or the Administrative Agent’s transmission of Borrower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82" w:right="239" w:bottom="1440" w:gutter="0" w:footer="0" w:header="0"/>
        </w:sectPr>
      </w:pPr>
    </w:p>
    <w:bookmarkStart w:id="110" w:name="page111"/>
    <w:bookmarkEnd w:id="110"/>
    <w:p>
      <w:pPr>
        <w:jc w:val="both"/>
        <w:spacing w:after="0" w:line="244" w:lineRule="auto"/>
        <w:rPr>
          <w:sz w:val="20"/>
          <w:szCs w:val="20"/>
          <w:color w:val="auto"/>
        </w:rPr>
      </w:pPr>
      <w:r>
        <w:rPr>
          <w:rFonts w:ascii="Arial" w:cs="Arial" w:eastAsia="Arial" w:hAnsi="Arial"/>
          <w:sz w:val="20"/>
          <w:szCs w:val="20"/>
          <w:color w:val="auto"/>
        </w:rPr>
        <w:t xml:space="preserve">Materials or notices through the Platform, any other electronic platform or electronic messaging service, or through the Internet, except to the extent that such losses, claims, damages, liabilities or expenses are determined to have resulted from the gross negligence or willful misconduct of such Agent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as to the foregoing in this paragraph (c) shall any Agent Party have any liability to any Borrower, any Lender, the L/C Issuer or any other Person for indirect, special, incidental, consequential or punitive damages (as opposed to direct or actual damages).</w:t>
      </w:r>
    </w:p>
    <w:p>
      <w:pPr>
        <w:spacing w:after="0" w:line="195" w:lineRule="exact"/>
        <w:rPr>
          <w:sz w:val="20"/>
          <w:szCs w:val="20"/>
          <w:color w:val="auto"/>
        </w:rPr>
      </w:pPr>
    </w:p>
    <w:p>
      <w:pPr>
        <w:jc w:val="both"/>
        <w:ind w:firstLine="656"/>
        <w:spacing w:after="0" w:line="255" w:lineRule="auto"/>
        <w:tabs>
          <w:tab w:leader="none" w:pos="114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Loan Parties,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5" w:lineRule="exact"/>
        <w:rPr>
          <w:rFonts w:ascii="Arial" w:cs="Arial" w:eastAsia="Arial" w:hAnsi="Arial"/>
          <w:sz w:val="19"/>
          <w:szCs w:val="19"/>
          <w:color w:val="auto"/>
        </w:rPr>
      </w:pPr>
    </w:p>
    <w:p>
      <w:pPr>
        <w:jc w:val="both"/>
        <w:ind w:firstLine="656"/>
        <w:spacing w:after="0" w:line="272" w:lineRule="auto"/>
        <w:tabs>
          <w:tab w:leader="none" w:pos="110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bad faith,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to the contrary contained herein or in any other Loan Document, the authority to enforce rights and remedies hereunder and under the other Loan Documents against the Loan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66" w:right="239" w:bottom="1440" w:gutter="0" w:footer="0" w:header="0"/>
        </w:sectPr>
      </w:pPr>
    </w:p>
    <w:bookmarkStart w:id="111" w:name="page112"/>
    <w:bookmarkEnd w:id="111"/>
    <w:p>
      <w:pPr>
        <w:jc w:val="both"/>
        <w:spacing w:after="0" w:line="270" w:lineRule="auto"/>
        <w:rPr>
          <w:sz w:val="20"/>
          <w:szCs w:val="20"/>
          <w:color w:val="auto"/>
        </w:rPr>
      </w:pPr>
      <w:r>
        <w:rPr>
          <w:rFonts w:ascii="Arial" w:cs="Arial" w:eastAsia="Arial" w:hAnsi="Arial"/>
          <w:sz w:val="18"/>
          <w:szCs w:val="18"/>
          <w:color w:val="auto"/>
        </w:rPr>
        <w:t xml:space="preserve">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31" w:lineRule="exact"/>
        <w:tabs>
          <w:tab w:leader="none" w:pos="1183"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Loan Parties shall pay (i) all reasonable and documented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and its Affiliates (but limited, in the case of legal fees and expenses, to the reasonable and documented fees, charges and disbursements of one outside counsel for the Administrative Agent and its Affiliates taken as a whole and, if necessary, one local counsel to the Administrative Agent and its Affiliates in any relevant jurisdiction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L/C Issuer in connection with the issuance, amendment, renewal or extension of any Letter of Credit or any demand for payment thereunder and (iii) all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 by the Administrative Agent, any Lender or the L/C Issuer (but limited, in the case of legal fees and expenses, to the reasonable and documented fees, charges and disbursements of one counsel to the Administrative Agent, the Lenders and the L/C Issuer taken as a whole and, if reasonably necessary, a single local counsel for the Administrative Agent, the Lenders and the L/C Issuer taken as a whole in each relevant jurisdiction, and solely in the case of a conflict of interest, one additional counsel in each relevant jurisdiction to the affected Lender and/or L/C Issuer similarly situated taken as a whole) in connection with the enforcement or protection of their respective rights (A) in connection with this Agreement and the other Loan Documents, including their respective rights under this Section, or (B) in connection with the Loans made or Letters of Credit issued hereunder, including all such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 xml:space="preserve">pocket expenses incurred during any workout, restructuring or negotiations in respect of such Loans or Letters of Credit.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shall not apply with respect to Taxes.</w:t>
      </w:r>
    </w:p>
    <w:p>
      <w:pPr>
        <w:spacing w:after="0" w:line="204" w:lineRule="exact"/>
        <w:rPr>
          <w:rFonts w:ascii="Arial" w:cs="Arial" w:eastAsia="Arial" w:hAnsi="Arial"/>
          <w:sz w:val="18"/>
          <w:szCs w:val="18"/>
          <w:color w:val="auto"/>
        </w:rPr>
      </w:pPr>
    </w:p>
    <w:p>
      <w:pPr>
        <w:jc w:val="both"/>
        <w:ind w:firstLine="656"/>
        <w:spacing w:after="0" w:line="243" w:lineRule="auto"/>
        <w:tabs>
          <w:tab w:leader="none" w:pos="1059"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Indemnification by the Loan Parties</w:t>
      </w:r>
      <w:r>
        <w:rPr>
          <w:rFonts w:ascii="Arial" w:cs="Arial" w:eastAsia="Arial" w:hAnsi="Arial"/>
          <w:sz w:val="20"/>
          <w:szCs w:val="20"/>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20"/>
          <w:szCs w:val="20"/>
          <w:u w:val="single" w:color="auto"/>
          <w:color w:val="auto"/>
        </w:rPr>
        <w:t>Indemnitee</w:t>
      </w:r>
      <w:r>
        <w:rPr>
          <w:rFonts w:ascii="Arial" w:cs="Arial" w:eastAsia="Arial" w:hAnsi="Arial"/>
          <w:sz w:val="20"/>
          <w:szCs w:val="20"/>
          <w:color w:val="auto"/>
        </w:rPr>
        <w:t>”) against, and hold each Indemnitee harmless from, any and all losses, claims, damages, liabilities and related expenses (but limited, in the case of legal fees and expenses, to the reasonable and documented out-of-pocket fees, disbursements and other charges of one counsel to the Indemnitees taken as a whole and, if reasonably necessary, a single local counsel for the Indemnitees taken as a whole in each relevant jurisdiction, and solely in the case of a conflict of</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66" w:right="239" w:bottom="1440" w:gutter="0" w:footer="0" w:header="0"/>
        </w:sectPr>
      </w:pPr>
    </w:p>
    <w:bookmarkStart w:id="112" w:name="page113"/>
    <w:bookmarkEnd w:id="112"/>
    <w:p>
      <w:pPr>
        <w:jc w:val="both"/>
        <w:spacing w:after="0" w:line="306" w:lineRule="auto"/>
        <w:rPr>
          <w:sz w:val="20"/>
          <w:szCs w:val="20"/>
          <w:color w:val="auto"/>
        </w:rPr>
      </w:pPr>
      <w:r>
        <w:rPr>
          <w:rFonts w:ascii="Arial" w:cs="Arial" w:eastAsia="Arial" w:hAnsi="Arial"/>
          <w:sz w:val="16"/>
          <w:szCs w:val="16"/>
          <w:color w:val="auto"/>
        </w:rPr>
        <w:t xml:space="preserve">interest, one additional counsel in each relevant jurisdiction to the affected Indemnitees similarly situated taken as a whole),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Substances on or from any property owned or operated by a Loan Party or any of its Subsidiaries, or any Environmental Claims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w:t>
      </w:r>
    </w:p>
    <w:p>
      <w:pPr>
        <w:spacing w:after="0" w:line="186" w:lineRule="exact"/>
        <w:rPr>
          <w:sz w:val="20"/>
          <w:szCs w:val="20"/>
          <w:color w:val="auto"/>
        </w:rPr>
      </w:pPr>
    </w:p>
    <w:p>
      <w:pPr>
        <w:jc w:val="both"/>
        <w:ind w:firstLine="8"/>
        <w:spacing w:after="0" w:line="270" w:lineRule="auto"/>
        <w:tabs>
          <w:tab w:leader="none" w:pos="32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are determined by a court of competent jurisdiction by final and nonappealable judgment (or a settlement that expressly addresses indemnification) to have resulted from the gross negligence or willful misconduct of such Indemnitee, (y) result from a claim brought by any Borrower or any other Loan Party against an Indemnitee for a breach in bad faith of such Indemnitee’s obligations hereunder or under any other Loan Document, if such Borrower or such Loan Party has obtained a final and nonappealable judgment (or a settlement that expressly addresses indemnification) in its favor on such claim as determined by a court of competent jurisdiction or (z) arise solely from claims of any Indemnitee against one or more other Indemnities that do not involve or have not resulted from (A) an act or omission of an Indemnitee in its capacity as Administrative Agent, Lender, L/C Issuer, arranger or bookrunner or (B) an act or omission (or an alleged act or omission) by any Loan Party or any Subsidiary.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Loan Parties for any reason fail to pay any amount required under subsection</w:t>
      </w:r>
    </w:p>
    <w:p>
      <w:pPr>
        <w:spacing w:after="0" w:line="38" w:lineRule="exact"/>
        <w:rPr>
          <w:rFonts w:ascii="Arial" w:cs="Arial" w:eastAsia="Arial" w:hAnsi="Arial"/>
          <w:sz w:val="18"/>
          <w:szCs w:val="18"/>
          <w:color w:val="auto"/>
        </w:rPr>
      </w:pPr>
    </w:p>
    <w:p>
      <w:pPr>
        <w:jc w:val="both"/>
        <w:ind w:firstLine="8"/>
        <w:spacing w:after="0" w:line="253" w:lineRule="auto"/>
        <w:tabs>
          <w:tab w:leader="none" w:pos="27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or (b) 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Revolving Outstandings of all Lenders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firstLine="656"/>
        <w:spacing w:after="0" w:line="250" w:lineRule="auto"/>
        <w:tabs>
          <w:tab w:leader="none" w:pos="1113"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applicable Law, no Loan Party shall assert, and each Loan Party hereby waives, and acknowledges that, to the actual knowledge of any Executive Officer of the Loan Parties, no other Person shall have, any claim against any Indemnitee,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66" w:right="239" w:bottom="1440" w:gutter="0" w:footer="0" w:header="0"/>
        </w:sectPr>
      </w:pPr>
    </w:p>
    <w:bookmarkStart w:id="113" w:name="page114"/>
    <w:bookmarkEnd w:id="113"/>
    <w:p>
      <w:pPr>
        <w:jc w:val="both"/>
        <w:spacing w:after="0" w:line="256" w:lineRule="auto"/>
        <w:rPr>
          <w:sz w:val="20"/>
          <w:szCs w:val="20"/>
          <w:color w:val="auto"/>
        </w:rPr>
      </w:pPr>
      <w:r>
        <w:rPr>
          <w:rFonts w:ascii="Arial" w:cs="Arial" w:eastAsia="Arial" w:hAnsi="Arial"/>
          <w:sz w:val="19"/>
          <w:szCs w:val="19"/>
          <w:color w:val="auto"/>
        </w:rPr>
        <w:t>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(or from any such Person's material breach in bad faith of such Person's obligations under any Loan Documents) as determined by a final and nonappealable judgment of a court of competent jurisdiction (or a settlement that expressly addresses indemnification).</w:t>
      </w:r>
    </w:p>
    <w:p>
      <w:pPr>
        <w:spacing w:after="0" w:line="185" w:lineRule="exact"/>
        <w:rPr>
          <w:sz w:val="20"/>
          <w:szCs w:val="20"/>
          <w:color w:val="auto"/>
        </w:rPr>
      </w:pPr>
    </w:p>
    <w:p>
      <w:pPr>
        <w:ind w:firstLine="656"/>
        <w:spacing w:after="0" w:line="260" w:lineRule="auto"/>
        <w:tabs>
          <w:tab w:leader="none" w:pos="1048" w:val="left"/>
        </w:tabs>
        <w:numPr>
          <w:ilvl w:val="1"/>
          <w:numId w:val="145"/>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not later than ten Business Days after demand therefor setting forth in reasonable detail the basis therefor.</w:t>
      </w:r>
    </w:p>
    <w:p>
      <w:pPr>
        <w:spacing w:after="0" w:line="176" w:lineRule="exact"/>
        <w:rPr>
          <w:rFonts w:ascii="Arial" w:cs="Arial" w:eastAsia="Arial" w:hAnsi="Arial"/>
          <w:sz w:val="20"/>
          <w:szCs w:val="20"/>
          <w:color w:val="auto"/>
        </w:rPr>
      </w:pPr>
    </w:p>
    <w:p>
      <w:pPr>
        <w:ind w:right="160" w:firstLine="8"/>
        <w:spacing w:after="0" w:line="250" w:lineRule="auto"/>
        <w:tabs>
          <w:tab w:leader="none" w:pos="378"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11.02(e)</w:t>
      </w:r>
      <w:r>
        <w:rPr>
          <w:rFonts w:ascii="Arial" w:cs="Arial" w:eastAsia="Arial" w:hAnsi="Arial"/>
          <w:sz w:val="20"/>
          <w:szCs w:val="20"/>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u w:val="single" w:color="auto"/>
          <w:color w:val="auto"/>
        </w:rPr>
        <w:t>Successors and Assigns.</w:t>
      </w:r>
    </w:p>
    <w:p>
      <w:pPr>
        <w:spacing w:after="0" w:line="216" w:lineRule="exact"/>
        <w:rPr>
          <w:sz w:val="20"/>
          <w:szCs w:val="20"/>
          <w:color w:val="auto"/>
        </w:rPr>
      </w:pPr>
    </w:p>
    <w:p>
      <w:pPr>
        <w:jc w:val="both"/>
        <w:ind w:firstLine="656"/>
        <w:spacing w:after="0" w:line="274" w:lineRule="auto"/>
        <w:tabs>
          <w:tab w:leader="none" w:pos="111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provisions of this Agreement and the other Loan Documents shall be binding upon and inure to the benefit of the parties hereto and thereto and their respective successors and assigns permitted hereby, except that neither the Company nor any Designated Borrower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66" w:right="239" w:bottom="1440" w:gutter="0" w:footer="0" w:header="0"/>
        </w:sectPr>
      </w:pPr>
    </w:p>
    <w:bookmarkStart w:id="114" w:name="page115"/>
    <w:bookmarkEnd w:id="114"/>
    <w:p>
      <w:pPr>
        <w:jc w:val="both"/>
        <w:spacing w:after="0" w:line="246" w:lineRule="auto"/>
        <w:rPr>
          <w:sz w:val="20"/>
          <w:szCs w:val="20"/>
          <w:color w:val="auto"/>
        </w:rPr>
      </w:pPr>
      <w:r>
        <w:rPr>
          <w:rFonts w:ascii="Arial" w:cs="Arial" w:eastAsia="Arial" w:hAnsi="Arial"/>
          <w:sz w:val="20"/>
          <w:szCs w:val="20"/>
          <w:color w:val="auto"/>
        </w:rPr>
        <w:t>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92" w:lineRule="exact"/>
        <w:rPr>
          <w:sz w:val="20"/>
          <w:szCs w:val="20"/>
          <w:color w:val="auto"/>
        </w:rPr>
      </w:pPr>
    </w:p>
    <w:p>
      <w:pPr>
        <w:jc w:val="both"/>
        <w:ind w:firstLine="656"/>
        <w:spacing w:after="0" w:line="246" w:lineRule="auto"/>
        <w:tabs>
          <w:tab w:leader="none" w:pos="1059"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1" w:lineRule="exact"/>
        <w:rPr>
          <w:rFonts w:ascii="Arial" w:cs="Arial" w:eastAsia="Arial" w:hAnsi="Arial"/>
          <w:sz w:val="20"/>
          <w:szCs w:val="20"/>
          <w:color w:val="auto"/>
        </w:rPr>
      </w:pPr>
    </w:p>
    <w:p>
      <w:pPr>
        <w:ind w:left="1680" w:hanging="375"/>
        <w:spacing w:after="0"/>
        <w:tabs>
          <w:tab w:leader="none" w:pos="1680"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3"/>
        <w:spacing w:after="0" w:line="246" w:lineRule="auto"/>
        <w:tabs>
          <w:tab w:leader="none" w:pos="2506" w:val="left"/>
        </w:tabs>
        <w:numPr>
          <w:ilvl w:val="2"/>
          <w:numId w:val="148"/>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related Loans at the time owing to it or contemporaneous assignments to related Approved Funds that equal at least the amount specified in subsection (b)(i)(B) of this Section in the aggregate or in the case of an assignment to a Lender, an Affiliate of a Lender or an Approved Fund, no minimum amount need be assigned; and</w:t>
      </w:r>
    </w:p>
    <w:p>
      <w:pPr>
        <w:spacing w:after="0" w:line="191" w:lineRule="exact"/>
        <w:rPr>
          <w:rFonts w:ascii="Arial" w:cs="Arial" w:eastAsia="Arial" w:hAnsi="Arial"/>
          <w:sz w:val="20"/>
          <w:szCs w:val="20"/>
          <w:color w:val="auto"/>
        </w:rPr>
      </w:pPr>
    </w:p>
    <w:p>
      <w:pPr>
        <w:jc w:val="both"/>
        <w:ind w:left="660" w:firstLine="1293"/>
        <w:spacing w:after="0" w:line="276" w:lineRule="auto"/>
        <w:tabs>
          <w:tab w:leader="none" w:pos="240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865"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785"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76" w:lineRule="exact"/>
        <w:rPr>
          <w:rFonts w:ascii="Arial" w:cs="Arial" w:eastAsia="Arial" w:hAnsi="Arial"/>
          <w:sz w:val="20"/>
          <w:szCs w:val="20"/>
          <w:color w:val="auto"/>
        </w:rPr>
      </w:pPr>
    </w:p>
    <w:p>
      <w:pPr>
        <w:jc w:val="both"/>
        <w:ind w:left="1300" w:firstLine="653"/>
        <w:spacing w:after="0" w:line="242" w:lineRule="auto"/>
        <w:tabs>
          <w:tab w:leader="none" w:pos="2497" w:val="left"/>
        </w:tabs>
        <w:numPr>
          <w:ilvl w:val="2"/>
          <w:numId w:val="148"/>
        </w:numPr>
        <w:rPr>
          <w:rFonts w:ascii="Arial" w:cs="Arial" w:eastAsia="Arial" w:hAnsi="Arial"/>
          <w:sz w:val="20"/>
          <w:szCs w:val="20"/>
          <w:color w:val="auto"/>
        </w:rPr>
      </w:pPr>
      <w:r>
        <w:rPr>
          <w:rFonts w:ascii="Arial" w:cs="Arial" w:eastAsia="Arial" w:hAnsi="Arial"/>
          <w:sz w:val="20"/>
          <w:szCs w:val="20"/>
          <w:color w:val="auto"/>
        </w:rPr>
        <w:t xml:space="preserve">the consent of the Company (such consent not to be unreasonably withheld or delayed (it being understood, without limiting other factors that may be reasonable, it shall be reasonable for the Company to consider the proposed assignee’s right to require reimbursement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be required unless (1) in the case of an assignment to a Person that is (x) not a Disqualified Institution, an Event of Default has occurred and is continuing at the time of such assignment or (y) a Disqualified Institution, an Event of Default under </w:t>
      </w:r>
      <w:r>
        <w:rPr>
          <w:rFonts w:ascii="Arial" w:cs="Arial" w:eastAsia="Arial" w:hAnsi="Arial"/>
          <w:sz w:val="20"/>
          <w:szCs w:val="20"/>
          <w:u w:val="single" w:color="auto"/>
          <w:color w:val="auto"/>
        </w:rPr>
        <w:t>Section 9.01(a)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9.01(c)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9.01(d)</w:t>
      </w:r>
      <w:r>
        <w:rPr>
          <w:rFonts w:ascii="Arial" w:cs="Arial" w:eastAsia="Arial" w:hAnsi="Arial"/>
          <w:sz w:val="20"/>
          <w:szCs w:val="20"/>
          <w:color w:val="auto"/>
        </w:rPr>
        <w:t xml:space="preserve"> (solely as a result of the failure to comply with </w:t>
      </w:r>
      <w:r>
        <w:rPr>
          <w:rFonts w:ascii="Arial" w:cs="Arial" w:eastAsia="Arial" w:hAnsi="Arial"/>
          <w:sz w:val="20"/>
          <w:szCs w:val="20"/>
          <w:u w:val="single" w:color="auto"/>
          <w:color w:val="auto"/>
        </w:rPr>
        <w:t>Section 7.06</w:t>
      </w:r>
      <w:r>
        <w:rPr>
          <w:rFonts w:ascii="Arial" w:cs="Arial" w:eastAsia="Arial" w:hAnsi="Arial"/>
          <w:sz w:val="20"/>
          <w:szCs w:val="20"/>
          <w:color w:val="auto"/>
        </w:rPr>
        <w:t>) has occurred and is continuing at the time of such assignment, or (2) such assignment is to a Lender, an Affiliate of a Lender or an Approved Fund; provided, however, that with respect to any assignment that does not require the Company's consent hereunder, the assignor shall nevertheless provide written notice to the Company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66" w:right="239" w:bottom="1440" w:gutter="0" w:footer="0" w:header="0"/>
        </w:sectPr>
      </w:pPr>
    </w:p>
    <w:bookmarkStart w:id="115" w:name="page116"/>
    <w:bookmarkEnd w:id="115"/>
    <w:p>
      <w:pPr>
        <w:ind w:left="100" w:right="20"/>
        <w:spacing w:after="0" w:line="260" w:lineRule="auto"/>
        <w:rPr>
          <w:sz w:val="20"/>
          <w:szCs w:val="20"/>
          <w:color w:val="auto"/>
        </w:rPr>
      </w:pPr>
      <w:r>
        <w:rPr>
          <w:rFonts w:ascii="Arial" w:cs="Arial" w:eastAsia="Arial" w:hAnsi="Arial"/>
          <w:sz w:val="20"/>
          <w:szCs w:val="20"/>
          <w:color w:val="auto"/>
        </w:rPr>
        <w:t>prior to, or promptly after, such assignment (it being understood that failure by such assignor to provide such notice shall not limit the effectiveness of such assignment);</w:t>
      </w:r>
    </w:p>
    <w:p>
      <w:pPr>
        <w:spacing w:after="0" w:line="177" w:lineRule="exact"/>
        <w:rPr>
          <w:sz w:val="20"/>
          <w:szCs w:val="20"/>
          <w:color w:val="auto"/>
        </w:rPr>
      </w:pPr>
    </w:p>
    <w:p>
      <w:pPr>
        <w:jc w:val="both"/>
        <w:ind w:left="100" w:firstLine="653"/>
        <w:spacing w:after="0" w:line="246" w:lineRule="auto"/>
        <w:tabs>
          <w:tab w:leader="none" w:pos="1287"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191" w:lineRule="exact"/>
        <w:rPr>
          <w:rFonts w:ascii="Arial" w:cs="Arial" w:eastAsia="Arial" w:hAnsi="Arial"/>
          <w:sz w:val="20"/>
          <w:szCs w:val="20"/>
          <w:color w:val="auto"/>
        </w:rPr>
      </w:pPr>
    </w:p>
    <w:p>
      <w:pPr>
        <w:jc w:val="both"/>
        <w:ind w:left="100" w:firstLine="653"/>
        <w:spacing w:after="0" w:line="250" w:lineRule="auto"/>
        <w:tabs>
          <w:tab w:leader="none" w:pos="1205"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86" w:lineRule="exact"/>
        <w:rPr>
          <w:rFonts w:ascii="Arial" w:cs="Arial" w:eastAsia="Arial" w:hAnsi="Arial"/>
          <w:sz w:val="20"/>
          <w:szCs w:val="20"/>
          <w:color w:val="auto"/>
        </w:rPr>
      </w:pPr>
    </w:p>
    <w:p>
      <w:pPr>
        <w:ind w:left="100" w:firstLine="653"/>
        <w:spacing w:after="0" w:line="260" w:lineRule="auto"/>
        <w:tabs>
          <w:tab w:leader="none" w:pos="1324"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the consent of the Swing Line Lender (such consent not to be unreasonably withheld or delayed) shall be required for any assignment in respect of Revolving Loans and Revolving Commitments.</w:t>
      </w:r>
    </w:p>
    <w:p>
      <w:pPr>
        <w:spacing w:after="0" w:line="176" w:lineRule="exact"/>
        <w:rPr>
          <w:rFonts w:ascii="Arial" w:cs="Arial" w:eastAsia="Arial" w:hAnsi="Arial"/>
          <w:sz w:val="20"/>
          <w:szCs w:val="20"/>
          <w:color w:val="auto"/>
        </w:rPr>
      </w:pPr>
    </w:p>
    <w:p>
      <w:pPr>
        <w:jc w:val="both"/>
        <w:ind w:left="-540" w:firstLine="645"/>
        <w:spacing w:after="0" w:line="282" w:lineRule="auto"/>
        <w:tabs>
          <w:tab w:leader="none" w:pos="62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61" w:lineRule="exact"/>
        <w:rPr>
          <w:rFonts w:ascii="Arial" w:cs="Arial" w:eastAsia="Arial" w:hAnsi="Arial"/>
          <w:sz w:val="18"/>
          <w:szCs w:val="18"/>
          <w:color w:val="auto"/>
        </w:rPr>
      </w:pPr>
    </w:p>
    <w:p>
      <w:pPr>
        <w:jc w:val="both"/>
        <w:ind w:left="-540" w:firstLine="645"/>
        <w:spacing w:after="0" w:line="269" w:lineRule="auto"/>
        <w:tabs>
          <w:tab w:leader="none" w:pos="560"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to (A) to the Company or any of the Company's Affiliates or Subsidiaries, (B) any Defaulting Lender or any of its Subsidiaries, or any Person who, upon becoming a Lender hereunder, would constitute any of the foregoing Persons described in this clause (B) or (C) a natural Person.</w:t>
      </w:r>
    </w:p>
    <w:p>
      <w:pPr>
        <w:spacing w:after="0" w:line="170" w:lineRule="exact"/>
        <w:rPr>
          <w:rFonts w:ascii="Arial" w:cs="Arial" w:eastAsia="Arial" w:hAnsi="Arial"/>
          <w:sz w:val="19"/>
          <w:szCs w:val="19"/>
          <w:color w:val="auto"/>
        </w:rPr>
      </w:pPr>
    </w:p>
    <w:p>
      <w:pPr>
        <w:jc w:val="both"/>
        <w:ind w:left="-540" w:firstLine="645"/>
        <w:spacing w:after="0" w:line="270" w:lineRule="auto"/>
        <w:tabs>
          <w:tab w:leader="none" w:pos="669"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6" w:lineRule="exact"/>
        <w:rPr>
          <w:rFonts w:ascii="Arial" w:cs="Arial" w:eastAsia="Arial" w:hAnsi="Arial"/>
          <w:sz w:val="18"/>
          <w:szCs w:val="18"/>
          <w:color w:val="auto"/>
        </w:rPr>
      </w:pPr>
    </w:p>
    <w:p>
      <w:pPr>
        <w:jc w:val="both"/>
        <w:ind w:left="-540" w:firstLine="645"/>
        <w:spacing w:after="0" w:line="250" w:lineRule="auto"/>
        <w:tabs>
          <w:tab w:leader="none" w:pos="737"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No Assignment Resulting in Additional Indemnified Taxes</w:t>
      </w:r>
      <w:r>
        <w:rPr>
          <w:rFonts w:ascii="Arial" w:cs="Arial" w:eastAsia="Arial" w:hAnsi="Arial"/>
          <w:sz w:val="20"/>
          <w:szCs w:val="20"/>
          <w:color w:val="auto"/>
        </w:rPr>
        <w:t>. No such assignment shall be made to any Person that, through its Lending Offices, is not capable of lending the applicable Alternative Currencies to the relevant Borrowers without the imposition of any additional Taxes for</w:t>
      </w:r>
    </w:p>
    <w:p>
      <w:pPr>
        <w:spacing w:after="0" w:line="2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20"/>
          </w:cols>
          <w:pgMar w:left="1440" w:top="366"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20"/>
          <w:szCs w:val="20"/>
          <w:color w:val="auto"/>
        </w:rPr>
        <w:t xml:space="preserve">which the Loan Parties are required to indemnify the Administrative Agent and the Lenders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 having been a Defaulting Lender. Upon request, the Borrowers (at their expense) shall execute and deliver Notes to the assignee Lender and the assigning Lender shall use commercially reasonable efforts to return its Note(s) to the Borrower marked "paid in full" (or similar term).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3" w:lineRule="exact"/>
        <w:rPr>
          <w:sz w:val="20"/>
          <w:szCs w:val="20"/>
          <w:color w:val="auto"/>
        </w:rPr>
      </w:pPr>
    </w:p>
    <w:p>
      <w:pPr>
        <w:jc w:val="both"/>
        <w:ind w:firstLine="656"/>
        <w:spacing w:after="0" w:line="257" w:lineRule="auto"/>
        <w:tabs>
          <w:tab w:leader="none" w:pos="1061"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81" w:lineRule="exact"/>
        <w:rPr>
          <w:rFonts w:ascii="Arial" w:cs="Arial" w:eastAsia="Arial" w:hAnsi="Arial"/>
          <w:sz w:val="19"/>
          <w:szCs w:val="19"/>
          <w:color w:val="auto"/>
        </w:rPr>
      </w:pPr>
    </w:p>
    <w:p>
      <w:pPr>
        <w:jc w:val="both"/>
        <w:ind w:firstLine="656"/>
        <w:spacing w:after="0" w:line="242" w:lineRule="auto"/>
        <w:tabs>
          <w:tab w:leader="none" w:pos="1072"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Any Lender may at any time, without the consent of, or notice to, the Borrowers or the Administrative Agent, sell participations to any Person (other than a natural Person, a Defaulting Lender or the Borrowers or any of the Borrowers’ Affiliates or Subsidiaries) (each, a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20"/>
          <w:szCs w:val="20"/>
          <w:u w:val="single" w:color="auto"/>
          <w:color w:val="auto"/>
        </w:rPr>
        <w:t>Section 11.04(c)</w:t>
      </w:r>
      <w:r>
        <w:rPr>
          <w:rFonts w:ascii="Arial" w:cs="Arial" w:eastAsia="Arial" w:hAnsi="Arial"/>
          <w:sz w:val="20"/>
          <w:szCs w:val="20"/>
          <w:color w:val="auto"/>
        </w:rPr>
        <w:t xml:space="preserve"> without regard to the existence of any participation.</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6" w:right="239" w:bottom="1440" w:gutter="0" w:footer="0" w:header="0"/>
        </w:sectPr>
      </w:pPr>
    </w:p>
    <w:bookmarkStart w:id="117" w:name="page118"/>
    <w:bookmarkEnd w:id="117"/>
    <w:p>
      <w:pPr>
        <w:jc w:val="both"/>
        <w:spacing w:after="0" w:line="268" w:lineRule="auto"/>
        <w:rPr>
          <w:sz w:val="20"/>
          <w:szCs w:val="20"/>
          <w:color w:val="auto"/>
        </w:rPr>
      </w:pPr>
      <w:r>
        <w:rPr>
          <w:rFonts w:ascii="Arial" w:cs="Arial" w:eastAsia="Arial" w:hAnsi="Arial"/>
          <w:sz w:val="18"/>
          <w:szCs w:val="18"/>
          <w:color w:val="auto"/>
        </w:rPr>
        <w:t xml:space="preserve">or other modification described in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that directly affects such Participant (it being understood that (i) any vote to rescind any acceleration made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amounts owing with respect to the Loans and other Obligations and (ii) any modifications of the provisions relating to amounts, timing or application of prepayments of Loans and other Obligations shall not require the approval of such Participant). Subject to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the Borrowers agree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(subject to the requirements in those Sections, including timely delivery of forms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as if it were a Lender and had acquired its interest by assignment pursuant to subsection (b)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11.14</w:t>
      </w:r>
      <w:r>
        <w:rPr>
          <w:rFonts w:ascii="Arial" w:cs="Arial" w:eastAsia="Arial" w:hAnsi="Arial"/>
          <w:sz w:val="18"/>
          <w:szCs w:val="18"/>
          <w:color w:val="auto"/>
        </w:rPr>
        <w:t xml:space="preserve"> as if it were an assignee under paragraph (b) of this Section. Each Lender that sells a participation agrees, at the Borrowers' request and expense, to use reasonable efforts to cooperate with the Borrowers to effectuate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jc w:val="both"/>
        <w:ind w:firstLine="656"/>
        <w:spacing w:after="0" w:line="246" w:lineRule="auto"/>
        <w:tabs>
          <w:tab w:leader="none" w:pos="1129"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67"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Limitation upon Participant Rights</w:t>
      </w:r>
      <w:r>
        <w:rPr>
          <w:rFonts w:ascii="Arial" w:cs="Arial" w:eastAsia="Arial" w:hAnsi="Arial"/>
          <w:sz w:val="20"/>
          <w:szCs w:val="20"/>
          <w:color w:val="auto"/>
        </w:rPr>
        <w:t xml:space="preserve">. A Participant that would be a Foreign Lender if it were a Lender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the Company is notified of the participation sold to such Participant and such Participant agrees, for the benefit of the Borrowers,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as though it were a Lender.</w:t>
      </w:r>
    </w:p>
    <w:p>
      <w:pPr>
        <w:spacing w:after="0" w:line="186" w:lineRule="exact"/>
        <w:rPr>
          <w:rFonts w:ascii="Arial" w:cs="Arial" w:eastAsia="Arial" w:hAnsi="Arial"/>
          <w:sz w:val="20"/>
          <w:szCs w:val="20"/>
          <w:color w:val="auto"/>
        </w:rPr>
      </w:pPr>
    </w:p>
    <w:p>
      <w:pPr>
        <w:jc w:val="both"/>
        <w:ind w:firstLine="656"/>
        <w:spacing w:after="0" w:line="257" w:lineRule="auto"/>
        <w:tabs>
          <w:tab w:leader="none" w:pos="108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Resignation as L/C Issuer or Swing Line Lender after Assignment</w:t>
      </w:r>
      <w:r>
        <w:rPr>
          <w:rFonts w:ascii="Arial" w:cs="Arial" w:eastAsia="Arial" w:hAnsi="Arial"/>
          <w:sz w:val="19"/>
          <w:szCs w:val="19"/>
          <w:color w:val="auto"/>
        </w:rPr>
        <w:t xml:space="preserve">. Notwithstanding anything to the contrary contained herein, if at any time Bank of America assigns all of its Commitment and Loans pursuant to subsection (b) above, Bank of America may, (i) upon thirty days’ notice to the Company and the Lenders, resign as L/C Issuer and/or (ii) upon thirty days’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66" w:right="239" w:bottom="1440" w:gutter="0" w:footer="0" w:header="0"/>
        </w:sectPr>
      </w:pPr>
    </w:p>
    <w:bookmarkStart w:id="118" w:name="page119"/>
    <w:bookmarkEnd w:id="118"/>
    <w:p>
      <w:pPr>
        <w:jc w:val="both"/>
        <w:spacing w:after="0" w:line="242" w:lineRule="auto"/>
        <w:rPr>
          <w:sz w:val="20"/>
          <w:szCs w:val="20"/>
          <w:color w:val="auto"/>
        </w:rPr>
      </w:pPr>
      <w:r>
        <w:rPr>
          <w:rFonts w:ascii="Arial" w:cs="Arial" w:eastAsia="Arial" w:hAnsi="Arial"/>
          <w:sz w:val="20"/>
          <w:szCs w:val="20"/>
          <w:color w:val="auto"/>
        </w:rPr>
        <w:t xml:space="preserve">Obligations with respect thereto (including the right to require the Lenders to make Base Rate Loans or fund risk participations in Unreimbursed Amounts pursuant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20"/>
          <w:szCs w:val="20"/>
          <w:u w:val="single" w:color="auto"/>
          <w:color w:val="auto"/>
        </w:rPr>
        <w:t>Section 2.04(c)</w:t>
      </w:r>
      <w:r>
        <w:rPr>
          <w:rFonts w:ascii="Arial" w:cs="Arial" w:eastAsia="Arial" w:hAnsi="Arial"/>
          <w:sz w:val="20"/>
          <w:szCs w:val="20"/>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5" w:lineRule="exact"/>
        <w:rPr>
          <w:sz w:val="20"/>
          <w:szCs w:val="20"/>
          <w:color w:val="auto"/>
        </w:rPr>
      </w:pPr>
    </w:p>
    <w:p>
      <w:pPr>
        <w:jc w:val="both"/>
        <w:ind w:firstLine="656"/>
        <w:spacing w:after="0" w:line="256" w:lineRule="auto"/>
        <w:tabs>
          <w:tab w:leader="none" w:pos="108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on which the assigning Lender entered into an Assignment and Assumption or participation agreement, as applicable, with such Person (unless the Company has consented to such assignment to such entity (or unless such consent is not required because an Event of Default has occurred under </w:t>
      </w:r>
      <w:r>
        <w:rPr>
          <w:rFonts w:ascii="Arial" w:cs="Arial" w:eastAsia="Arial" w:hAnsi="Arial"/>
          <w:sz w:val="19"/>
          <w:szCs w:val="19"/>
          <w:u w:val="single" w:color="auto"/>
          <w:color w:val="auto"/>
        </w:rPr>
        <w:t>Section 9.01(a)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9.01(c)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9.01(d)</w:t>
      </w:r>
      <w:r>
        <w:rPr>
          <w:rFonts w:ascii="Arial" w:cs="Arial" w:eastAsia="Arial" w:hAnsi="Arial"/>
          <w:sz w:val="19"/>
          <w:szCs w:val="19"/>
          <w:color w:val="auto"/>
        </w:rPr>
        <w:t xml:space="preserve"> (solely as a result of the failure to comply with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in which case such entity will not be considered a Disqualified Institution for the purpose of such assignment). For the avoidance of doubt, with respect to any assignee that becomes a Disqualified Institution after the applicable Trade Date (including as a result of the delivery of a notice pursuant to the definition of “Disqualified Institution”), (i) such assignee shall not retroactively be disqualified from becoming a Lender and (ii) the execution by the Company of an Assignment and Assumption with respect to such assignee will not by itself result in such assignee no longer being considered a Disqualified Institution. Any assignment in violation of this </w:t>
      </w:r>
      <w:r>
        <w:rPr>
          <w:rFonts w:ascii="Arial" w:cs="Arial" w:eastAsia="Arial" w:hAnsi="Arial"/>
          <w:sz w:val="19"/>
          <w:szCs w:val="19"/>
          <w:u w:val="single" w:color="auto"/>
          <w:color w:val="auto"/>
        </w:rPr>
        <w:t>Section 11.06(h)</w:t>
      </w:r>
      <w:r>
        <w:rPr>
          <w:rFonts w:ascii="Arial" w:cs="Arial" w:eastAsia="Arial" w:hAnsi="Arial"/>
          <w:sz w:val="19"/>
          <w:szCs w:val="19"/>
          <w:color w:val="auto"/>
        </w:rPr>
        <w:t xml:space="preserve"> shall not be void, but the provisions of the paragraphs below shall apply.</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any assignment or participation is made to any Disqualified Institution without the Company’s prior written consent (if required), or if any Person becomes a Disqualified Institution after the applicable Trade Date, the Company may, at its sole expense and effort, upon notice to the applicable Disqualified Institution and the Administrative Agent, (A) terminate any Revolving Commitment of such Disqualified Institution and repay all obligations of the Borrowers owing to such Disqualified Institution in connection with such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no such purchase or prepayment shall be made with the proceeds of any Revolving Loans), plus accrued interest, accrued fees and all other amounts (other than principal amounts) payable to 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 such purchase or prepayment shall be made with the proceeds of any Revolving Loans) and/or (B) require such Disqualified Institutions to assign, without recourse (in accordance with and subject to the restrictions contained in </w:t>
      </w:r>
      <w:r>
        <w:rPr>
          <w:rFonts w:ascii="Arial" w:cs="Arial" w:eastAsia="Arial" w:hAnsi="Arial"/>
          <w:sz w:val="19"/>
          <w:szCs w:val="19"/>
          <w:u w:val="single" w:color="auto"/>
          <w:color w:val="auto"/>
        </w:rPr>
        <w:t>Section 11.06</w:t>
      </w:r>
      <w:r>
        <w:rPr>
          <w:rFonts w:ascii="Arial" w:cs="Arial" w:eastAsia="Arial" w:hAnsi="Arial"/>
          <w:sz w:val="19"/>
          <w:szCs w:val="19"/>
          <w:color w:val="auto"/>
        </w:rPr>
        <w:t>), all of their respective interest, rights and obligations under this Agreement to one or more Eligible Assignees at the principal amount thereof, plus accrued interest, accrued fees and all other amounts (other than principal amounts) payable to it hereunder.</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Notwithstanding anything to the contrary contained in this Agreement, Disqualified Institutions acquiring their interest in violation of this Agreement (1) will not (x) have the right to receive information, reports or other materials provided to the Lenders by the Borrowers, the Administrative Agent or any other Lender, (y) attend or participate in meetings attended by the Lenders and the Administrative Agent, or (z) access the Platform or any other electronic site established for the Lenders or confidential communications from counsel to or financial advisors of the Administrative Agent or the Lenders and (2)(x) for purposes of any consent to any amendment, waiver or modification of, or any action under, and for purpose of any direction to the Administrative Agent or any Lender to undertake any action (or refrain from taking any action) under this Agreement or any other Loan Document, each Disqualified Institution will be deemed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66" w:right="239" w:bottom="1440" w:gutter="0" w:footer="0" w:header="0"/>
        </w:sectPr>
      </w:pPr>
    </w:p>
    <w:bookmarkStart w:id="119" w:name="page120"/>
    <w:bookmarkEnd w:id="119"/>
    <w:p>
      <w:pPr>
        <w:jc w:val="both"/>
        <w:spacing w:after="0" w:line="269" w:lineRule="auto"/>
        <w:rPr>
          <w:sz w:val="20"/>
          <w:szCs w:val="20"/>
          <w:color w:val="auto"/>
        </w:rPr>
      </w:pPr>
      <w:r>
        <w:rPr>
          <w:rFonts w:ascii="Arial" w:cs="Arial" w:eastAsia="Arial" w:hAnsi="Arial"/>
          <w:sz w:val="18"/>
          <w:szCs w:val="18"/>
          <w:color w:val="auto"/>
        </w:rPr>
        <w:t xml:space="preserve">have consented in the same proportion as the Lenders that are not Disqualified Institutions consented to such matter, and (y) for purposes of voting on any bankruptcy reorganization plan that affects the Loans, each Disqualified Institution hereby agrees (I) not to vote on such plan, (II) if such Disqualified Institution does vote on such plan notwithstanding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such vote will be deemed not to have been in good faith and shall be “designated” pursuant to Section 1126(e) of the Bankruptcy Code of the United States (or any similar provision of any other Debtor Relief Laws), and such vote shall not be counted in determine whether the applicable class has accepted or rejected such plan in accordance with Section 1126(c) of the Bankruptcy Code of the United States (or any similar provision of any other Debtor Relief Laws), and</w:t>
      </w:r>
    </w:p>
    <w:p>
      <w:pPr>
        <w:spacing w:after="0" w:line="2" w:lineRule="exact"/>
        <w:rPr>
          <w:sz w:val="20"/>
          <w:szCs w:val="20"/>
          <w:color w:val="auto"/>
        </w:rPr>
      </w:pPr>
    </w:p>
    <w:p>
      <w:pPr>
        <w:ind w:firstLine="8"/>
        <w:spacing w:after="0" w:line="244" w:lineRule="auto"/>
        <w:tabs>
          <w:tab w:leader="none" w:pos="39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not to contest any request by any party for a determination by the Bankruptcy Court (or other applicable court of competent jurisdiction) effectuating the foregoing </w:t>
      </w:r>
      <w:r>
        <w:rPr>
          <w:rFonts w:ascii="Arial" w:cs="Arial" w:eastAsia="Arial" w:hAnsi="Arial"/>
          <w:sz w:val="20"/>
          <w:szCs w:val="20"/>
          <w:u w:val="single" w:color="auto"/>
          <w:color w:val="auto"/>
        </w:rPr>
        <w:t>clause (II)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and that the Administrative Agent, the relevant Lender or the L/C Issuer, as the case may be, shall be responsible to the Loan Parties for any failure by such Person to maintain the confidentiality of the Information),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(c) and the foregoing clause (b), (i) the Administrative Agent, the Lenders or the L/C Issuer, as the case may be, shall disclose only the information required and, to the extent permitted by applicable law and regulation and practical under the circumstances, shall notify the Company in writing prior to such disclosure and (ii) notwithstanding anything to the contrary contained herein, the Administrative Agent, the Lenders or the L/C Issuer, and their Affiliates may disclose Information, without notice to the Company, to any governmental agency, regulatory authority or self-regulatory authority (including bank and securities examiners) having or claiming to have authority to regulate or oversee any aspect of such Person’s or its Affiliate’s business in connection with the exercise of such authority or claimed authority),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or (ii) any actual or prospective party (or its Related Parties) to any swap derivative or other transaction under which payments are to be made by reference to the Loan Parties and their obligations, this Agreement or payments hereunder,</w:t>
      </w:r>
    </w:p>
    <w:p>
      <w:pPr>
        <w:spacing w:after="0" w:line="3" w:lineRule="exact"/>
        <w:rPr>
          <w:sz w:val="20"/>
          <w:szCs w:val="20"/>
          <w:color w:val="auto"/>
        </w:rPr>
      </w:pPr>
    </w:p>
    <w:p>
      <w:pPr>
        <w:jc w:val="both"/>
        <w:ind w:firstLine="8"/>
        <w:spacing w:after="0" w:line="254" w:lineRule="auto"/>
        <w:tabs>
          <w:tab w:leader="none" w:pos="29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on a confidential basis to (i) any rating agency in connection with rating any Loan Party or its Subsidiaries or the credit facility provided hereunder or (ii) the CUSIP Service Bureau or any similar agency in connection with the issuance and monitoring of CUSIP numbers or other market identifiers with respect to the credit facility provided hereunder,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so long as such source is not known by such Person to be bound by a confidentiality agreement with any Loan Party or Subsidiary or (i) with the consent of the Company. 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a Loan Party or any Subsidiary relating to the Loan Parties or any Subsidiary or any of their respective businesses, other than any such information that is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66" w:right="239" w:bottom="1440" w:gutter="0" w:footer="0" w:header="0"/>
        </w:sectPr>
      </w:pPr>
    </w:p>
    <w:bookmarkStart w:id="120" w:name="page121"/>
    <w:bookmarkEnd w:id="120"/>
    <w:p>
      <w:pPr>
        <w:jc w:val="both"/>
        <w:spacing w:after="0" w:line="246" w:lineRule="auto"/>
        <w:rPr>
          <w:sz w:val="20"/>
          <w:szCs w:val="20"/>
          <w:color w:val="auto"/>
        </w:rPr>
      </w:pPr>
      <w:r>
        <w:rPr>
          <w:rFonts w:ascii="Arial" w:cs="Arial" w:eastAsia="Arial" w:hAnsi="Arial"/>
          <w:sz w:val="20"/>
          <w:szCs w:val="20"/>
          <w:color w:val="auto"/>
        </w:rPr>
        <w:t>available to the Administrative Agent, any Lender or the L/C Issuer on a nonconfidential basis prior to disclosure by such Loan Party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If an Event of Default shall have occurred and be continuing, each Lender, the L/C Issuer and each of their respective Affiliates is hereby authorized at any time and from time to time, to the fullest extent permitted by applicable Law, to set-off and apply any and all deposits (general or special, time or demand, provisional or final, in whatever currency, but excluding deposits held in a trustee, fiduciary, agency or similar capacity or otherwise for the benefit of a third party)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u w:val="single" w:color="auto"/>
          <w:color w:val="auto"/>
        </w:rPr>
        <w:t>Interest Rate Limitation.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20"/>
          <w:szCs w:val="20"/>
          <w:u w:val="single" w:color="auto"/>
          <w:color w:val="auto"/>
        </w:rPr>
        <w:t>Maximum Rate</w:t>
      </w:r>
      <w:r>
        <w:rPr>
          <w:rFonts w:ascii="Arial" w:cs="Arial" w:eastAsia="Arial" w:hAnsi="Arial"/>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66" w:right="2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20"/>
          <w:szCs w:val="20"/>
          <w:color w:val="auto"/>
        </w:rPr>
        <w:t>effects thereof, and (c) amortize, prorate, allocate, and spread in equal or unequal parts the total amount of interest throughout the contemplated term of the Obligations hereunder.</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u w:val="single" w:color="auto"/>
          <w:color w:val="auto"/>
        </w:rPr>
        <w:t>Integration; Effectiveness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5.01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1" w:lineRule="exact"/>
        <w:rPr>
          <w:sz w:val="20"/>
          <w:szCs w:val="20"/>
          <w:color w:val="auto"/>
        </w:rPr>
      </w:pPr>
    </w:p>
    <w:p>
      <w:pPr>
        <w:jc w:val="both"/>
        <w:ind w:firstLine="8"/>
        <w:spacing w:after="0"/>
        <w:tabs>
          <w:tab w:leader="none" w:pos="30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11.13</w:t>
      </w:r>
      <w:r>
        <w:rPr>
          <w:rFonts w:ascii="Arial" w:cs="Arial" w:eastAsia="Arial" w:hAnsi="Arial"/>
          <w:sz w:val="20"/>
          <w:szCs w:val="20"/>
          <w:color w:val="auto"/>
        </w:rPr>
        <w:t>, if and to the extent that the enforceability of any provisions in this Agreement relating to Defaulting Lenders shall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66" w:right="239" w:bottom="1440" w:gutter="0" w:footer="0" w:header="0"/>
        </w:sectPr>
      </w:pPr>
    </w:p>
    <w:bookmarkStart w:id="122" w:name="page123"/>
    <w:bookmarkEnd w:id="122"/>
    <w:p>
      <w:pPr>
        <w:jc w:val="both"/>
        <w:spacing w:after="0" w:line="260" w:lineRule="auto"/>
        <w:rPr>
          <w:sz w:val="20"/>
          <w:szCs w:val="20"/>
          <w:color w:val="auto"/>
        </w:rPr>
      </w:pPr>
      <w:r>
        <w:rPr>
          <w:rFonts w:ascii="Arial" w:cs="Arial" w:eastAsia="Arial" w:hAnsi="Arial"/>
          <w:sz w:val="20"/>
          <w:szCs w:val="20"/>
          <w:color w:val="auto"/>
        </w:rPr>
        <w:t>be limited by Debtor Relief Laws, as determined in good faith by the Administrative Agent, the L/C Issuer or the Swing Line Lender, as applicable, then such provisions shall be deemed to be in effect only to the extent not so limited.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If the Company is entitled to replace a Lender pursuant to </w:t>
      </w:r>
      <w:r>
        <w:rPr>
          <w:rFonts w:ascii="Arial" w:cs="Arial" w:eastAsia="Arial" w:hAnsi="Arial"/>
          <w:sz w:val="20"/>
          <w:szCs w:val="20"/>
          <w:u w:val="single" w:color="auto"/>
          <w:color w:val="auto"/>
        </w:rPr>
        <w:t>Section 3.06</w:t>
      </w:r>
      <w:r>
        <w:rPr>
          <w:rFonts w:ascii="Arial" w:cs="Arial" w:eastAsia="Arial" w:hAnsi="Arial"/>
          <w:sz w:val="20"/>
          <w:szCs w:val="20"/>
          <w:color w:val="auto"/>
        </w:rPr>
        <w:t xml:space="preserve">, or if any Lender is a Defaulting Lender or a Non-Consenting Lender, or if any Lender shall effectuate (or purport to effectuate) an assignment in violation of the terms of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all of its interests, rights (other than its existing rights to payments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3" w:lineRule="exact"/>
        <w:rPr>
          <w:sz w:val="20"/>
          <w:szCs w:val="20"/>
          <w:color w:val="auto"/>
        </w:rPr>
      </w:pPr>
    </w:p>
    <w:p>
      <w:pPr>
        <w:ind w:left="660" w:right="20" w:firstLine="645"/>
        <w:spacing w:after="0" w:line="260" w:lineRule="auto"/>
        <w:tabs>
          <w:tab w:leader="none" w:pos="171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the Company shall have paid (or caused to be paid) to the Administrative Agent the assignment fee (if any) specified in </w:t>
      </w: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3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applicable Borrower(s) (in the case of all other amounts);</w:t>
      </w:r>
    </w:p>
    <w:p>
      <w:pPr>
        <w:spacing w:after="0" w:line="191" w:lineRule="exact"/>
        <w:rPr>
          <w:rFonts w:ascii="Arial" w:cs="Arial" w:eastAsia="Arial" w:hAnsi="Arial"/>
          <w:sz w:val="20"/>
          <w:szCs w:val="20"/>
          <w:color w:val="auto"/>
        </w:rPr>
      </w:pPr>
    </w:p>
    <w:p>
      <w:pPr>
        <w:ind w:left="660" w:firstLine="645"/>
        <w:spacing w:after="0" w:line="316" w:lineRule="auto"/>
        <w:tabs>
          <w:tab w:leader="none" w:pos="18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30" w:lineRule="exact"/>
        <w:rPr>
          <w:rFonts w:ascii="Arial" w:cs="Arial" w:eastAsia="Arial" w:hAnsi="Arial"/>
          <w:sz w:val="18"/>
          <w:szCs w:val="18"/>
          <w:color w:val="auto"/>
        </w:rPr>
      </w:pPr>
    </w:p>
    <w:p>
      <w:pPr>
        <w:ind w:left="1780" w:hanging="475"/>
        <w:spacing w:after="0"/>
        <w:tabs>
          <w:tab w:leader="none" w:pos="178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jc w:val="both"/>
        <w:ind w:left="660" w:firstLine="645"/>
        <w:spacing w:after="0" w:line="243" w:lineRule="auto"/>
        <w:tabs>
          <w:tab w:leader="none" w:pos="174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Lender becoming a Non-Consenting Lender, the applicable assignee shall have consented to the applicable amendment, waiver or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20"/>
          <w:szCs w:val="20"/>
          <w:u w:val="single" w:color="auto"/>
          <w:color w:val="auto"/>
        </w:rPr>
        <w:t>Section 11.14</w:t>
      </w:r>
      <w:r>
        <w:rPr>
          <w:rFonts w:ascii="Arial" w:cs="Arial" w:eastAsia="Arial" w:hAnsi="Arial"/>
          <w:sz w:val="20"/>
          <w:szCs w:val="20"/>
          <w:color w:val="auto"/>
        </w:rPr>
        <w:t xml:space="preserve"> shall nevertheless be effective without the execution by such Non-Consenting Lender of an Assignment and Assumption.</w:t>
      </w:r>
    </w:p>
    <w:p>
      <w:pPr>
        <w:spacing w:after="0" w:line="19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9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260" w:lineRule="auto"/>
        <w:tabs>
          <w:tab w:leader="none" w:pos="104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 OF THE STATE OF ILLINOIS applicable to agreements made and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6" w:right="239" w:bottom="1440" w:gutter="0" w:footer="0" w:header="0"/>
        </w:sectPr>
      </w:pPr>
    </w:p>
    <w:bookmarkStart w:id="123" w:name="page124"/>
    <w:bookmarkEnd w:id="123"/>
    <w:p>
      <w:pPr>
        <w:spacing w:after="0" w:line="260" w:lineRule="auto"/>
        <w:rPr>
          <w:sz w:val="20"/>
          <w:szCs w:val="20"/>
          <w:color w:val="auto"/>
        </w:rPr>
      </w:pPr>
      <w:r>
        <w:rPr>
          <w:rFonts w:ascii="Arial" w:cs="Arial" w:eastAsia="Arial" w:hAnsi="Arial"/>
          <w:sz w:val="20"/>
          <w:szCs w:val="20"/>
          <w:color w:val="auto"/>
        </w:rPr>
        <w:t xml:space="preserve">be performed entirely within such State;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AND EACH LENDER SHALL RETAIN ALL RIGHTS ARISING UNDER FEDERAL LAW.</w:t>
      </w:r>
    </w:p>
    <w:p>
      <w:pPr>
        <w:spacing w:after="0" w:line="177" w:lineRule="exact"/>
        <w:rPr>
          <w:sz w:val="20"/>
          <w:szCs w:val="20"/>
          <w:color w:val="auto"/>
        </w:rPr>
      </w:pPr>
    </w:p>
    <w:p>
      <w:pPr>
        <w:jc w:val="both"/>
        <w:ind w:firstLine="656"/>
        <w:spacing w:after="0" w:line="241" w:lineRule="auto"/>
        <w:tabs>
          <w:tab w:leader="none" w:pos="132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ANY LEGAL ACTION OR PROCEEDING WITH RESPECT TO THIS AGREEMENT OR ANY OTHER LOAN DOCUMENT MAY BE BROUGHT IN THE COURTS OF THE STATE OF ILLINOIS SITTING IN CHICAGO, ILLINOIS OR OF THE UNITED STATES FOR THE NORTHERN DISTRICT OF ILLINOIS (EASTERN DIVISION),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Arial" w:cs="Arial" w:eastAsia="Arial" w:hAnsi="Arial"/>
          <w:sz w:val="20"/>
          <w:szCs w:val="20"/>
          <w:i w:val="1"/>
          <w:iCs w:val="1"/>
          <w:color w:val="auto"/>
        </w:rPr>
        <w:t>FORUM NON CONVENIENS</w:t>
      </w:r>
      <w:r>
        <w:rPr>
          <w:rFonts w:ascii="Arial" w:cs="Arial" w:eastAsia="Arial" w:hAnsi="Arial"/>
          <w:sz w:val="20"/>
          <w:szCs w:val="20"/>
          <w:color w:val="auto"/>
        </w:rPr>
        <w:t>, WHICH IT MAY NOW OR HEREAFTER HAVE TO THE BRINGING OF ANY ACTION OR PROCEEDING IN SUCH JURISDICTION IN RESPECT OF ANY LOAN DOCUMENT OR OTHER DOCUMENT RELATED THERETO. EACH PARTY HERETO WAIVES PERSONAL SERVICE OF ANY SUMMONS, COMPLAINT OR OTHER PROCESS, WHICH MAY BE MADE BY ANY OTHER MEANS PERMITTED BY THE LAW OF SUCH STATE.</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11.16  </w:t>
      </w:r>
      <w:r>
        <w:rPr>
          <w:rFonts w:ascii="Arial" w:cs="Arial" w:eastAsia="Arial" w:hAnsi="Arial"/>
          <w:sz w:val="20"/>
          <w:szCs w:val="20"/>
          <w:u w:val="single" w:color="auto"/>
          <w:color w:val="auto"/>
        </w:rPr>
        <w:t>Waiver of Right to Trial by Jury</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jc w:val="both"/>
        <w:ind w:firstLine="8"/>
        <w:spacing w:after="0"/>
        <w:tabs>
          <w:tab w:leader="none" w:pos="409"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u w:val="single" w:color="auto"/>
          <w:color w:val="auto"/>
        </w:rPr>
        <w:t>USA PATRIOT Act Notice</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66" w:right="239" w:bottom="1440" w:gutter="0" w:footer="0" w:header="0"/>
        </w:sectPr>
      </w:pPr>
    </w:p>
    <w:bookmarkStart w:id="124" w:name="page125"/>
    <w:bookmarkEnd w:id="124"/>
    <w:p>
      <w:pPr>
        <w:jc w:val="both"/>
        <w:spacing w:after="0" w:line="271" w:lineRule="auto"/>
        <w:rPr>
          <w:sz w:val="20"/>
          <w:szCs w:val="20"/>
          <w:color w:val="auto"/>
        </w:rPr>
      </w:pPr>
      <w:r>
        <w:rPr>
          <w:rFonts w:ascii="Arial" w:cs="Arial" w:eastAsia="Arial" w:hAnsi="Arial"/>
          <w:sz w:val="18"/>
          <w:szCs w:val="18"/>
          <w:color w:val="auto"/>
        </w:rPr>
        <w:t>The obligation of the Borrowers in respect of any such sum due from them to the Administrative Agent or the Lenders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200" w:lineRule="exact"/>
        <w:rPr>
          <w:sz w:val="20"/>
          <w:szCs w:val="20"/>
          <w:color w:val="auto"/>
        </w:rPr>
      </w:pP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8"/>
          <w:szCs w:val="18"/>
          <w:u w:val="single" w:color="auto"/>
          <w:color w:val="auto"/>
        </w:rPr>
        <w:t>Concerning Joint and Several Liability of the Domestic Borrowers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19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Each Domestic Borrower is accepting joint and several liability under this </w:t>
      </w:r>
      <w:r>
        <w:rPr>
          <w:rFonts w:ascii="Arial" w:cs="Arial" w:eastAsia="Arial" w:hAnsi="Arial"/>
          <w:sz w:val="20"/>
          <w:szCs w:val="20"/>
          <w:u w:val="single" w:color="auto"/>
          <w:color w:val="auto"/>
        </w:rPr>
        <w:t>Section 11.19</w:t>
      </w:r>
      <w:r>
        <w:rPr>
          <w:rFonts w:ascii="Arial" w:cs="Arial" w:eastAsia="Arial" w:hAnsi="Arial"/>
          <w:sz w:val="20"/>
          <w:szCs w:val="20"/>
          <w:color w:val="auto"/>
        </w:rPr>
        <w:t xml:space="preserve"> in consideration of the financial accommodation to be provided by the Lenders under this Agreement, for the mutual benefit, directly and indirectly, of each Domestic Borrower and in consideration of the undertakings of each Domestic Borrower to accept joint and several liability for the Obligations of each of the other Domestic Borrowers.</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05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Each Domestic Borrower jointly and severally hereby irrevocably and unconditionally accepts, not merely as a surety but also as a co-debtor, joint and several liability with the other Domestic Borrowers with respect to the payment and performance of all of the Obligations arising under this Agreement and the other Loan Documents, it being the intention of the parties hereto that all the Obligations shall be the joint and several obligations of each of the Domestic Borrowers without preferences or distinction among them.</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07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and to the extent that a Domestic Borrower shall fail to make any payment with respect to any of the Obligations hereunder as and when due or to perform any of such obligations in accordance with the terms thereof, then in each such event, the other Domestic Borrowers will make such payment with respect to, or perform, such obligation.</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72"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The obligations of each Domestic Borrower under the provisions of this </w:t>
      </w:r>
      <w:r>
        <w:rPr>
          <w:rFonts w:ascii="Arial" w:cs="Arial" w:eastAsia="Arial" w:hAnsi="Arial"/>
          <w:sz w:val="20"/>
          <w:szCs w:val="20"/>
          <w:u w:val="single" w:color="auto"/>
          <w:color w:val="auto"/>
        </w:rPr>
        <w:t>Section 11.19</w:t>
      </w:r>
      <w:r>
        <w:rPr>
          <w:rFonts w:ascii="Arial" w:cs="Arial" w:eastAsia="Arial" w:hAnsi="Arial"/>
          <w:sz w:val="20"/>
          <w:szCs w:val="20"/>
          <w:color w:val="auto"/>
        </w:rPr>
        <w:t xml:space="preserve"> constitute full recourse obligations of such Domestic Borrower, enforceable against it to the full extent of its properties and assets, irrespective of the validity, regularity or enforceability of this Agreement or any other circumstances whatsoever.</w:t>
      </w:r>
    </w:p>
    <w:p>
      <w:pPr>
        <w:spacing w:after="0" w:line="186" w:lineRule="exact"/>
        <w:rPr>
          <w:rFonts w:ascii="Arial" w:cs="Arial" w:eastAsia="Arial" w:hAnsi="Arial"/>
          <w:sz w:val="20"/>
          <w:szCs w:val="20"/>
          <w:color w:val="auto"/>
        </w:rPr>
      </w:pPr>
    </w:p>
    <w:p>
      <w:pPr>
        <w:jc w:val="both"/>
        <w:ind w:firstLine="656"/>
        <w:spacing w:after="0" w:line="274" w:lineRule="auto"/>
        <w:tabs>
          <w:tab w:leader="none" w:pos="11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as otherwise expressly provided herein, each Domestic Borrower hereby waives notice of acceptance of its joint and several liability, notice of occurrence of any Default (except to the extent notice is expressly required to be given pursuant to the terms of this Agreement), or of any demand for any payment under this Agreement, notice of any action at any time taken or omitted by the Administrative Agent or the Lenders under or in respect of any of the Obligations hereunder, any requirement of diligence and, generally, all demands, notices and other formalities of every kind in connection with this Agreement (other than, in each case, any notice any Domestic Borrower has the express right to receive under the Loan Documents). Each Domestic Borrower hereby assents to, and waives notice of (other than, in each case, any notice any Domestic Borrower has the express right to receive under the Loan Documents), any extension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66" w:right="239" w:bottom="1440" w:gutter="0" w:footer="0" w:header="0"/>
        </w:sectPr>
      </w:pPr>
    </w:p>
    <w:bookmarkStart w:id="125" w:name="page126"/>
    <w:bookmarkEnd w:id="125"/>
    <w:p>
      <w:pPr>
        <w:jc w:val="both"/>
        <w:spacing w:after="0" w:line="269" w:lineRule="auto"/>
        <w:rPr>
          <w:sz w:val="20"/>
          <w:szCs w:val="20"/>
          <w:color w:val="auto"/>
        </w:rPr>
      </w:pPr>
      <w:r>
        <w:rPr>
          <w:rFonts w:ascii="Arial" w:cs="Arial" w:eastAsia="Arial" w:hAnsi="Arial"/>
          <w:sz w:val="18"/>
          <w:szCs w:val="18"/>
          <w:color w:val="auto"/>
        </w:rPr>
        <w:t xml:space="preserve">or postponement of the time for the payment of any of the Obligations hereunder of the Domestic Borrowers, the acceptance of any partial payment thereon, any waiver, consent or other action or acquiescence by the Lenders at any time or times in respect of any default by any other Domestic Borrower in the performance or satisfaction of any term, covenant, condition or provision of this Agreement, any and all other indulgences whatsoever by the Lenders in respect of any of the Obligations hereunder of the other Domestic Borrowers, and the taking, addition, substitution or release, in whole or in part, at any time or times, of any security for any of such Obligations or the addition, substitution or release, in whole or in part, of any other Domestic Borrower. Without limiting the generality of the foregoing, each Domestic Borrower assents to any other action or delay in acting or any failure to act without the other Borrowers on the part of the Administrative Agent or the Lenders,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afford grounds for terminating, discharging or relieving such Domestic Borrower, in whole or in part, from any of its obligations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it being the intention of each Domestic Borrower that, so long as any of the Obligations hereunder of the other Domestic Borrowers remain unsatisfied, the obligations of such Domestic Borrower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shall not be discharged except by performance and then only to the extent of such performance. The obligations of each Domestic Borrower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shall not be diminished or rendered unenforceable by any winding up, reorganization, arrangement, liquidation, reconstruction or similar proceeding with respect to any reconstruction or similar proceeding with respect to any Loan Party or the Lenders. The joint and several liability of the Domestic Borrowers under this </w:t>
      </w:r>
      <w:r>
        <w:rPr>
          <w:rFonts w:ascii="Arial" w:cs="Arial" w:eastAsia="Arial" w:hAnsi="Arial"/>
          <w:sz w:val="18"/>
          <w:szCs w:val="18"/>
          <w:u w:val="single" w:color="auto"/>
          <w:color w:val="auto"/>
        </w:rPr>
        <w:t>Section 11.19</w:t>
      </w:r>
      <w:r>
        <w:rPr>
          <w:rFonts w:ascii="Arial" w:cs="Arial" w:eastAsia="Arial" w:hAnsi="Arial"/>
          <w:sz w:val="18"/>
          <w:szCs w:val="18"/>
          <w:color w:val="auto"/>
        </w:rPr>
        <w:t xml:space="preserve"> shall continue in full force and effect notwithstanding any absorption, merger, amalgamation or any other change whatsoever in the name, membership, constitution or place of formation of any Loan Party or the Lenders.</w:t>
      </w:r>
    </w:p>
    <w:p>
      <w:pPr>
        <w:spacing w:after="0" w:line="175" w:lineRule="exact"/>
        <w:rPr>
          <w:sz w:val="20"/>
          <w:szCs w:val="20"/>
          <w:color w:val="auto"/>
        </w:rPr>
      </w:pPr>
    </w:p>
    <w:p>
      <w:pPr>
        <w:jc w:val="both"/>
        <w:ind w:firstLine="656"/>
        <w:spacing w:after="0" w:line="256" w:lineRule="auto"/>
        <w:tabs>
          <w:tab w:leader="none" w:pos="108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are made for the benefit of the Administrative Agent and the Lenders and their respective successors and assigns, and may be enforced by any such Person from time to time against any of the Domestic Borrowers as often as occasion therefore may arise and without requirement on the part of any Lender first to marshal any of its claims or to exercise any of its rights against any other Loan Party or to exhaust any remedies available to it against any other Loan Party or to resort to any other source or means of obtaining payment of any of the Obligations or to elect any other remedy. 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shall remain in effect until all the Obligations 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Loan Parties, or otherwise, the provisions of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will forthwith be reinstated and in effect as though such payment had not been made.</w:t>
      </w:r>
    </w:p>
    <w:p>
      <w:pPr>
        <w:spacing w:after="0" w:line="184" w:lineRule="exact"/>
        <w:rPr>
          <w:rFonts w:ascii="Arial" w:cs="Arial" w:eastAsia="Arial" w:hAnsi="Arial"/>
          <w:sz w:val="19"/>
          <w:szCs w:val="19"/>
          <w:color w:val="auto"/>
        </w:rPr>
      </w:pPr>
    </w:p>
    <w:p>
      <w:pPr>
        <w:jc w:val="both"/>
        <w:ind w:firstLine="656"/>
        <w:spacing w:after="0" w:line="263" w:lineRule="auto"/>
        <w:tabs>
          <w:tab w:leader="none" w:pos="105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Notwithstanding any provision to the contrary contained herein or in any other of the Loan Documents or Hedging Agreements or Treasury Management Agreements, the obligations of each Domestic Borrower under this </w:t>
      </w:r>
      <w:r>
        <w:rPr>
          <w:rFonts w:ascii="Arial" w:cs="Arial" w:eastAsia="Arial" w:hAnsi="Arial"/>
          <w:sz w:val="19"/>
          <w:szCs w:val="19"/>
          <w:u w:val="single" w:color="auto"/>
          <w:color w:val="auto"/>
        </w:rPr>
        <w:t>Section 11.19</w:t>
      </w:r>
      <w:r>
        <w:rPr>
          <w:rFonts w:ascii="Arial" w:cs="Arial" w:eastAsia="Arial" w:hAnsi="Arial"/>
          <w:sz w:val="19"/>
          <w:szCs w:val="19"/>
          <w:color w:val="auto"/>
        </w:rPr>
        <w:t xml:space="preserve">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09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For purposes of clarification with respect to the Designated Borrowers that are Foreign Subsidiaries, (i) the Obligations of such Designated Borrowers are several and not joint and several and (ii)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 the Company and the other Domestic Borrowers shall guarantee the Obligations of such Designated Borrowers.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66" w:right="239" w:bottom="1440" w:gutter="0" w:footer="0" w:header="0"/>
        </w:sectPr>
      </w:pPr>
    </w:p>
    <w:bookmarkStart w:id="126" w:name="page127"/>
    <w:bookmarkEnd w:id="126"/>
    <w:p>
      <w:pPr>
        <w:spacing w:after="0"/>
        <w:tabs>
          <w:tab w:leader="none" w:pos="60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8"/>
          <w:szCs w:val="18"/>
          <w:u w:val="single" w:color="auto"/>
          <w:color w:val="auto"/>
        </w:rPr>
        <w:t>Subordination of Intercompany Debt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Loan Party agrees that all intercompany Debt among Loan Parties (the “</w:t>
      </w:r>
      <w:r>
        <w:rPr>
          <w:rFonts w:ascii="Arial" w:cs="Arial" w:eastAsia="Arial" w:hAnsi="Arial"/>
          <w:sz w:val="19"/>
          <w:szCs w:val="19"/>
          <w:u w:val="single" w:color="auto"/>
          <w:color w:val="auto"/>
        </w:rPr>
        <w:t>Intercompany Debt</w:t>
      </w:r>
      <w:r>
        <w:rPr>
          <w:rFonts w:ascii="Arial" w:cs="Arial" w:eastAsia="Arial" w:hAnsi="Arial"/>
          <w:sz w:val="19"/>
          <w:szCs w:val="19"/>
          <w:color w:val="auto"/>
        </w:rPr>
        <w:t xml:space="preserve">”) is subordinated in right of payment, to the prior payment in full of all Obligations (other than contingent obligations not yet due and payable). Notwithstanding any provision of this Agreement to the contrary, provided that no Event of Default has occurred and is continuing, Loan Parties may make and receive payments with respect to the Intercompany Debt to the extent otherwise permitted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and during the continuation of any Event of Default, no payment shall be made by or on behalf of any Loan Party on account of any Intercompany Debt. In the event that any Loan Party receives any payment of any Intercompany Debt at a time when such payment is prohibited by this </w:t>
      </w:r>
      <w:r>
        <w:rPr>
          <w:rFonts w:ascii="Arial" w:cs="Arial" w:eastAsia="Arial" w:hAnsi="Arial"/>
          <w:sz w:val="19"/>
          <w:szCs w:val="19"/>
          <w:u w:val="single" w:color="auto"/>
          <w:color w:val="auto"/>
        </w:rPr>
        <w:t>Section 11.20</w:t>
      </w:r>
      <w:r>
        <w:rPr>
          <w:rFonts w:ascii="Arial" w:cs="Arial" w:eastAsia="Arial" w:hAnsi="Arial"/>
          <w:sz w:val="19"/>
          <w:szCs w:val="19"/>
          <w:color w:val="auto"/>
        </w:rPr>
        <w:t>, such payment shall be held by such Loan Party, in trust for the benefit of, and shall be paid forthwith over and delivered, upon written request, to, the Administrative Agent.</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MLPFS and the Lenders are arm’s-length commercial transactions between the Loan Parties and their respective Affiliates, on the one hand, and the Administrative Agent, MLPFS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MLPFS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MLPFS nor any Lender has any obligation to the Loan Parties or any of their respective Affiliates with respect to the transactions contemplated hereby except those obligations expressly set forth herein and in the other Loan Documents; and (iii) the Administrative Agent, MLPFS the Lenders and their respective Affiliates may be engaged in a broad range of transactions that involve interests that differ from those of the Loan Parties and their respective Affiliates, and neither the Administrative Agent, MLPFS nor any Lender has any obligation to disclose any of such interests to the Loan Parties and their respective Affiliates. To the fullest extent permitted by Law, each of the Loan Parties hereby waives and releases any claims that it may have against the Administrative Agent, MLPFS or any Lender with respect to any breach or alleged breach of agency or fiduciary duty in connection with any aspect of any transaction contemplated hereby.</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words “execute,” “execution,” “signed,” “signature,” and words of like import in or related to any document to be signed in connection with this Agreement, any other document executed in connection herewith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66" w:right="239" w:bottom="1440" w:gutter="0" w:footer="0" w:header="0"/>
        </w:sectPr>
      </w:pPr>
    </w:p>
    <w:bookmarkStart w:id="127" w:name="page128"/>
    <w:bookmarkEnd w:id="127"/>
    <w:p>
      <w:pPr>
        <w:jc w:val="both"/>
        <w:spacing w:after="0" w:line="244" w:lineRule="auto"/>
        <w:rPr>
          <w:sz w:val="20"/>
          <w:szCs w:val="20"/>
          <w:color w:val="auto"/>
        </w:rPr>
      </w:pPr>
      <w:r>
        <w:rPr>
          <w:rFonts w:ascii="Arial" w:cs="Arial" w:eastAsia="Arial" w:hAnsi="Arial"/>
          <w:sz w:val="20"/>
          <w:szCs w:val="20"/>
          <w:color w:val="auto"/>
        </w:rPr>
        <w:t>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any party, any electronic signature shall be promptly followed by such manually executed counterpart.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66"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6"/>
          <w:szCs w:val="16"/>
          <w:color w:val="auto"/>
        </w:rPr>
        <w:t>IN WITNESS WHEREOF</w:t>
      </w:r>
      <w:r>
        <w:rPr>
          <w:rFonts w:ascii="Arial" w:cs="Arial" w:eastAsia="Arial" w:hAnsi="Arial"/>
          <w:sz w:val="16"/>
          <w:szCs w:val="16"/>
          <w:i w:val="1"/>
          <w:iCs w:val="1"/>
          <w:color w:val="auto"/>
        </w:rPr>
        <w:t>,</w:t>
      </w:r>
      <w:r>
        <w:rPr>
          <w:rFonts w:ascii="Arial" w:cs="Arial" w:eastAsia="Arial" w:hAnsi="Arial"/>
          <w:sz w:val="16"/>
          <w:szCs w:val="16"/>
          <w:color w:val="auto"/>
        </w:rPr>
        <w:t xml:space="preserve"> the parties hereto have caused this Agreement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20"/>
                <w:szCs w:val="20"/>
                <w:color w:val="auto"/>
              </w:rPr>
              <w:t>BORROWERS:</w:t>
            </w:r>
          </w:p>
        </w:tc>
        <w:tc>
          <w:tcPr>
            <w:tcW w:w="6840" w:type="dxa"/>
            <w:vAlign w:val="bottom"/>
            <w:gridSpan w:val="4"/>
          </w:tcPr>
          <w:p>
            <w:pPr>
              <w:ind w:left="280"/>
              <w:spacing w:after="0"/>
              <w:rPr>
                <w:sz w:val="20"/>
                <w:szCs w:val="20"/>
                <w:color w:val="auto"/>
              </w:rPr>
            </w:pPr>
            <w:r>
              <w:rPr>
                <w:rFonts w:ascii="Arial" w:cs="Arial" w:eastAsia="Arial" w:hAnsi="Arial"/>
                <w:sz w:val="20"/>
                <w:szCs w:val="20"/>
                <w:color w:val="auto"/>
              </w:rPr>
              <w:t>BRADY CORPORATION,</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a Wisconsin corporation</w:t>
            </w:r>
          </w:p>
        </w:tc>
      </w:tr>
      <w:tr>
        <w:trPr>
          <w:trHeight w:val="40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By: /s/ AARON J. PEARCE</w:t>
            </w:r>
          </w:p>
        </w:tc>
      </w:tr>
      <w:tr>
        <w:trPr>
          <w:trHeight w:val="20"/>
        </w:trPr>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3"/>
        </w:trPr>
        <w:tc>
          <w:tcPr>
            <w:tcW w:w="1560" w:type="dxa"/>
            <w:vAlign w:val="bottom"/>
          </w:tcPr>
          <w:p>
            <w:pPr>
              <w:spacing w:after="0"/>
              <w:rPr>
                <w:sz w:val="20"/>
                <w:szCs w:val="20"/>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Name: Aaron J. Pearce</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Title: VP, Chief Financial Officer</w:t>
            </w:r>
          </w:p>
        </w:tc>
      </w:tr>
      <w:tr>
        <w:trPr>
          <w:trHeight w:val="425"/>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BRADY WORLDWIDE, INC.,</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a Wisconsin corporation</w:t>
            </w:r>
          </w:p>
        </w:tc>
      </w:tr>
      <w:tr>
        <w:trPr>
          <w:trHeight w:val="40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By: /s/ AARON J. PEARCE</w:t>
            </w:r>
          </w:p>
        </w:tc>
      </w:tr>
      <w:tr>
        <w:trPr>
          <w:trHeight w:val="20"/>
        </w:trPr>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3"/>
        </w:trPr>
        <w:tc>
          <w:tcPr>
            <w:tcW w:w="1560" w:type="dxa"/>
            <w:vAlign w:val="bottom"/>
          </w:tcPr>
          <w:p>
            <w:pPr>
              <w:spacing w:after="0"/>
              <w:rPr>
                <w:sz w:val="20"/>
                <w:szCs w:val="20"/>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Name: Aaron J. Pearce</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Title: VP, Chief Financial Officer</w:t>
            </w:r>
          </w:p>
        </w:tc>
      </w:tr>
      <w:tr>
        <w:trPr>
          <w:trHeight w:val="425"/>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TRICOR DIRECT, INC.,</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a Delaware corporation</w:t>
            </w:r>
          </w:p>
        </w:tc>
      </w:tr>
      <w:tr>
        <w:trPr>
          <w:trHeight w:val="40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By: /s/ AARON J. PEARCE</w:t>
            </w:r>
          </w:p>
        </w:tc>
      </w:tr>
      <w:tr>
        <w:trPr>
          <w:trHeight w:val="20"/>
        </w:trPr>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3"/>
        </w:trPr>
        <w:tc>
          <w:tcPr>
            <w:tcW w:w="1560" w:type="dxa"/>
            <w:vAlign w:val="bottom"/>
          </w:tcPr>
          <w:p>
            <w:pPr>
              <w:spacing w:after="0"/>
              <w:rPr>
                <w:sz w:val="20"/>
                <w:szCs w:val="20"/>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Name: Aaron J. Pearce</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Title: VP, Chief Financial Officer</w:t>
            </w:r>
          </w:p>
        </w:tc>
      </w:tr>
      <w:tr>
        <w:trPr>
          <w:trHeight w:val="87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BRADY FINANCE LUXEMBOURG,</w:t>
            </w:r>
          </w:p>
        </w:tc>
      </w:tr>
      <w:tr>
        <w:trPr>
          <w:trHeight w:val="230"/>
        </w:trPr>
        <w:tc>
          <w:tcPr>
            <w:tcW w:w="1560" w:type="dxa"/>
            <w:vAlign w:val="bottom"/>
          </w:tcPr>
          <w:p>
            <w:pPr>
              <w:spacing w:after="0"/>
              <w:rPr>
                <w:sz w:val="19"/>
                <w:szCs w:val="19"/>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w w:val="91"/>
              </w:rPr>
              <w:t>a Luxembourg private limited liability company (</w:t>
            </w:r>
            <w:r>
              <w:rPr>
                <w:rFonts w:ascii="Arial" w:cs="Arial" w:eastAsia="Arial" w:hAnsi="Arial"/>
                <w:sz w:val="20"/>
                <w:szCs w:val="20"/>
                <w:i w:val="1"/>
                <w:iCs w:val="1"/>
                <w:color w:val="auto"/>
                <w:w w:val="91"/>
              </w:rPr>
              <w:t>Société à responsabilité</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i w:val="1"/>
                <w:iCs w:val="1"/>
                <w:color w:val="auto"/>
              </w:rPr>
              <w:t>limitée)</w:t>
            </w:r>
          </w:p>
        </w:tc>
      </w:tr>
      <w:tr>
        <w:trPr>
          <w:trHeight w:val="40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By: /s/ PETER SWERTS</w:t>
            </w:r>
          </w:p>
        </w:tc>
      </w:tr>
      <w:tr>
        <w:trPr>
          <w:trHeight w:val="20"/>
        </w:trPr>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r>
      <w:tr>
        <w:trPr>
          <w:trHeight w:val="233"/>
        </w:trPr>
        <w:tc>
          <w:tcPr>
            <w:tcW w:w="1560" w:type="dxa"/>
            <w:vAlign w:val="bottom"/>
          </w:tcPr>
          <w:p>
            <w:pPr>
              <w:spacing w:after="0"/>
              <w:rPr>
                <w:sz w:val="20"/>
                <w:szCs w:val="20"/>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Name: Peter Swerts</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Title: Manager</w:t>
            </w:r>
          </w:p>
        </w:tc>
      </w:tr>
      <w:tr>
        <w:trPr>
          <w:trHeight w:val="40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By: /s/ AARON J. PEARCE</w:t>
            </w:r>
          </w:p>
        </w:tc>
      </w:tr>
      <w:tr>
        <w:trPr>
          <w:trHeight w:val="20"/>
        </w:trPr>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3"/>
        </w:trPr>
        <w:tc>
          <w:tcPr>
            <w:tcW w:w="1560" w:type="dxa"/>
            <w:vAlign w:val="bottom"/>
          </w:tcPr>
          <w:p>
            <w:pPr>
              <w:spacing w:after="0"/>
              <w:rPr>
                <w:sz w:val="20"/>
                <w:szCs w:val="20"/>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Name: Aaron J. Pearce</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Title: Manager</w:t>
            </w:r>
          </w:p>
        </w:tc>
      </w:tr>
      <w:tr>
        <w:trPr>
          <w:trHeight w:val="654"/>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BRADY S.à r.l.,</w:t>
            </w:r>
          </w:p>
        </w:tc>
      </w:tr>
      <w:tr>
        <w:trPr>
          <w:trHeight w:val="230"/>
        </w:trPr>
        <w:tc>
          <w:tcPr>
            <w:tcW w:w="1560" w:type="dxa"/>
            <w:vAlign w:val="bottom"/>
          </w:tcPr>
          <w:p>
            <w:pPr>
              <w:spacing w:after="0"/>
              <w:rPr>
                <w:sz w:val="19"/>
                <w:szCs w:val="19"/>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w w:val="91"/>
              </w:rPr>
              <w:t>a Luxembourg private limited liability company (</w:t>
            </w:r>
            <w:r>
              <w:rPr>
                <w:rFonts w:ascii="Arial" w:cs="Arial" w:eastAsia="Arial" w:hAnsi="Arial"/>
                <w:sz w:val="20"/>
                <w:szCs w:val="20"/>
                <w:i w:val="1"/>
                <w:iCs w:val="1"/>
                <w:color w:val="auto"/>
                <w:w w:val="91"/>
              </w:rPr>
              <w:t>Société à responsabilité</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i w:val="1"/>
                <w:iCs w:val="1"/>
                <w:color w:val="auto"/>
              </w:rPr>
              <w:t>limitée)</w:t>
            </w:r>
          </w:p>
        </w:tc>
      </w:tr>
      <w:tr>
        <w:trPr>
          <w:trHeight w:val="40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By: /s/ PETER SWERTS</w:t>
            </w:r>
          </w:p>
        </w:tc>
      </w:tr>
      <w:tr>
        <w:trPr>
          <w:trHeight w:val="20"/>
        </w:trPr>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r>
      <w:tr>
        <w:trPr>
          <w:trHeight w:val="233"/>
        </w:trPr>
        <w:tc>
          <w:tcPr>
            <w:tcW w:w="1560" w:type="dxa"/>
            <w:vAlign w:val="bottom"/>
          </w:tcPr>
          <w:p>
            <w:pPr>
              <w:spacing w:after="0"/>
              <w:rPr>
                <w:sz w:val="20"/>
                <w:szCs w:val="20"/>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Name: Peter Swerts</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Title: Manager</w:t>
            </w:r>
          </w:p>
        </w:tc>
      </w:tr>
      <w:tr>
        <w:trPr>
          <w:trHeight w:val="401"/>
        </w:trPr>
        <w:tc>
          <w:tcPr>
            <w:tcW w:w="1560" w:type="dxa"/>
            <w:vAlign w:val="bottom"/>
          </w:tcPr>
          <w:p>
            <w:pPr>
              <w:spacing w:after="0"/>
              <w:rPr>
                <w:sz w:val="24"/>
                <w:szCs w:val="24"/>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By: /s/ AARON J. PEARCE</w:t>
            </w:r>
          </w:p>
        </w:tc>
      </w:tr>
      <w:tr>
        <w:trPr>
          <w:trHeight w:val="20"/>
        </w:trPr>
        <w:tc>
          <w:tcPr>
            <w:tcW w:w="1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3"/>
        </w:trPr>
        <w:tc>
          <w:tcPr>
            <w:tcW w:w="1560" w:type="dxa"/>
            <w:vAlign w:val="bottom"/>
          </w:tcPr>
          <w:p>
            <w:pPr>
              <w:spacing w:after="0"/>
              <w:rPr>
                <w:sz w:val="20"/>
                <w:szCs w:val="20"/>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Name: Aaron J. Pearce</w:t>
            </w:r>
          </w:p>
        </w:tc>
      </w:tr>
      <w:tr>
        <w:trPr>
          <w:trHeight w:val="250"/>
        </w:trPr>
        <w:tc>
          <w:tcPr>
            <w:tcW w:w="1560" w:type="dxa"/>
            <w:vAlign w:val="bottom"/>
          </w:tcPr>
          <w:p>
            <w:pPr>
              <w:spacing w:after="0"/>
              <w:rPr>
                <w:sz w:val="21"/>
                <w:szCs w:val="21"/>
                <w:color w:val="auto"/>
              </w:rPr>
            </w:pPr>
          </w:p>
        </w:tc>
        <w:tc>
          <w:tcPr>
            <w:tcW w:w="6840" w:type="dxa"/>
            <w:vAlign w:val="bottom"/>
            <w:gridSpan w:val="4"/>
          </w:tcPr>
          <w:p>
            <w:pPr>
              <w:ind w:left="1040"/>
              <w:spacing w:after="0"/>
              <w:rPr>
                <w:sz w:val="20"/>
                <w:szCs w:val="20"/>
                <w:color w:val="auto"/>
              </w:rPr>
            </w:pPr>
            <w:r>
              <w:rPr>
                <w:rFonts w:ascii="Arial" w:cs="Arial" w:eastAsia="Arial" w:hAnsi="Arial"/>
                <w:sz w:val="20"/>
                <w:szCs w:val="20"/>
                <w:color w:val="auto"/>
              </w:rPr>
              <w:t>Title: Manager</w:t>
            </w:r>
          </w:p>
        </w:tc>
      </w:tr>
      <w:tr>
        <w:trPr>
          <w:trHeight w:val="901"/>
        </w:trPr>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ind w:left="82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760"/>
          </w:cols>
          <w:pgMar w:left="240" w:top="366" w:right="899" w:bottom="1440" w:gutter="0" w:footer="0" w:header="0"/>
        </w:sectPr>
      </w:pPr>
    </w:p>
    <w:bookmarkStart w:id="129" w:name="page130"/>
    <w:bookmarkEnd w:id="129"/>
    <w:p>
      <w:pPr>
        <w:spacing w:after="0"/>
        <w:tabs>
          <w:tab w:leader="none" w:pos="1760" w:val="left"/>
        </w:tabs>
        <w:rPr>
          <w:sz w:val="20"/>
          <w:szCs w:val="20"/>
          <w:color w:val="auto"/>
        </w:rPr>
      </w:pPr>
      <w:r>
        <w:rPr>
          <w:rFonts w:ascii="Arial" w:cs="Arial" w:eastAsia="Arial" w:hAnsi="Arial"/>
          <w:sz w:val="20"/>
          <w:szCs w:val="20"/>
          <w:color w:val="auto"/>
        </w:rPr>
        <w:t>GUARANTORS:</w:t>
      </w:r>
      <w:r>
        <w:rPr>
          <w:sz w:val="20"/>
          <w:szCs w:val="20"/>
          <w:color w:val="auto"/>
        </w:rPr>
        <w:tab/>
      </w:r>
      <w:r>
        <w:rPr>
          <w:rFonts w:ascii="Arial" w:cs="Arial" w:eastAsia="Arial" w:hAnsi="Arial"/>
          <w:sz w:val="20"/>
          <w:szCs w:val="20"/>
          <w:color w:val="auto"/>
        </w:rPr>
        <w:t>BRADY INTERNATIONAL CO., a Wisconsin corporation</w:t>
      </w:r>
    </w:p>
    <w:p>
      <w:pPr>
        <w:spacing w:after="0" w:line="16" w:lineRule="exact"/>
        <w:rPr>
          <w:sz w:val="20"/>
          <w:szCs w:val="20"/>
          <w:color w:val="auto"/>
        </w:rPr>
      </w:pPr>
    </w:p>
    <w:p>
      <w:pPr>
        <w:ind w:left="2600" w:right="1339"/>
        <w:spacing w:after="0" w:line="239" w:lineRule="auto"/>
        <w:rPr>
          <w:sz w:val="20"/>
          <w:szCs w:val="20"/>
          <w:color w:val="auto"/>
        </w:rPr>
      </w:pPr>
      <w:r>
        <w:rPr>
          <w:rFonts w:ascii="Arial" w:cs="Arial" w:eastAsia="Arial" w:hAnsi="Arial"/>
          <w:sz w:val="20"/>
          <w:szCs w:val="20"/>
          <w:color w:val="auto"/>
        </w:rPr>
        <w:t>WORLDMARK OF WISCONSIN INCORPORATED, a Delaware corporation DUAL CORE LLC, a Wisconsin limited liability company</w:t>
      </w:r>
    </w:p>
    <w:p>
      <w:pPr>
        <w:spacing w:after="0" w:line="1" w:lineRule="exact"/>
        <w:rPr>
          <w:sz w:val="20"/>
          <w:szCs w:val="20"/>
          <w:color w:val="auto"/>
        </w:rPr>
      </w:pPr>
    </w:p>
    <w:p>
      <w:pPr>
        <w:ind w:left="2600" w:right="959"/>
        <w:spacing w:after="0" w:line="239" w:lineRule="auto"/>
        <w:rPr>
          <w:sz w:val="20"/>
          <w:szCs w:val="20"/>
          <w:color w:val="auto"/>
        </w:rPr>
      </w:pPr>
      <w:r>
        <w:rPr>
          <w:rFonts w:ascii="Arial" w:cs="Arial" w:eastAsia="Arial" w:hAnsi="Arial"/>
          <w:sz w:val="20"/>
          <w:szCs w:val="20"/>
          <w:color w:val="auto"/>
        </w:rPr>
        <w:t>CLEMENT COMMUNICATIONS, INCORPORATED, a Pennsylvania corporation AIO ACQUISITION, INC., a Delaware corporation</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PRECISION DYNAMICS CORPORATION, a California corporation</w:t>
      </w:r>
    </w:p>
    <w:p>
      <w:pPr>
        <w:spacing w:after="0" w:line="200" w:lineRule="exact"/>
        <w:rPr>
          <w:sz w:val="20"/>
          <w:szCs w:val="20"/>
          <w:color w:val="auto"/>
        </w:rPr>
      </w:pP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J. PEARCE</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Aaron J. Pearce</w:t>
      </w:r>
    </w:p>
    <w:p>
      <w:pPr>
        <w:ind w:left="2600"/>
        <w:spacing w:after="0"/>
        <w:rPr>
          <w:sz w:val="20"/>
          <w:szCs w:val="20"/>
          <w:color w:val="auto"/>
        </w:rPr>
      </w:pPr>
      <w:r>
        <w:rPr>
          <w:rFonts w:ascii="Arial" w:cs="Arial" w:eastAsia="Arial" w:hAnsi="Arial"/>
          <w:sz w:val="20"/>
          <w:szCs w:val="20"/>
          <w:color w:val="auto"/>
        </w:rPr>
        <w:t>Title: VP, Chief Financial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ADMINISTRATIVE</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AGENT:</w:t>
      </w:r>
      <w:r>
        <w:rPr>
          <w:sz w:val="20"/>
          <w:szCs w:val="20"/>
          <w:color w:val="auto"/>
        </w:rPr>
        <w:tab/>
      </w:r>
      <w:r>
        <w:rPr>
          <w:rFonts w:ascii="Arial" w:cs="Arial" w:eastAsia="Arial" w:hAnsi="Arial"/>
          <w:sz w:val="20"/>
          <w:szCs w:val="20"/>
          <w:color w:val="auto"/>
        </w:rPr>
        <w:t>BANK OF AMERICA, N.A.,</w:t>
      </w:r>
    </w:p>
    <w:p>
      <w:pPr>
        <w:ind w:left="26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ANTHEA DEL BIANCO</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Anthea Del Bianco</w:t>
      </w:r>
    </w:p>
    <w:p>
      <w:pPr>
        <w:ind w:left="2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LENDERS:</w:t>
            </w:r>
          </w:p>
        </w:tc>
        <w:tc>
          <w:tcPr>
            <w:tcW w:w="5860" w:type="dxa"/>
            <w:vAlign w:val="bottom"/>
            <w:gridSpan w:val="4"/>
          </w:tcPr>
          <w:p>
            <w:pPr>
              <w:ind w:left="280"/>
              <w:spacing w:after="0"/>
              <w:rPr>
                <w:sz w:val="20"/>
                <w:szCs w:val="20"/>
                <w:color w:val="auto"/>
              </w:rPr>
            </w:pPr>
            <w:r>
              <w:rPr>
                <w:rFonts w:ascii="Arial" w:cs="Arial" w:eastAsia="Arial" w:hAnsi="Arial"/>
                <w:sz w:val="20"/>
                <w:szCs w:val="20"/>
                <w:color w:val="auto"/>
              </w:rPr>
              <w:t>BANK OF AMERICA, N.A.,</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as a Lender, L/C Issuer and Swing Line Lender</w:t>
            </w:r>
          </w:p>
        </w:tc>
      </w:tr>
      <w:tr>
        <w:trPr>
          <w:trHeight w:val="401"/>
        </w:trPr>
        <w:tc>
          <w:tcPr>
            <w:tcW w:w="1220" w:type="dxa"/>
            <w:vAlign w:val="bottom"/>
          </w:tcPr>
          <w:p>
            <w:pPr>
              <w:spacing w:after="0"/>
              <w:rPr>
                <w:sz w:val="24"/>
                <w:szCs w:val="24"/>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By: /s/ STEVEN K. KESSLER</w:t>
            </w:r>
          </w:p>
        </w:tc>
      </w:tr>
      <w:tr>
        <w:trPr>
          <w:trHeight w:val="20"/>
        </w:trPr>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000" w:type="dxa"/>
            <w:vAlign w:val="bottom"/>
            <w:tcBorders>
              <w:left w:val="single" w:sz="8" w:color="auto"/>
            </w:tcBorders>
          </w:tcPr>
          <w:p>
            <w:pPr>
              <w:spacing w:after="0" w:line="20" w:lineRule="exact"/>
              <w:rPr>
                <w:sz w:val="1"/>
                <w:szCs w:val="1"/>
                <w:color w:val="auto"/>
              </w:rPr>
            </w:pPr>
          </w:p>
        </w:tc>
      </w:tr>
      <w:tr>
        <w:trPr>
          <w:trHeight w:val="233"/>
        </w:trPr>
        <w:tc>
          <w:tcPr>
            <w:tcW w:w="1220" w:type="dxa"/>
            <w:vAlign w:val="bottom"/>
          </w:tcPr>
          <w:p>
            <w:pPr>
              <w:spacing w:after="0"/>
              <w:rPr>
                <w:sz w:val="20"/>
                <w:szCs w:val="20"/>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Name: Steven K. Kessler</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Title: Senior Vice President</w:t>
            </w:r>
          </w:p>
        </w:tc>
      </w:tr>
      <w:tr>
        <w:trPr>
          <w:trHeight w:val="425"/>
        </w:trPr>
        <w:tc>
          <w:tcPr>
            <w:tcW w:w="1220" w:type="dxa"/>
            <w:vAlign w:val="bottom"/>
          </w:tcPr>
          <w:p>
            <w:pPr>
              <w:spacing w:after="0"/>
              <w:rPr>
                <w:sz w:val="24"/>
                <w:szCs w:val="24"/>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BMO HARRIS BANK, N.A.,</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as a Lender</w:t>
            </w:r>
          </w:p>
        </w:tc>
      </w:tr>
      <w:tr>
        <w:trPr>
          <w:trHeight w:val="401"/>
        </w:trPr>
        <w:tc>
          <w:tcPr>
            <w:tcW w:w="1220" w:type="dxa"/>
            <w:vAlign w:val="bottom"/>
          </w:tcPr>
          <w:p>
            <w:pPr>
              <w:spacing w:after="0"/>
              <w:rPr>
                <w:sz w:val="24"/>
                <w:szCs w:val="24"/>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By: /s/ PAUL HULTGREN</w:t>
            </w:r>
          </w:p>
        </w:tc>
      </w:tr>
      <w:tr>
        <w:trPr>
          <w:trHeight w:val="20"/>
        </w:trPr>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3"/>
        </w:trPr>
        <w:tc>
          <w:tcPr>
            <w:tcW w:w="1220" w:type="dxa"/>
            <w:vAlign w:val="bottom"/>
          </w:tcPr>
          <w:p>
            <w:pPr>
              <w:spacing w:after="0"/>
              <w:rPr>
                <w:sz w:val="20"/>
                <w:szCs w:val="20"/>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Name: Paul Hultgren</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Title: SVP and Director</w:t>
            </w:r>
          </w:p>
        </w:tc>
      </w:tr>
      <w:tr>
        <w:trPr>
          <w:trHeight w:val="425"/>
        </w:trPr>
        <w:tc>
          <w:tcPr>
            <w:tcW w:w="1220" w:type="dxa"/>
            <w:vAlign w:val="bottom"/>
          </w:tcPr>
          <w:p>
            <w:pPr>
              <w:spacing w:after="0"/>
              <w:rPr>
                <w:sz w:val="24"/>
                <w:szCs w:val="24"/>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w w:val="96"/>
              </w:rPr>
              <w:t>WELLS FARGO BANK, NATIONAL ASSOCIATION,</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as a Lender</w:t>
            </w:r>
          </w:p>
        </w:tc>
      </w:tr>
      <w:tr>
        <w:trPr>
          <w:trHeight w:val="401"/>
        </w:trPr>
        <w:tc>
          <w:tcPr>
            <w:tcW w:w="1220" w:type="dxa"/>
            <w:vAlign w:val="bottom"/>
          </w:tcPr>
          <w:p>
            <w:pPr>
              <w:spacing w:after="0"/>
              <w:rPr>
                <w:sz w:val="24"/>
                <w:szCs w:val="24"/>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By: /s/ ANTHONY BARTELL</w:t>
            </w:r>
          </w:p>
        </w:tc>
      </w:tr>
      <w:tr>
        <w:trPr>
          <w:trHeight w:val="20"/>
        </w:trPr>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3"/>
        </w:trPr>
        <w:tc>
          <w:tcPr>
            <w:tcW w:w="1220" w:type="dxa"/>
            <w:vAlign w:val="bottom"/>
          </w:tcPr>
          <w:p>
            <w:pPr>
              <w:spacing w:after="0"/>
              <w:rPr>
                <w:sz w:val="20"/>
                <w:szCs w:val="20"/>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Name: Anthony Bartell</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Title: Senior Vice President</w:t>
            </w:r>
          </w:p>
        </w:tc>
      </w:tr>
      <w:tr>
        <w:trPr>
          <w:trHeight w:val="425"/>
        </w:trPr>
        <w:tc>
          <w:tcPr>
            <w:tcW w:w="1220" w:type="dxa"/>
            <w:vAlign w:val="bottom"/>
          </w:tcPr>
          <w:p>
            <w:pPr>
              <w:spacing w:after="0"/>
              <w:rPr>
                <w:sz w:val="24"/>
                <w:szCs w:val="24"/>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JPMORGAN CHASE BANK, N.A.,</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as a Lender</w:t>
            </w:r>
          </w:p>
        </w:tc>
      </w:tr>
      <w:tr>
        <w:trPr>
          <w:trHeight w:val="401"/>
        </w:trPr>
        <w:tc>
          <w:tcPr>
            <w:tcW w:w="1220" w:type="dxa"/>
            <w:vAlign w:val="bottom"/>
          </w:tcPr>
          <w:p>
            <w:pPr>
              <w:spacing w:after="0"/>
              <w:rPr>
                <w:sz w:val="24"/>
                <w:szCs w:val="24"/>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By: /s/ HELEN D. DAVIS</w:t>
            </w:r>
          </w:p>
        </w:tc>
      </w:tr>
      <w:tr>
        <w:trPr>
          <w:trHeight w:val="20"/>
        </w:trPr>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233"/>
        </w:trPr>
        <w:tc>
          <w:tcPr>
            <w:tcW w:w="1220" w:type="dxa"/>
            <w:vAlign w:val="bottom"/>
          </w:tcPr>
          <w:p>
            <w:pPr>
              <w:spacing w:after="0"/>
              <w:rPr>
                <w:sz w:val="20"/>
                <w:szCs w:val="20"/>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Name: Helen D. Davis</w:t>
            </w:r>
          </w:p>
        </w:tc>
      </w:tr>
      <w:tr>
        <w:trPr>
          <w:trHeight w:val="250"/>
        </w:trPr>
        <w:tc>
          <w:tcPr>
            <w:tcW w:w="1220" w:type="dxa"/>
            <w:vAlign w:val="bottom"/>
          </w:tcPr>
          <w:p>
            <w:pPr>
              <w:spacing w:after="0"/>
              <w:rPr>
                <w:sz w:val="21"/>
                <w:szCs w:val="21"/>
                <w:color w:val="auto"/>
              </w:rPr>
            </w:pPr>
          </w:p>
        </w:tc>
        <w:tc>
          <w:tcPr>
            <w:tcW w:w="5860" w:type="dxa"/>
            <w:vAlign w:val="bottom"/>
            <w:gridSpan w:val="4"/>
          </w:tcPr>
          <w:p>
            <w:pPr>
              <w:ind w:left="138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366" w:right="1440" w:bottom="1440" w:gutter="0" w:footer="0" w:header="0"/>
        </w:sectPr>
      </w:pPr>
    </w:p>
    <w:bookmarkStart w:id="130" w:name="page131"/>
    <w:bookmarkEnd w:id="130"/>
    <w:p>
      <w:pPr>
        <w:ind w:left="1400"/>
        <w:spacing w:after="0"/>
        <w:rPr>
          <w:sz w:val="20"/>
          <w:szCs w:val="20"/>
          <w:color w:val="auto"/>
        </w:rPr>
      </w:pPr>
      <w:r>
        <w:rPr>
          <w:rFonts w:ascii="Arial" w:cs="Arial" w:eastAsia="Arial" w:hAnsi="Arial"/>
          <w:sz w:val="20"/>
          <w:szCs w:val="20"/>
          <w:color w:val="auto"/>
        </w:rPr>
        <w:t>PNC BANK, NATIONAL ASSOCIATION,</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HENRY R. HISSRICH, IV</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Henry R. Hissrich, IV</w:t>
      </w:r>
    </w:p>
    <w:p>
      <w:pPr>
        <w:ind w:left="14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ASSOCIATED BANK, NATIONAL ASSOCIATION,</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VIKTOR R. GOTTLIEB</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Viktor R. Gottlieb</w:t>
      </w:r>
    </w:p>
    <w:p>
      <w:pPr>
        <w:ind w:left="14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sectPr>
      <w:pgSz w:w="11900" w:h="16838" w:orient="portrait"/>
      <w:cols w:equalWidth="0" w:num="1">
        <w:col w:w="9019"/>
      </w:cols>
      <w:pgMar w:left="1440" w:top="3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1)"/>
      <w:numFmt w:val="lowerLetter"/>
      <w:start w:val="2"/>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1)"/>
      <w:numFmt w:val="lowerLetter"/>
      <w:start w:val="2"/>
    </w:lvl>
  </w:abstractNum>
  <w:abstractNum w:abstractNumId="4">
    <w:nsid w:val="71EA1109"/>
    <w:multiLevelType w:val="hybridMultilevel"/>
    <w:lvl w:ilvl="0">
      <w:lvlJc w:val="left"/>
      <w:lvlText w:val="(%1)"/>
      <w:numFmt w:val="lowerRoman"/>
      <w:start w:val="2"/>
    </w:lvl>
  </w:abstractNum>
  <w:abstractNum w:abstractNumId="5">
    <w:nsid w:val="100F59DC"/>
    <w:multiLevelType w:val="hybridMultilevel"/>
    <w:lvl w:ilvl="0">
      <w:lvlJc w:val="left"/>
      <w:lvlText w:val="(%1)"/>
      <w:numFmt w:val="lowerLetter"/>
      <w:start w:val="2"/>
    </w:lvl>
  </w:abstractNum>
  <w:abstractNum w:abstractNumId="6">
    <w:nsid w:val="7FB7E0AA"/>
    <w:multiLevelType w:val="hybridMultilevel"/>
    <w:lvl w:ilvl="0">
      <w:lvlJc w:val="left"/>
      <w:lvlText w:val="(%1)"/>
      <w:numFmt w:val="lowerLetter"/>
      <w:start w:val="4"/>
    </w:lvl>
  </w:abstractNum>
  <w:abstractNum w:abstractNumId="7">
    <w:nsid w:val="6EB5BD4"/>
    <w:multiLevelType w:val="hybridMultilevel"/>
    <w:lvl w:ilvl="0">
      <w:lvlJc w:val="left"/>
      <w:lvlText w:val="(%1)"/>
      <w:numFmt w:val="lowerLetter"/>
      <w:start w:val="1"/>
    </w:lvl>
    <w:lvl w:ilvl="1">
      <w:lvlJc w:val="left"/>
      <w:lvlText w:val="(%2)"/>
      <w:numFmt w:val="lowerRoman"/>
      <w:start w:val="2"/>
    </w:lvl>
  </w:abstractNum>
  <w:abstractNum w:abstractNumId="8">
    <w:nsid w:val="6F6DD9AC"/>
    <w:multiLevelType w:val="hybridMultilevel"/>
    <w:lvl w:ilvl="0">
      <w:lvlJc w:val="left"/>
      <w:lvlText w:val="(%1)"/>
      <w:numFmt w:val="lowerLetter"/>
      <w:start w:val="9"/>
    </w:lvl>
  </w:abstractNum>
  <w:abstractNum w:abstractNumId="9">
    <w:nsid w:val="94211F2"/>
    <w:multiLevelType w:val="hybridMultilevel"/>
    <w:lvl w:ilvl="0">
      <w:lvlJc w:val="left"/>
      <w:lvlText w:val="(%1)"/>
      <w:numFmt w:val="lowerLetter"/>
      <w:start w:val="4"/>
    </w:lvl>
  </w:abstractNum>
  <w:abstractNum w:abstractNumId="10">
    <w:nsid w:val="885E1B"/>
    <w:multiLevelType w:val="hybridMultilevel"/>
    <w:lvl w:ilvl="0">
      <w:lvlJc w:val="left"/>
      <w:lvlText w:val="(%1)"/>
      <w:numFmt w:val="lowerLetter"/>
      <w:start w:val="1"/>
    </w:lvl>
  </w:abstractNum>
  <w:abstractNum w:abstractNumId="11">
    <w:nsid w:val="76272110"/>
    <w:multiLevelType w:val="hybridMultilevel"/>
    <w:lvl w:ilvl="0">
      <w:lvlJc w:val="left"/>
      <w:lvlText w:val="(%1)"/>
      <w:numFmt w:val="lowerLetter"/>
      <w:start w:val="1"/>
    </w:lvl>
  </w:abstractNum>
  <w:abstractNum w:abstractNumId="12">
    <w:nsid w:val="4C04A8AF"/>
    <w:multiLevelType w:val="hybridMultilevel"/>
    <w:lvl w:ilvl="0">
      <w:lvlJc w:val="left"/>
      <w:lvlText w:val="(%1)"/>
      <w:numFmt w:val="lowerRoman"/>
      <w:start w:val="2"/>
    </w:lvl>
  </w:abstractNum>
  <w:abstractNum w:abstractNumId="13">
    <w:nsid w:val="1716703B"/>
    <w:multiLevelType w:val="hybridMultilevel"/>
    <w:lvl w:ilvl="0">
      <w:lvlJc w:val="left"/>
      <w:lvlText w:val="(%1)"/>
      <w:numFmt w:val="lowerLetter"/>
      <w:start w:val="1"/>
    </w:lvl>
    <w:lvl w:ilvl="1">
      <w:lvlJc w:val="left"/>
      <w:lvlText w:val="(%2)"/>
      <w:numFmt w:val="lowerRoman"/>
      <w:start w:val="2"/>
    </w:lvl>
  </w:abstractNum>
  <w:abstractNum w:abstractNumId="14">
    <w:nsid w:val="14E17E33"/>
    <w:multiLevelType w:val="hybridMultilevel"/>
    <w:lvl w:ilvl="0">
      <w:lvlJc w:val="left"/>
      <w:lvlText w:val="%1"/>
      <w:numFmt w:val="lowerLetter"/>
      <w:start w:val="1"/>
    </w:lvl>
    <w:lvl w:ilvl="1">
      <w:lvlJc w:val="left"/>
      <w:lvlText w:val="(%2)"/>
      <w:numFmt w:val="lowerLetter"/>
      <w:start w:val="1"/>
    </w:lvl>
  </w:abstractNum>
  <w:abstractNum w:abstractNumId="15">
    <w:nsid w:val="3222E7CD"/>
    <w:multiLevelType w:val="hybridMultilevel"/>
    <w:lvl w:ilvl="0">
      <w:lvlJc w:val="left"/>
      <w:lvlText w:val="(%1)"/>
      <w:numFmt w:val="lowerLetter"/>
      <w:start w:val="9"/>
    </w:lvl>
    <w:lvl w:ilvl="1">
      <w:lvlJc w:val="left"/>
      <w:lvlText w:val="%2"/>
      <w:numFmt w:val="lowerLetter"/>
      <w:start w:val="1"/>
    </w:lvl>
  </w:abstractNum>
  <w:abstractNum w:abstractNumId="16">
    <w:nsid w:val="74DE0EE3"/>
    <w:multiLevelType w:val="hybridMultilevel"/>
    <w:lvl w:ilvl="0">
      <w:lvlJc w:val="left"/>
      <w:lvlText w:val="(%1)"/>
      <w:numFmt w:val="lowerLetter"/>
      <w:start w:val="1"/>
    </w:lvl>
  </w:abstractNum>
  <w:abstractNum w:abstractNumId="17">
    <w:nsid w:val="68EBC550"/>
    <w:multiLevelType w:val="hybridMultilevel"/>
    <w:lvl w:ilvl="0">
      <w:lvlJc w:val="left"/>
      <w:lvlText w:val="(%1)"/>
      <w:numFmt w:val="lowerLetter"/>
      <w:start w:val="1"/>
    </w:lvl>
  </w:abstractNum>
  <w:abstractNum w:abstractNumId="18">
    <w:nsid w:val="2DF6D648"/>
    <w:multiLevelType w:val="hybridMultilevel"/>
    <w:lvl w:ilvl="0">
      <w:lvlJc w:val="left"/>
      <w:lvlText w:val="(%1)"/>
      <w:numFmt w:val="lowerLetter"/>
      <w:start w:val="2"/>
    </w:lvl>
  </w:abstractNum>
  <w:abstractNum w:abstractNumId="19">
    <w:nsid w:val="46B7D447"/>
    <w:multiLevelType w:val="hybridMultilevel"/>
    <w:lvl w:ilvl="0">
      <w:lvlJc w:val="left"/>
      <w:lvlText w:val="(%1)"/>
      <w:numFmt w:val="lowerLetter"/>
      <w:start w:val="1"/>
    </w:lvl>
  </w:abstractNum>
  <w:abstractNum w:abstractNumId="20">
    <w:nsid w:val="4A2AC315"/>
    <w:multiLevelType w:val="hybridMultilevel"/>
    <w:lvl w:ilvl="0">
      <w:lvlJc w:val="left"/>
      <w:lvlText w:val="(%1)"/>
      <w:numFmt w:val="lowerLetter"/>
      <w:start w:val="2"/>
    </w:lvl>
  </w:abstractNum>
  <w:abstractNum w:abstractNumId="21">
    <w:nsid w:val="39EE015C"/>
    <w:multiLevelType w:val="hybridMultilevel"/>
    <w:lvl w:ilvl="0">
      <w:lvlJc w:val="left"/>
      <w:lvlText w:val="(%1)"/>
      <w:numFmt w:val="lowerLetter"/>
      <w:start w:val="1"/>
    </w:lvl>
    <w:lvl w:ilvl="1">
      <w:lvlJc w:val="left"/>
      <w:lvlText w:val="(%2)"/>
      <w:numFmt w:val="lowerRoman"/>
      <w:start w:val="1"/>
    </w:lvl>
  </w:abstractNum>
  <w:abstractNum w:abstractNumId="22">
    <w:nsid w:val="57FC4FBB"/>
    <w:multiLevelType w:val="hybridMultilevel"/>
    <w:lvl w:ilvl="0">
      <w:lvlJc w:val="left"/>
      <w:lvlText w:val="(%1)"/>
      <w:numFmt w:val="lowerLetter"/>
      <w:start w:val="1"/>
    </w:lvl>
  </w:abstractNum>
  <w:abstractNum w:abstractNumId="23">
    <w:nsid w:val="CC1016F"/>
    <w:multiLevelType w:val="hybridMultilevel"/>
    <w:lvl w:ilvl="0">
      <w:lvlJc w:val="left"/>
      <w:lvlText w:val="(%1)"/>
      <w:numFmt w:val="lowerLetter"/>
      <w:start w:val="35"/>
    </w:lvl>
    <w:lvl w:ilvl="1">
      <w:lvlJc w:val="left"/>
      <w:lvlText w:val="(%2)"/>
      <w:numFmt w:val="lowerLetter"/>
      <w:start w:val="3"/>
    </w:lvl>
  </w:abstractNum>
  <w:abstractNum w:abstractNumId="24">
    <w:nsid w:val="43F18422"/>
    <w:multiLevelType w:val="hybridMultilevel"/>
    <w:lvl w:ilvl="0">
      <w:lvlJc w:val="left"/>
      <w:lvlText w:val="(%1)"/>
      <w:numFmt w:val="lowerLetter"/>
      <w:start w:val="1"/>
    </w:lvl>
    <w:lvl w:ilvl="1">
      <w:lvlJc w:val="left"/>
      <w:lvlText w:val="(%2)"/>
      <w:numFmt w:val="lowerLetter"/>
      <w:start w:val="9"/>
    </w:lvl>
  </w:abstractNum>
  <w:abstractNum w:abstractNumId="25">
    <w:nsid w:val="60EF0119"/>
    <w:multiLevelType w:val="hybridMultilevel"/>
    <w:lvl w:ilvl="0">
      <w:lvlJc w:val="left"/>
      <w:lvlText w:val="(%1)"/>
      <w:numFmt w:val="upperLetter"/>
      <w:start w:val="1"/>
    </w:lvl>
  </w:abstractNum>
  <w:abstractNum w:abstractNumId="26">
    <w:nsid w:val="26F324BA"/>
    <w:multiLevelType w:val="hybridMultilevel"/>
    <w:lvl w:ilvl="0">
      <w:lvlJc w:val="left"/>
      <w:lvlText w:val="(%1)"/>
      <w:numFmt w:val="upperLetter"/>
      <w:start w:val="1"/>
    </w:lvl>
  </w:abstractNum>
  <w:abstractNum w:abstractNumId="27">
    <w:nsid w:val="7F0157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28">
    <w:nsid w:val="49DA307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9">
    <w:nsid w:val="7055A5F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
    <w:nsid w:val="5FB8370B"/>
    <w:multiLevelType w:val="hybridMultilevel"/>
    <w:lvl w:ilvl="0">
      <w:lvlJc w:val="left"/>
      <w:lvlText w:val="(%1)"/>
      <w:numFmt w:val="lowerRoman"/>
      <w:start w:val="2"/>
    </w:lvl>
  </w:abstractNum>
  <w:abstractNum w:abstractNumId="31">
    <w:nsid w:val="50801EE1"/>
    <w:multiLevelType w:val="hybridMultilevel"/>
    <w:lvl w:ilvl="0">
      <w:lvlJc w:val="left"/>
      <w:lvlText w:val="%1"/>
      <w:numFmt w:val="lowerLetter"/>
      <w:start w:val="1"/>
    </w:lvl>
    <w:lvl w:ilvl="1">
      <w:lvlJc w:val="left"/>
      <w:lvlText w:val="(%2)"/>
      <w:numFmt w:val="lowerRoman"/>
      <w:start w:val="4"/>
    </w:lvl>
  </w:abstractNum>
  <w:abstractNum w:abstractNumId="32">
    <w:nsid w:val="488AC1A"/>
    <w:multiLevelType w:val="hybridMultilevel"/>
    <w:lvl w:ilvl="0">
      <w:lvlJc w:val="left"/>
      <w:lvlText w:val="(%1)"/>
      <w:numFmt w:val="lowerLetter"/>
      <w:start w:val="3"/>
    </w:lvl>
    <w:lvl w:ilvl="1">
      <w:lvlJc w:val="left"/>
      <w:lvlText w:val="(%2)"/>
      <w:numFmt w:val="lowerRoman"/>
      <w:start w:val="1"/>
    </w:lvl>
  </w:abstractNum>
  <w:abstractNum w:abstractNumId="33">
    <w:nsid w:val="5FB8011C"/>
    <w:multiLevelType w:val="hybridMultilevel"/>
    <w:lvl w:ilvl="0">
      <w:lvlJc w:val="left"/>
      <w:lvlText w:val="%1"/>
      <w:numFmt w:val="lowerLetter"/>
      <w:start w:val="1"/>
    </w:lvl>
    <w:lvl w:ilvl="1">
      <w:lvlJc w:val="left"/>
      <w:lvlText w:val="(%2)"/>
      <w:numFmt w:val="lowerRoman"/>
      <w:start w:val="3"/>
    </w:lvl>
  </w:abstractNum>
  <w:abstractNum w:abstractNumId="34">
    <w:nsid w:val="6AA78F7F"/>
    <w:multiLevelType w:val="hybridMultilevel"/>
    <w:lvl w:ilvl="0">
      <w:lvlJc w:val="left"/>
      <w:lvlText w:val="(%1)"/>
      <w:numFmt w:val="lowerLetter"/>
      <w:start w:val="4"/>
    </w:lvl>
    <w:lvl w:ilvl="1">
      <w:lvlJc w:val="left"/>
      <w:lvlText w:val="(%2)"/>
      <w:numFmt w:val="lowerRoman"/>
      <w:start w:val="1"/>
    </w:lvl>
  </w:abstractNum>
  <w:abstractNum w:abstractNumId="35">
    <w:nsid w:val="7672BD23"/>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36">
    <w:nsid w:val="6FC75AF8"/>
    <w:multiLevelType w:val="hybridMultilevel"/>
    <w:lvl w:ilvl="0">
      <w:lvlJc w:val="left"/>
      <w:lvlText w:val="(%1)"/>
      <w:numFmt w:val="lowerLetter"/>
      <w:start w:val="5"/>
    </w:lvl>
    <w:lvl w:ilvl="1">
      <w:lvlJc w:val="left"/>
      <w:lvlText w:val="(%2)"/>
      <w:numFmt w:val="lowerLetter"/>
      <w:start w:val="21"/>
    </w:lvl>
    <w:lvl w:ilvl="2">
      <w:lvlJc w:val="left"/>
      <w:lvlText w:val="(%3)"/>
      <w:numFmt w:val="lowerRoman"/>
      <w:start w:val="1"/>
    </w:lvl>
  </w:abstractNum>
  <w:abstractNum w:abstractNumId="37">
    <w:nsid w:val="6A5F7029"/>
    <w:multiLevelType w:val="hybridMultilevel"/>
    <w:lvl w:ilvl="0">
      <w:lvlJc w:val="left"/>
      <w:lvlText w:val="(%1)"/>
      <w:numFmt w:val="lowerRoman"/>
      <w:start w:val="6"/>
    </w:lvl>
  </w:abstractNum>
  <w:abstractNum w:abstractNumId="38">
    <w:nsid w:val="7D5E18F8"/>
    <w:multiLevelType w:val="hybridMultilevel"/>
    <w:lvl w:ilvl="0">
      <w:lvlJc w:val="left"/>
      <w:lvlText w:val="(%1)"/>
      <w:numFmt w:val="lowerRoman"/>
      <w:start w:val="8"/>
    </w:lvl>
    <w:lvl w:ilvl="1">
      <w:lvlJc w:val="left"/>
      <w:lvlText w:val="(%2)"/>
      <w:numFmt w:val="lowerRoman"/>
      <w:start w:val="9"/>
    </w:lvl>
  </w:abstractNum>
  <w:abstractNum w:abstractNumId="39">
    <w:nsid w:val="5F3534A4"/>
    <w:multiLevelType w:val="hybridMultilevel"/>
    <w:lvl w:ilvl="0">
      <w:lvlJc w:val="left"/>
      <w:lvlText w:val="(%1)"/>
      <w:numFmt w:val="lowerLetter"/>
      <w:start w:val="6"/>
    </w:lvl>
  </w:abstractNum>
  <w:abstractNum w:abstractNumId="40">
    <w:nsid w:val="73A1821B"/>
    <w:multiLevelType w:val="hybridMultilevel"/>
    <w:lvl w:ilvl="0">
      <w:lvlJc w:val="left"/>
      <w:lvlText w:val="(%1)"/>
      <w:numFmt w:val="lowerLetter"/>
      <w:start w:val="7"/>
    </w:lvl>
  </w:abstractNum>
  <w:abstractNum w:abstractNumId="41">
    <w:nsid w:val="7DE67713"/>
    <w:multiLevelType w:val="hybridMultilevel"/>
    <w:lvl w:ilvl="0">
      <w:lvlJc w:val="left"/>
      <w:lvlText w:val="(%1)"/>
      <w:numFmt w:val="lowerLetter"/>
      <w:start w:val="10"/>
    </w:lvl>
  </w:abstractNum>
  <w:abstractNum w:abstractNumId="42">
    <w:nsid w:val="555C55B5"/>
    <w:multiLevelType w:val="hybridMultilevel"/>
    <w:lvl w:ilvl="0">
      <w:lvlJc w:val="left"/>
      <w:lvlText w:val="(%1)"/>
      <w:numFmt w:val="lowerLetter"/>
      <w:start w:val="1"/>
    </w:lvl>
  </w:abstractNum>
  <w:abstractNum w:abstractNumId="43">
    <w:nsid w:val="3FA62ACA"/>
    <w:multiLevelType w:val="hybridMultilevel"/>
    <w:lvl w:ilvl="0">
      <w:lvlJc w:val="left"/>
      <w:lvlText w:val="(%1)"/>
      <w:numFmt w:val="lowerLetter"/>
      <w:start w:val="3"/>
    </w:lvl>
    <w:lvl w:ilvl="1">
      <w:lvlJc w:val="left"/>
      <w:lvlText w:val="(%2)"/>
      <w:numFmt w:val="lowerRoman"/>
      <w:start w:val="1"/>
    </w:lvl>
  </w:abstractNum>
  <w:abstractNum w:abstractNumId="44">
    <w:nsid w:val="14FCE74E"/>
    <w:multiLevelType w:val="hybridMultilevel"/>
    <w:lvl w:ilvl="0">
      <w:lvlJc w:val="left"/>
      <w:lvlText w:val="(%1)"/>
      <w:numFmt w:val="lowerLetter"/>
      <w:start w:val="61"/>
    </w:lvl>
    <w:lvl w:ilvl="1">
      <w:lvlJc w:val="left"/>
      <w:lvlText w:val="%2"/>
      <w:numFmt w:val="lowerRoman"/>
      <w:start w:val="1"/>
    </w:lvl>
  </w:abstractNum>
  <w:abstractNum w:abstractNumId="45">
    <w:nsid w:val="6A3DD3E8"/>
    <w:multiLevelType w:val="hybridMultilevel"/>
    <w:lvl w:ilvl="0">
      <w:lvlJc w:val="left"/>
      <w:lvlText w:val="%1"/>
      <w:numFmt w:val="lowerLetter"/>
      <w:start w:val="1"/>
    </w:lvl>
    <w:lvl w:ilvl="1">
      <w:lvlJc w:val="left"/>
      <w:lvlText w:val="(%2)"/>
      <w:numFmt w:val="lowerRoman"/>
      <w:start w:val="4"/>
    </w:lvl>
  </w:abstractNum>
  <w:abstractNum w:abstractNumId="46">
    <w:nsid w:val="71C91298"/>
    <w:multiLevelType w:val="hybridMultilevel"/>
    <w:lvl w:ilvl="0">
      <w:lvlJc w:val="left"/>
      <w:lvlText w:val="(%1)"/>
      <w:numFmt w:val="lowerLetter"/>
      <w:start w:val="4"/>
    </w:lvl>
    <w:lvl w:ilvl="1">
      <w:lvlJc w:val="left"/>
      <w:lvlText w:val="(%2)"/>
      <w:numFmt w:val="lowerRoman"/>
      <w:start w:val="1"/>
    </w:lvl>
  </w:abstractNum>
  <w:abstractNum w:abstractNumId="47">
    <w:nsid w:val="9DAF632"/>
    <w:multiLevelType w:val="hybridMultilevel"/>
    <w:lvl w:ilvl="0">
      <w:lvlJc w:val="left"/>
      <w:lvlText w:val="(%1)"/>
      <w:numFmt w:val="lowerLetter"/>
      <w:start w:val="1"/>
    </w:lvl>
    <w:lvl w:ilvl="1">
      <w:lvlJc w:val="left"/>
      <w:lvlText w:val="(%2)"/>
      <w:numFmt w:val="lowerLetter"/>
      <w:start w:val="9"/>
    </w:lvl>
  </w:abstractNum>
  <w:abstractNum w:abstractNumId="48">
    <w:nsid w:val="53299938"/>
    <w:multiLevelType w:val="hybridMultilevel"/>
    <w:lvl w:ilvl="0">
      <w:lvlJc w:val="left"/>
      <w:lvlText w:val="%1"/>
      <w:numFmt w:val="lowerLetter"/>
      <w:start w:val="1"/>
    </w:lvl>
    <w:lvl w:ilvl="1">
      <w:lvlJc w:val="left"/>
      <w:lvlText w:val="(%2)"/>
      <w:numFmt w:val="lowerLetter"/>
      <w:start w:val="35"/>
    </w:lvl>
  </w:abstractNum>
  <w:abstractNum w:abstractNumId="49">
    <w:nsid w:val="1FBFE8E0"/>
    <w:multiLevelType w:val="hybridMultilevel"/>
    <w:lvl w:ilvl="0">
      <w:lvlJc w:val="left"/>
      <w:lvlText w:val="(%1)"/>
      <w:numFmt w:val="lowerLetter"/>
      <w:start w:val="2"/>
    </w:lvl>
    <w:lvl w:ilvl="1">
      <w:lvlJc w:val="left"/>
      <w:lvlText w:val="(%2)"/>
      <w:numFmt w:val="lowerLetter"/>
      <w:start w:val="9"/>
    </w:lvl>
  </w:abstractNum>
  <w:abstractNum w:abstractNumId="50">
    <w:nsid w:val="5092CA79"/>
    <w:multiLevelType w:val="hybridMultilevel"/>
    <w:lvl w:ilvl="0">
      <w:lvlJc w:val="left"/>
      <w:lvlText w:val="(%1)"/>
      <w:numFmt w:val="lowerRoman"/>
      <w:start w:val="2"/>
    </w:lvl>
  </w:abstractNum>
  <w:abstractNum w:abstractNumId="51">
    <w:nsid w:val="1D545C4D"/>
    <w:multiLevelType w:val="hybridMultilevel"/>
    <w:lvl w:ilvl="0">
      <w:lvlJc w:val="left"/>
      <w:lvlText w:val="(%1)"/>
      <w:numFmt w:val="lowerRoman"/>
      <w:start w:val="3"/>
    </w:lvl>
    <w:lvl w:ilvl="1">
      <w:lvlJc w:val="left"/>
      <w:lvlText w:val="(%2)"/>
      <w:numFmt w:val="upperLetter"/>
      <w:start w:val="1"/>
    </w:lvl>
  </w:abstractNum>
  <w:abstractNum w:abstractNumId="52">
    <w:nsid w:val="59ADEA3D"/>
    <w:multiLevelType w:val="hybridMultilevel"/>
    <w:lvl w:ilvl="0">
      <w:lvlJc w:val="left"/>
      <w:lvlText w:val="(%1)"/>
      <w:numFmt w:val="lowerLetter"/>
      <w:start w:val="1"/>
    </w:lvl>
  </w:abstractNum>
  <w:abstractNum w:abstractNumId="53">
    <w:nsid w:val="288F1A34"/>
    <w:multiLevelType w:val="hybridMultilevel"/>
    <w:lvl w:ilvl="0">
      <w:lvlJc w:val="left"/>
      <w:lvlText w:val="(%1)"/>
      <w:numFmt w:val="lowerLetter"/>
      <w:start w:val="1"/>
    </w:lvl>
    <w:lvl w:ilvl="1">
      <w:lvlJc w:val="left"/>
      <w:lvlText w:val="(%2)"/>
      <w:numFmt w:val="lowerRoman"/>
      <w:start w:val="2"/>
    </w:lvl>
  </w:abstractNum>
  <w:abstractNum w:abstractNumId="54">
    <w:nsid w:val="2A155DBC"/>
    <w:multiLevelType w:val="hybridMultilevel"/>
    <w:lvl w:ilvl="0">
      <w:lvlJc w:val="left"/>
      <w:lvlText w:val="(%1)"/>
      <w:numFmt w:val="lowerLetter"/>
      <w:start w:val="1"/>
    </w:lvl>
    <w:lvl w:ilvl="1">
      <w:lvlJc w:val="left"/>
      <w:lvlText w:val="(%2)"/>
      <w:numFmt w:val="lowerRoman"/>
      <w:start w:val="1"/>
    </w:lvl>
  </w:abstractNum>
  <w:abstractNum w:abstractNumId="55">
    <w:nsid w:val="1D9F6E5F"/>
    <w:multiLevelType w:val="hybridMultilevel"/>
    <w:lvl w:ilvl="0">
      <w:lvlJc w:val="left"/>
      <w:lvlText w:val="(%1)"/>
      <w:numFmt w:val="lowerLetter"/>
      <w:start w:val="1"/>
    </w:lvl>
  </w:abstractNum>
  <w:abstractNum w:abstractNumId="56">
    <w:nsid w:val="97E1B4E"/>
    <w:multiLevelType w:val="hybridMultilevel"/>
    <w:lvl w:ilvl="0">
      <w:lvlJc w:val="left"/>
      <w:lvlText w:val="(%1)"/>
      <w:numFmt w:val="lowerLetter"/>
      <w:start w:val="2"/>
    </w:lvl>
  </w:abstractNum>
  <w:abstractNum w:abstractNumId="57">
    <w:nsid w:val="51088277"/>
    <w:multiLevelType w:val="hybridMultilevel"/>
    <w:lvl w:ilvl="0">
      <w:lvlJc w:val="left"/>
      <w:lvlText w:val="(%1)"/>
      <w:numFmt w:val="lowerLetter"/>
      <w:start w:val="1"/>
    </w:lvl>
  </w:abstractNum>
  <w:abstractNum w:abstractNumId="58">
    <w:nsid w:val="1CA0C5FA"/>
    <w:multiLevelType w:val="hybridMultilevel"/>
    <w:lvl w:ilvl="0">
      <w:lvlJc w:val="left"/>
      <w:lvlText w:val="%1"/>
      <w:numFmt w:val="lowerLetter"/>
      <w:start w:val="1"/>
    </w:lvl>
    <w:lvl w:ilvl="1">
      <w:lvlJc w:val="left"/>
      <w:lvlText w:val="(%2)"/>
      <w:numFmt w:val="lowerRoman"/>
      <w:start w:val="2"/>
    </w:lvl>
  </w:abstractNum>
  <w:abstractNum w:abstractNumId="59">
    <w:nsid w:val="53584BCB"/>
    <w:multiLevelType w:val="hybridMultilevel"/>
    <w:lvl w:ilvl="0">
      <w:lvlJc w:val="left"/>
      <w:lvlText w:val="(%1)"/>
      <w:numFmt w:val="lowerLetter"/>
      <w:start w:val="3"/>
    </w:lvl>
    <w:lvl w:ilvl="1">
      <w:lvlJc w:val="left"/>
      <w:lvlText w:val="%2"/>
      <w:numFmt w:val="lowerRoman"/>
      <w:start w:val="1"/>
    </w:lvl>
  </w:abstractNum>
  <w:abstractNum w:abstractNumId="60">
    <w:nsid w:val="415E286C"/>
    <w:multiLevelType w:val="hybridMultilevel"/>
    <w:lvl w:ilvl="0">
      <w:lvlJc w:val="left"/>
      <w:lvlText w:val="(%1)"/>
      <w:numFmt w:val="lowerLetter"/>
      <w:start w:val="5"/>
    </w:lvl>
  </w:abstractNum>
  <w:abstractNum w:abstractNumId="61">
    <w:nsid w:val="7C58FD05"/>
    <w:multiLevelType w:val="hybridMultilevel"/>
    <w:lvl w:ilvl="0">
      <w:lvlJc w:val="left"/>
      <w:lvlText w:val="(%1)"/>
      <w:numFmt w:val="lowerLetter"/>
      <w:start w:val="2"/>
    </w:lvl>
    <w:lvl w:ilvl="1">
      <w:lvlJc w:val="left"/>
      <w:lvlText w:val="(%2)"/>
      <w:numFmt w:val="lowerRoman"/>
      <w:start w:val="1"/>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1"/>
    </w:lvl>
    <w:lvl w:ilvl="1">
      <w:lvlJc w:val="left"/>
      <w:lvlText w:val="(%2)"/>
      <w:numFmt w:val="lowerLetter"/>
      <w:start w:val="3"/>
    </w:lvl>
  </w:abstractNum>
  <w:abstractNum w:abstractNumId="64">
    <w:nsid w:val="5C10FE21"/>
    <w:multiLevelType w:val="hybridMultilevel"/>
    <w:lvl w:ilvl="0">
      <w:lvlJc w:val="left"/>
      <w:lvlText w:val="(%1)"/>
      <w:numFmt w:val="lowerLetter"/>
      <w:start w:val="5"/>
    </w:lvl>
    <w:lvl w:ilvl="1">
      <w:lvlJc w:val="left"/>
      <w:lvlText w:val="%2"/>
      <w:numFmt w:val="lowerLetter"/>
      <w:start w:val="1"/>
    </w:lvl>
  </w:abstractNum>
  <w:abstractNum w:abstractNumId="65">
    <w:nsid w:val="E7FFA2B"/>
    <w:multiLevelType w:val="hybridMultilevel"/>
    <w:lvl w:ilvl="0">
      <w:lvlJc w:val="left"/>
      <w:lvlText w:val="(%1)"/>
      <w:numFmt w:val="lowerLetter"/>
      <w:start w:val="1"/>
    </w:lvl>
  </w:abstractNum>
  <w:abstractNum w:abstractNumId="66">
    <w:nsid w:val="3C5991AA"/>
    <w:multiLevelType w:val="hybridMultilevel"/>
    <w:lvl w:ilvl="0">
      <w:lvlJc w:val="left"/>
      <w:lvlText w:val="(%1)"/>
      <w:numFmt w:val="lowerLetter"/>
      <w:start w:val="2"/>
    </w:lvl>
  </w:abstractNum>
  <w:abstractNum w:abstractNumId="67">
    <w:nsid w:val="4BD8591A"/>
    <w:multiLevelType w:val="hybridMultilevel"/>
    <w:lvl w:ilvl="0">
      <w:lvlJc w:val="left"/>
      <w:lvlText w:val="(%1)"/>
      <w:numFmt w:val="lowerLetter"/>
      <w:start w:val="1"/>
    </w:lvl>
    <w:lvl w:ilvl="1">
      <w:lvlJc w:val="left"/>
      <w:lvlText w:val="(%2)"/>
      <w:numFmt w:val="lowerRoman"/>
      <w:start w:val="1"/>
    </w:lvl>
  </w:abstractNum>
  <w:abstractNum w:abstractNumId="68">
    <w:nsid w:val="78DF6A55"/>
    <w:multiLevelType w:val="hybridMultilevel"/>
    <w:lvl w:ilvl="0">
      <w:lvlJc w:val="left"/>
      <w:lvlText w:val="%1"/>
      <w:numFmt w:val="lowerLetter"/>
      <w:start w:val="1"/>
    </w:lvl>
    <w:lvl w:ilvl="1">
      <w:lvlJc w:val="left"/>
      <w:lvlText w:val="(%2)"/>
      <w:numFmt w:val="upperLetter"/>
      <w:start w:val="1"/>
    </w:lvl>
  </w:abstractNum>
  <w:abstractNum w:abstractNumId="69">
    <w:nsid w:val="39B7AAA2"/>
    <w:multiLevelType w:val="hybridMultilevel"/>
    <w:lvl w:ilvl="0">
      <w:lvlJc w:val="left"/>
      <w:lvlText w:val="(%1)"/>
      <w:numFmt w:val="lowerLetter"/>
      <w:start w:val="2"/>
    </w:lvl>
    <w:lvl w:ilvl="1">
      <w:lvlJc w:val="left"/>
      <w:lvlText w:val="%2"/>
      <w:numFmt w:val="upperLetter"/>
      <w:start w:val="1"/>
    </w:lvl>
  </w:abstractNum>
  <w:abstractNum w:abstractNumId="70">
    <w:nsid w:val="2B0D8DBE"/>
    <w:multiLevelType w:val="hybridMultilevel"/>
    <w:lvl w:ilvl="0">
      <w:lvlJc w:val="left"/>
      <w:lvlText w:val="(%1)"/>
      <w:numFmt w:val="lowerLetter"/>
      <w:start w:val="1"/>
    </w:lvl>
    <w:lvl w:ilvl="1">
      <w:lvlJc w:val="left"/>
      <w:lvlText w:val="(%2)"/>
      <w:numFmt w:val="lowerRoman"/>
      <w:start w:val="1"/>
    </w:lvl>
  </w:abstractNum>
  <w:abstractNum w:abstractNumId="71">
    <w:nsid w:val="6C80EC70"/>
    <w:multiLevelType w:val="hybridMultilevel"/>
    <w:lvl w:ilvl="0">
      <w:lvlJc w:val="left"/>
      <w:lvlText w:val="(%1)"/>
      <w:numFmt w:val="lowerLetter"/>
      <w:start w:val="3"/>
    </w:lvl>
    <w:lvl w:ilvl="1">
      <w:lvlJc w:val="left"/>
      <w:lvlText w:val="(%2)"/>
      <w:numFmt w:val="lowerLetter"/>
      <w:start w:val="35"/>
    </w:lvl>
  </w:abstractNum>
  <w:abstractNum w:abstractNumId="72">
    <w:nsid w:val="379E21B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73">
    <w:nsid w:val="69E37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74">
    <w:nsid w:val="2C27173B"/>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75">
    <w:nsid w:val="4C9B0904"/>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76">
    <w:nsid w:val="6AA7B75C"/>
    <w:multiLevelType w:val="hybridMultilevel"/>
    <w:lvl w:ilvl="0">
      <w:lvlJc w:val="left"/>
      <w:lvlText w:val="(%1)"/>
      <w:numFmt w:val="lowerLetter"/>
      <w:start w:val="6"/>
    </w:lvl>
  </w:abstractNum>
  <w:abstractNum w:abstractNumId="77">
    <w:nsid w:val="1DF029D3"/>
    <w:multiLevelType w:val="hybridMultilevel"/>
    <w:lvl w:ilvl="0">
      <w:lvlJc w:val="left"/>
      <w:lvlText w:val="(%1)"/>
      <w:numFmt w:val="lowerLetter"/>
      <w:start w:val="1"/>
    </w:lvl>
  </w:abstractNum>
  <w:abstractNum w:abstractNumId="78">
    <w:nsid w:val="5675FF36"/>
    <w:multiLevelType w:val="hybridMultilevel"/>
    <w:lvl w:ilvl="0">
      <w:lvlJc w:val="left"/>
      <w:lvlText w:val="(%1)"/>
      <w:numFmt w:val="lowerLetter"/>
      <w:start w:val="2"/>
    </w:lvl>
  </w:abstractNum>
  <w:abstractNum w:abstractNumId="79">
    <w:nsid w:val="3DD15094"/>
    <w:multiLevelType w:val="hybridMultilevel"/>
    <w:lvl w:ilvl="0">
      <w:lvlJc w:val="left"/>
      <w:lvlText w:val="(%1)"/>
      <w:numFmt w:val="lowerLetter"/>
      <w:start w:val="1"/>
    </w:lvl>
    <w:lvl w:ilvl="1">
      <w:lvlJc w:val="left"/>
      <w:lvlText w:val="(%2)"/>
      <w:numFmt w:val="lowerRoman"/>
      <w:start w:val="1"/>
    </w:lvl>
  </w:abstractNum>
  <w:abstractNum w:abstractNumId="80">
    <w:nsid w:val="3DB012B3"/>
    <w:multiLevelType w:val="hybridMultilevel"/>
    <w:lvl w:ilvl="0">
      <w:lvlJc w:val="left"/>
      <w:lvlText w:val="(%1)"/>
      <w:numFmt w:val="lowerLetter"/>
      <w:start w:val="2"/>
    </w:lvl>
  </w:abstractNum>
  <w:abstractNum w:abstractNumId="81">
    <w:nsid w:val="2708C9AF"/>
    <w:multiLevelType w:val="hybridMultilevel"/>
    <w:lvl w:ilvl="0">
      <w:lvlJc w:val="left"/>
      <w:lvlText w:val="(%1)"/>
      <w:numFmt w:val="lowerLetter"/>
      <w:start w:val="3"/>
    </w:lvl>
  </w:abstractNum>
  <w:abstractNum w:abstractNumId="82">
    <w:nsid w:val="5B25ACE2"/>
    <w:multiLevelType w:val="hybridMultilevel"/>
    <w:lvl w:ilvl="0">
      <w:lvlJc w:val="left"/>
      <w:lvlText w:val="(%1)"/>
      <w:numFmt w:val="lowerLetter"/>
      <w:start w:val="1"/>
    </w:lvl>
  </w:abstractNum>
  <w:abstractNum w:abstractNumId="83">
    <w:nsid w:val="175DFCF0"/>
    <w:multiLevelType w:val="hybridMultilevel"/>
    <w:lvl w:ilvl="0">
      <w:lvlJc w:val="left"/>
      <w:lvlText w:val="(%1)"/>
      <w:numFmt w:val="lowerLetter"/>
      <w:start w:val="1"/>
    </w:lvl>
  </w:abstractNum>
  <w:abstractNum w:abstractNumId="84">
    <w:nsid w:val="4F97E3E4"/>
    <w:multiLevelType w:val="hybridMultilevel"/>
    <w:lvl w:ilvl="0">
      <w:lvlJc w:val="left"/>
      <w:lvlText w:val="(%1)"/>
      <w:numFmt w:val="lowerLetter"/>
      <w:start w:val="1"/>
    </w:lvl>
  </w:abstractNum>
  <w:abstractNum w:abstractNumId="85">
    <w:nsid w:val="53B0A9E"/>
    <w:multiLevelType w:val="hybridMultilevel"/>
    <w:lvl w:ilvl="0">
      <w:lvlJc w:val="left"/>
      <w:lvlText w:val="(%1)"/>
      <w:numFmt w:val="lowerLetter"/>
      <w:start w:val="3"/>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1"/>
    </w:lvl>
    <w:lvl w:ilvl="1">
      <w:lvlJc w:val="left"/>
      <w:lvlText w:val="(%2)"/>
      <w:numFmt w:val="lowerRoman"/>
      <w:start w:val="1"/>
    </w:lvl>
  </w:abstractNum>
  <w:abstractNum w:abstractNumId="88">
    <w:nsid w:val="56438D15"/>
    <w:multiLevelType w:val="hybridMultilevel"/>
    <w:lvl w:ilvl="0">
      <w:lvlJc w:val="left"/>
      <w:lvlText w:val="%1"/>
      <w:numFmt w:val="lowerLetter"/>
      <w:start w:val="1"/>
    </w:lvl>
    <w:lvl w:ilvl="1">
      <w:lvlJc w:val="left"/>
      <w:lvlText w:val="(%2)"/>
      <w:numFmt w:val="lowerRoman"/>
      <w:start w:val="4"/>
    </w:lvl>
  </w:abstractNum>
  <w:abstractNum w:abstractNumId="89">
    <w:nsid w:val="519E3149"/>
    <w:multiLevelType w:val="hybridMultilevel"/>
    <w:lvl w:ilvl="0">
      <w:lvlJc w:val="left"/>
      <w:lvlText w:val="(%1)"/>
      <w:numFmt w:val="lowerLetter"/>
      <w:start w:val="6"/>
    </w:lvl>
    <w:lvl w:ilvl="1">
      <w:lvlJc w:val="left"/>
      <w:lvlText w:val="%2"/>
      <w:numFmt w:val="lowerRoman"/>
      <w:start w:val="1"/>
    </w:lvl>
  </w:abstractNum>
  <w:abstractNum w:abstractNumId="90">
    <w:nsid w:val="2C6E4AFD"/>
    <w:multiLevelType w:val="hybridMultilevel"/>
    <w:lvl w:ilvl="0">
      <w:lvlJc w:val="left"/>
      <w:lvlText w:val="(%1)"/>
      <w:numFmt w:val="lowerLetter"/>
      <w:start w:val="1"/>
    </w:lvl>
  </w:abstractNum>
  <w:abstractNum w:abstractNumId="91">
    <w:nsid w:val="17A1B582"/>
    <w:multiLevelType w:val="hybridMultilevel"/>
    <w:lvl w:ilvl="0">
      <w:lvlJc w:val="left"/>
      <w:lvlText w:val="%1"/>
      <w:numFmt w:val="lowerLetter"/>
      <w:start w:val="1"/>
    </w:lvl>
    <w:lvl w:ilvl="1">
      <w:lvlJc w:val="left"/>
      <w:lvlText w:val="(%2)"/>
      <w:numFmt w:val="lowerLetter"/>
      <w:start w:val="1"/>
    </w:lvl>
  </w:abstractNum>
  <w:abstractNum w:abstractNumId="92">
    <w:nsid w:val="4DF72E4E"/>
    <w:multiLevelType w:val="hybridMultilevel"/>
    <w:lvl w:ilvl="0">
      <w:lvlJc w:val="left"/>
      <w:lvlText w:val="(%1)"/>
      <w:numFmt w:val="lowerLetter"/>
      <w:start w:val="9"/>
    </w:lvl>
    <w:lvl w:ilvl="1">
      <w:lvlJc w:val="left"/>
      <w:lvlText w:val="(%2)"/>
      <w:numFmt w:val="lowerLetter"/>
      <w:start w:val="2"/>
    </w:lvl>
  </w:abstractNum>
  <w:abstractNum w:abstractNumId="93">
    <w:nsid w:val="5046B5A9"/>
    <w:multiLevelType w:val="hybridMultilevel"/>
    <w:lvl w:ilvl="0">
      <w:lvlJc w:val="left"/>
      <w:lvlText w:val="(%1)"/>
      <w:numFmt w:val="lowerLetter"/>
      <w:start w:val="1"/>
    </w:lvl>
  </w:abstractNum>
  <w:abstractNum w:abstractNumId="94">
    <w:nsid w:val="5D888A08"/>
    <w:multiLevelType w:val="hybridMultilevel"/>
    <w:lvl w:ilvl="0">
      <w:lvlJc w:val="left"/>
      <w:lvlText w:val="(%1)"/>
      <w:numFmt w:val="lowerLetter"/>
      <w:start w:val="1"/>
    </w:lvl>
  </w:abstractNum>
  <w:abstractNum w:abstractNumId="95">
    <w:nsid w:val="2A082C70"/>
    <w:multiLevelType w:val="hybridMultilevel"/>
    <w:lvl w:ilvl="0">
      <w:lvlJc w:val="left"/>
      <w:lvlText w:val="(%1)"/>
      <w:numFmt w:val="lowerLetter"/>
      <w:start w:val="3"/>
    </w:lvl>
    <w:lvl w:ilvl="1">
      <w:lvlJc w:val="left"/>
      <w:lvlText w:val="(%2)"/>
      <w:numFmt w:val="lowerRoman"/>
      <w:start w:val="1"/>
    </w:lvl>
  </w:abstractNum>
  <w:abstractNum w:abstractNumId="96">
    <w:nsid w:val="5EC6AFD4"/>
    <w:multiLevelType w:val="hybridMultilevel"/>
    <w:lvl w:ilvl="0">
      <w:lvlJc w:val="left"/>
      <w:lvlText w:val="%1"/>
      <w:numFmt w:val="lowerLetter"/>
      <w:start w:val="1"/>
    </w:lvl>
    <w:lvl w:ilvl="1">
      <w:lvlJc w:val="left"/>
      <w:lvlText w:val="(%2)"/>
      <w:numFmt w:val="lowerLetter"/>
      <w:start w:val="22"/>
    </w:lvl>
  </w:abstractNum>
  <w:abstractNum w:abstractNumId="97">
    <w:nsid w:val="19E21BB2"/>
    <w:multiLevelType w:val="hybridMultilevel"/>
    <w:lvl w:ilvl="0">
      <w:lvlJc w:val="left"/>
      <w:lvlText w:val="(%1)"/>
      <w:numFmt w:val="lowerLetter"/>
      <w:start w:val="6"/>
    </w:lvl>
    <w:lvl w:ilvl="1">
      <w:lvlJc w:val="left"/>
      <w:lvlText w:val="%2"/>
      <w:numFmt w:val="lowerLetter"/>
      <w:start w:val="1"/>
    </w:lvl>
  </w:abstractNum>
  <w:abstractNum w:abstractNumId="98">
    <w:nsid w:val="75E0858A"/>
    <w:multiLevelType w:val="hybridMultilevel"/>
    <w:lvl w:ilvl="0">
      <w:lvlJc w:val="left"/>
      <w:lvlText w:val="(%1)"/>
      <w:numFmt w:val="lowerLetter"/>
      <w:start w:val="1"/>
    </w:lvl>
  </w:abstractNum>
  <w:abstractNum w:abstractNumId="99">
    <w:nsid w:val="57A61A29"/>
    <w:multiLevelType w:val="hybridMultilevel"/>
    <w:lvl w:ilvl="0">
      <w:lvlJc w:val="left"/>
      <w:lvlText w:val="(%1)"/>
      <w:numFmt w:val="lowerLetter"/>
      <w:start w:val="1"/>
    </w:lvl>
  </w:abstractNum>
  <w:abstractNum w:abstractNumId="100">
    <w:nsid w:val="5399C654"/>
    <w:multiLevelType w:val="hybridMultilevel"/>
    <w:lvl w:ilvl="0">
      <w:lvlJc w:val="left"/>
      <w:lvlText w:val="(%1)"/>
      <w:numFmt w:val="lowerLetter"/>
      <w:start w:val="1"/>
    </w:lvl>
  </w:abstractNum>
  <w:abstractNum w:abstractNumId="101">
    <w:nsid w:val="20EE1348"/>
    <w:multiLevelType w:val="hybridMultilevel"/>
    <w:lvl w:ilvl="0">
      <w:lvlJc w:val="left"/>
      <w:lvlText w:val="%1"/>
      <w:numFmt w:val="lowerLetter"/>
      <w:start w:val="1"/>
    </w:lvl>
    <w:lvl w:ilvl="1">
      <w:lvlJc w:val="left"/>
      <w:lvlText w:val="(%2)"/>
      <w:numFmt w:val="lowerLetter"/>
      <w:start w:val="1"/>
    </w:lvl>
  </w:abstractNum>
  <w:abstractNum w:abstractNumId="102">
    <w:nsid w:val="4427069A"/>
    <w:multiLevelType w:val="hybridMultilevel"/>
    <w:lvl w:ilvl="0">
      <w:lvlJc w:val="left"/>
      <w:lvlText w:val="(%1)"/>
      <w:numFmt w:val="lowerLetter"/>
      <w:start w:val="9"/>
    </w:lvl>
    <w:lvl w:ilvl="1">
      <w:lvlJc w:val="left"/>
      <w:lvlText w:val="%2"/>
      <w:numFmt w:val="lowerLetter"/>
      <w:start w:val="1"/>
    </w:lvl>
  </w:abstractNum>
  <w:abstractNum w:abstractNumId="103">
    <w:nsid w:val="B37E80A"/>
    <w:multiLevelType w:val="hybridMultilevel"/>
    <w:lvl w:ilvl="0">
      <w:lvlJc w:val="left"/>
      <w:lvlText w:val="(%1)"/>
      <w:numFmt w:val="lowerLetter"/>
      <w:start w:val="3"/>
    </w:lvl>
  </w:abstractNum>
  <w:abstractNum w:abstractNumId="104">
    <w:nsid w:val="2157F6BC"/>
    <w:multiLevelType w:val="hybridMultilevel"/>
    <w:lvl w:ilvl="0">
      <w:lvlJc w:val="left"/>
      <w:lvlText w:val="(%1)"/>
      <w:numFmt w:val="lowerLetter"/>
      <w:start w:val="17"/>
    </w:lvl>
  </w:abstractNum>
  <w:abstractNum w:abstractNumId="105">
    <w:nsid w:val="704E1DD5"/>
    <w:multiLevelType w:val="hybridMultilevel"/>
    <w:lvl w:ilvl="0">
      <w:lvlJc w:val="left"/>
      <w:lvlText w:val="%1"/>
      <w:numFmt w:val="lowerLetter"/>
      <w:start w:val="1"/>
    </w:lvl>
    <w:lvl w:ilvl="1">
      <w:lvlJc w:val="left"/>
      <w:lvlText w:val="(%2)"/>
      <w:numFmt w:val="lowerLetter"/>
      <w:start w:val="1"/>
    </w:lvl>
  </w:abstractNum>
  <w:abstractNum w:abstractNumId="106">
    <w:nsid w:val="57D2F10E"/>
    <w:multiLevelType w:val="hybridMultilevel"/>
    <w:lvl w:ilvl="0">
      <w:lvlJc w:val="left"/>
      <w:lvlText w:val="(%1)"/>
      <w:numFmt w:val="lowerLetter"/>
      <w:start w:val="9"/>
    </w:lvl>
    <w:lvl w:ilvl="1">
      <w:lvlJc w:val="left"/>
      <w:lvlText w:val="(%2)"/>
      <w:numFmt w:val="lowerLetter"/>
      <w:start w:val="5"/>
    </w:lvl>
  </w:abstractNum>
  <w:abstractNum w:abstractNumId="107">
    <w:nsid w:val="BFFAE18"/>
    <w:multiLevelType w:val="hybridMultilevel"/>
    <w:lvl w:ilvl="0">
      <w:lvlJc w:val="left"/>
      <w:lvlText w:val="(%1)"/>
      <w:numFmt w:val="lowerLetter"/>
      <w:start w:val="6"/>
    </w:lvl>
  </w:abstractNum>
  <w:abstractNum w:abstractNumId="108">
    <w:nsid w:val="E3E47A8"/>
    <w:multiLevelType w:val="hybridMultilevel"/>
    <w:lvl w:ilvl="0">
      <w:lvlJc w:val="left"/>
      <w:lvlText w:val="(%1)"/>
      <w:numFmt w:val="lowerLetter"/>
      <w:start w:val="13"/>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lowerLetter"/>
      <w:start w:val="61"/>
    </w:lvl>
    <w:lvl w:ilvl="1">
      <w:lvlJc w:val="left"/>
      <w:lvlText w:val="(%2)"/>
      <w:numFmt w:val="lowerLetter"/>
      <w:start w:val="2"/>
    </w:lvl>
  </w:abstractNum>
  <w:abstractNum w:abstractNumId="111">
    <w:nsid w:val="4BEE5A5B"/>
    <w:multiLevelType w:val="hybridMultilevel"/>
    <w:lvl w:ilvl="0">
      <w:lvlJc w:val="left"/>
      <w:lvlText w:val="(%1)"/>
      <w:numFmt w:val="lowerLetter"/>
      <w:start w:val="2"/>
    </w:lvl>
  </w:abstractNum>
  <w:abstractNum w:abstractNumId="112">
    <w:nsid w:val="5551B9F3"/>
    <w:multiLevelType w:val="hybridMultilevel"/>
    <w:lvl w:ilvl="0">
      <w:lvlJc w:val="left"/>
      <w:lvlText w:val="(%1)"/>
      <w:numFmt w:val="lowerLetter"/>
      <w:start w:val="9"/>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1"/>
    </w:lvl>
    <w:lvl w:ilvl="1">
      <w:lvlJc w:val="left"/>
      <w:lvlText w:val="(%2)"/>
      <w:numFmt w:val="lowerLetter"/>
      <w:start w:val="3"/>
    </w:lvl>
  </w:abstractNum>
  <w:abstractNum w:abstractNumId="116">
    <w:nsid w:val="2A31B62D"/>
    <w:multiLevelType w:val="hybridMultilevel"/>
    <w:lvl w:ilvl="0">
      <w:lvlJc w:val="left"/>
      <w:lvlText w:val="(%1)"/>
      <w:numFmt w:val="lowerLetter"/>
      <w:start w:val="4"/>
    </w:lvl>
    <w:lvl w:ilvl="1">
      <w:lvlJc w:val="left"/>
      <w:lvlText w:val="(%2)"/>
      <w:numFmt w:val="lowerLetter"/>
      <w:start w:val="5"/>
    </w:lvl>
  </w:abstractNum>
  <w:abstractNum w:abstractNumId="117">
    <w:nsid w:val="1849C29B"/>
    <w:multiLevelType w:val="hybridMultilevel"/>
    <w:lvl w:ilvl="0">
      <w:lvlJc w:val="left"/>
      <w:lvlText w:val="(%1)"/>
      <w:numFmt w:val="lowerLetter"/>
      <w:start w:val="11"/>
    </w:lvl>
    <w:lvl w:ilvl="1">
      <w:lvlJc w:val="left"/>
      <w:lvlText w:val="(%2)"/>
      <w:numFmt w:val="lowerLetter"/>
      <w:start w:val="12"/>
    </w:lvl>
  </w:abstractNum>
  <w:abstractNum w:abstractNumId="118">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5"/>
    </w:lvl>
  </w:abstractNum>
  <w:abstractNum w:abstractNumId="119">
    <w:nsid w:val="754342"/>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abstractNum>
  <w:abstractNum w:abstractNumId="120">
    <w:nsid w:val="69E7F3E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lowerLetter"/>
      <w:start w:val="1"/>
    </w:lvl>
    <w:lvl w:ilvl="1">
      <w:lvlJc w:val="left"/>
      <w:lvlText w:val="(%2)"/>
      <w:numFmt w:val="lowerLetter"/>
      <w:start w:val="1"/>
    </w:lvl>
  </w:abstractNum>
  <w:abstractNum w:abstractNumId="123">
    <w:nsid w:val="37DF2233"/>
    <w:multiLevelType w:val="hybridMultilevel"/>
    <w:lvl w:ilvl="0">
      <w:lvlJc w:val="left"/>
      <w:lvlText w:val="(%1)"/>
      <w:numFmt w:val="lowerLetter"/>
      <w:start w:val="35"/>
    </w:lvl>
    <w:lvl w:ilvl="1">
      <w:lvlJc w:val="left"/>
      <w:lvlText w:val="(%2)"/>
      <w:numFmt w:val="lowerLetter"/>
      <w:start w:val="3"/>
    </w:lvl>
  </w:abstractNum>
  <w:abstractNum w:abstractNumId="124">
    <w:nsid w:val="7AB49DAF"/>
    <w:multiLevelType w:val="hybridMultilevel"/>
    <w:lvl w:ilvl="0">
      <w:lvlJc w:val="left"/>
      <w:lvlText w:val="%1"/>
      <w:numFmt w:val="lowerLetter"/>
      <w:start w:val="1"/>
    </w:lvl>
    <w:lvl w:ilvl="1">
      <w:lvlJc w:val="left"/>
      <w:lvlText w:val="(%2)"/>
      <w:numFmt w:val="lowerLetter"/>
      <w:start w:val="4"/>
    </w:lvl>
  </w:abstractNum>
  <w:abstractNum w:abstractNumId="125">
    <w:nsid w:val="759F82CD"/>
    <w:multiLevelType w:val="hybridMultilevel"/>
    <w:lvl w:ilvl="0">
      <w:lvlJc w:val="left"/>
      <w:lvlText w:val="(%1)"/>
      <w:numFmt w:val="lowerLetter"/>
      <w:start w:val="35"/>
    </w:lvl>
    <w:lvl w:ilvl="1">
      <w:lvlJc w:val="left"/>
      <w:lvlText w:val="(%2)"/>
      <w:numFmt w:val="lowerLetter"/>
      <w:start w:val="5"/>
    </w:lvl>
  </w:abstractNum>
  <w:abstractNum w:abstractNumId="126">
    <w:nsid w:val="61E74EA3"/>
    <w:multiLevelType w:val="hybridMultilevel"/>
    <w:lvl w:ilvl="0">
      <w:lvlJc w:val="left"/>
      <w:lvlText w:val="(%1)"/>
      <w:numFmt w:val="lowerRoman"/>
      <w:start w:val="1"/>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lowerLetter"/>
      <w:start w:val="1"/>
    </w:lvl>
  </w:abstractNum>
  <w:abstractNum w:abstractNumId="130">
    <w:nsid w:val="312167AD"/>
    <w:multiLevelType w:val="hybridMultilevel"/>
    <w:lvl w:ilvl="0">
      <w:lvlJc w:val="left"/>
      <w:lvlText w:val="(%1)"/>
      <w:numFmt w:val="lowerLetter"/>
      <w:start w:val="2"/>
    </w:lvl>
  </w:abstractNum>
  <w:abstractNum w:abstractNumId="131">
    <w:nsid w:val="631B64D4"/>
    <w:multiLevelType w:val="hybridMultilevel"/>
    <w:lvl w:ilvl="0">
      <w:lvlJc w:val="left"/>
      <w:lvlText w:val="(%1)"/>
      <w:numFmt w:val="lowerLetter"/>
      <w:start w:val="1"/>
    </w:lvl>
  </w:abstractNum>
  <w:abstractNum w:abstractNumId="132">
    <w:nsid w:val="78B5E776"/>
    <w:multiLevelType w:val="hybridMultilevel"/>
    <w:lvl w:ilvl="0">
      <w:lvlJc w:val="left"/>
      <w:lvlText w:val="(%1)"/>
      <w:numFmt w:val="lowerLetter"/>
      <w:start w:val="1"/>
    </w:lvl>
    <w:lvl w:ilvl="1">
      <w:lvlJc w:val="left"/>
      <w:lvlText w:val="(%2)"/>
      <w:numFmt w:val="lowerLetter"/>
      <w:start w:val="9"/>
    </w:lvl>
  </w:abstractNum>
  <w:abstractNum w:abstractNumId="133">
    <w:nsid w:val="75486E47"/>
    <w:multiLevelType w:val="hybridMultilevel"/>
    <w:lvl w:ilvl="0">
      <w:lvlJc w:val="left"/>
      <w:lvlText w:val="%1"/>
      <w:numFmt w:val="lowerLetter"/>
      <w:start w:val="1"/>
    </w:lvl>
    <w:lvl w:ilvl="1">
      <w:lvlJc w:val="left"/>
      <w:lvlText w:val="(%2)"/>
      <w:numFmt w:val="lowerRoman"/>
      <w:start w:val="2"/>
    </w:lvl>
  </w:abstractNum>
  <w:abstractNum w:abstractNumId="134">
    <w:nsid w:val="6E534CDE"/>
    <w:multiLevelType w:val="hybridMultilevel"/>
    <w:lvl w:ilvl="0">
      <w:lvlJc w:val="left"/>
      <w:lvlText w:val="(%1)"/>
      <w:numFmt w:val="lowerLetter"/>
      <w:start w:val="2"/>
    </w:lvl>
    <w:lvl w:ilvl="1">
      <w:lvlJc w:val="left"/>
      <w:lvlText w:val="%2"/>
      <w:numFmt w:val="lowerRoman"/>
      <w:start w:val="1"/>
    </w:lvl>
  </w:abstractNum>
  <w:abstractNum w:abstractNumId="135">
    <w:nsid w:val="1A0DDE32"/>
    <w:multiLevelType w:val="hybridMultilevel"/>
    <w:lvl w:ilvl="0">
      <w:lvlJc w:val="left"/>
      <w:lvlText w:val="(%1)"/>
      <w:numFmt w:val="lowerRoman"/>
      <w:start w:val="3"/>
    </w:lvl>
  </w:abstractNum>
  <w:abstractNum w:abstractNumId="136">
    <w:nsid w:val="65968C1C"/>
    <w:multiLevelType w:val="hybridMultilevel"/>
    <w:lvl w:ilvl="0">
      <w:lvlJc w:val="left"/>
      <w:lvlText w:val="(%1)"/>
      <w:numFmt w:val="lowerLetter"/>
      <w:start w:val="1"/>
    </w:lvl>
    <w:lvl w:ilvl="1">
      <w:lvlJc w:val="left"/>
      <w:lvlText w:val="(%2)"/>
      <w:numFmt w:val="lowerLetter"/>
      <w:start w:val="9"/>
    </w:lvl>
  </w:abstractNum>
  <w:abstractNum w:abstractNumId="137">
    <w:nsid w:val="46263DEC"/>
    <w:multiLevelType w:val="hybridMultilevel"/>
    <w:lvl w:ilvl="0">
      <w:lvlJc w:val="left"/>
      <w:lvlText w:val="(%1)"/>
      <w:numFmt w:val="lowerRoman"/>
      <w:start w:val="2"/>
    </w:lvl>
  </w:abstractNum>
  <w:abstractNum w:abstractNumId="138">
    <w:nsid w:val="260D8C4A"/>
    <w:multiLevelType w:val="hybridMultilevel"/>
    <w:lvl w:ilvl="0">
      <w:lvlJc w:val="left"/>
      <w:lvlText w:val="(%1)"/>
      <w:numFmt w:val="lowerLetter"/>
      <w:start w:val="2"/>
    </w:lvl>
  </w:abstractNum>
  <w:abstractNum w:abstractNumId="139">
    <w:nsid w:val="73D4D3C4"/>
    <w:multiLevelType w:val="hybridMultilevel"/>
    <w:lvl w:ilvl="0">
      <w:lvlJc w:val="left"/>
      <w:lvlText w:val="(%1)"/>
      <w:numFmt w:val="lowerLetter"/>
      <w:start w:val="3"/>
    </w:lvl>
  </w:abstractNum>
  <w:abstractNum w:abstractNumId="140">
    <w:nsid w:val="746F2E30"/>
    <w:multiLevelType w:val="hybridMultilevel"/>
    <w:lvl w:ilvl="0">
      <w:lvlJc w:val="left"/>
      <w:lvlText w:val="(%1)"/>
      <w:numFmt w:val="lowerLetter"/>
      <w:start w:val="4"/>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lowerLetter"/>
      <w:start w:val="24"/>
    </w:lvl>
    <w:lvl w:ilvl="1">
      <w:lvlJc w:val="left"/>
      <w:lvlText w:val="(%2)"/>
      <w:numFmt w:val="lowerLetter"/>
      <w:start w:val="3"/>
    </w:lvl>
  </w:abstractNum>
  <w:abstractNum w:abstractNumId="143">
    <w:nsid w:val="49C0E823"/>
    <w:multiLevelType w:val="hybridMultilevel"/>
    <w:lvl w:ilvl="0">
      <w:lvlJc w:val="left"/>
      <w:lvlText w:val="(%1)"/>
      <w:numFmt w:val="lowerLetter"/>
      <w:start w:val="1"/>
    </w:lvl>
    <w:lvl w:ilvl="1">
      <w:lvlJc w:val="left"/>
      <w:lvlText w:val="(%2)"/>
      <w:numFmt w:val="lowerLetter"/>
      <w:start w:val="4"/>
    </w:lvl>
  </w:abstractNum>
  <w:abstractNum w:abstractNumId="144">
    <w:nsid w:val="14D53685"/>
    <w:multiLevelType w:val="hybridMultilevel"/>
    <w:lvl w:ilvl="0">
      <w:lvlJc w:val="left"/>
      <w:lvlText w:val="%1"/>
      <w:numFmt w:val="lowerLetter"/>
      <w:start w:val="1"/>
    </w:lvl>
    <w:lvl w:ilvl="1">
      <w:lvlJc w:val="left"/>
      <w:lvlText w:val="(%2)"/>
      <w:numFmt w:val="lowerLetter"/>
      <w:start w:val="5"/>
    </w:lvl>
  </w:abstractNum>
  <w:abstractNum w:abstractNumId="145">
    <w:nsid w:val="230F856C"/>
    <w:multiLevelType w:val="hybridMultilevel"/>
    <w:lvl w:ilvl="0">
      <w:lvlJc w:val="left"/>
      <w:lvlText w:val="(%1)"/>
      <w:numFmt w:val="lowerLetter"/>
      <w:start w:val="6"/>
    </w:lvl>
    <w:lvl w:ilvl="1">
      <w:lvlJc w:val="left"/>
      <w:lvlText w:val="%2"/>
      <w:numFmt w:val="lowerLetter"/>
      <w:start w:val="1"/>
    </w:lvl>
  </w:abstractNum>
  <w:abstractNum w:abstractNumId="146">
    <w:nsid w:val="6EAA85FB"/>
    <w:multiLevelType w:val="hybridMultilevel"/>
    <w:lvl w:ilvl="0">
      <w:lvlJc w:val="left"/>
      <w:lvlText w:val="(%1)"/>
      <w:numFmt w:val="lowerLetter"/>
      <w:start w:val="1"/>
    </w:lvl>
  </w:abstractNum>
  <w:abstractNum w:abstractNumId="147">
    <w:nsid w:val="3F06ECB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8">
    <w:nsid w:val="3B594807"/>
    <w:multiLevelType w:val="hybridMultilevel"/>
    <w:lvl w:ilvl="0">
      <w:lvlJc w:val="left"/>
      <w:lvlText w:val="%1"/>
      <w:numFmt w:val="lowerRoman"/>
      <w:start w:val="1"/>
    </w:lvl>
    <w:lvl w:ilvl="1">
      <w:lvlJc w:val="left"/>
      <w:lvlText w:val="(%2)"/>
      <w:numFmt w:val="upperLetter"/>
      <w:start w:val="2"/>
    </w:lvl>
  </w:abstractNum>
  <w:abstractNum w:abstractNumId="149">
    <w:nsid w:val="6CAA2304"/>
    <w:multiLevelType w:val="hybridMultilevel"/>
    <w:lvl w:ilvl="0">
      <w:lvlJc w:val="left"/>
      <w:lvlText w:val="(%1)"/>
      <w:numFmt w:val="lowerRoman"/>
      <w:start w:val="4"/>
    </w:lvl>
    <w:lvl w:ilvl="1">
      <w:lvlJc w:val="left"/>
      <w:lvlText w:val="%2"/>
      <w:numFmt w:val="upperLetter"/>
      <w:start w:val="1"/>
    </w:lvl>
  </w:abstractNum>
  <w:abstractNum w:abstractNumId="150">
    <w:nsid w:val="3F7C2FF4"/>
    <w:multiLevelType w:val="hybridMultilevel"/>
    <w:lvl w:ilvl="0">
      <w:lvlJc w:val="left"/>
      <w:lvlText w:val="(%1)"/>
      <w:numFmt w:val="lowerLetter"/>
      <w:start w:val="3"/>
    </w:lvl>
  </w:abstractNum>
  <w:abstractNum w:abstractNumId="151">
    <w:nsid w:val="25413BEC"/>
    <w:multiLevelType w:val="hybridMultilevel"/>
    <w:lvl w:ilvl="0">
      <w:lvlJc w:val="left"/>
      <w:lvlText w:val="(%1)"/>
      <w:numFmt w:val="lowerLetter"/>
      <w:start w:val="5"/>
    </w:lvl>
  </w:abstractNum>
  <w:abstractNum w:abstractNumId="152">
    <w:nsid w:val="17180B0B"/>
    <w:multiLevelType w:val="hybridMultilevel"/>
    <w:lvl w:ilvl="0">
      <w:lvlJc w:val="left"/>
      <w:lvlText w:val="(%1)"/>
      <w:numFmt w:val="lowerLetter"/>
      <w:start w:val="8"/>
    </w:lvl>
  </w:abstractNum>
  <w:abstractNum w:abstractNumId="153">
    <w:nsid w:val="579328B9"/>
    <w:multiLevelType w:val="hybridMultilevel"/>
    <w:lvl w:ilvl="0">
      <w:lvlJc w:val="left"/>
      <w:lvlText w:val="(%1)"/>
      <w:numFmt w:val="upperLetter"/>
      <w:start w:val="61"/>
    </w:lvl>
  </w:abstractNum>
  <w:abstractNum w:abstractNumId="154">
    <w:nsid w:val="5D205E20"/>
    <w:multiLevelType w:val="hybridMultilevel"/>
    <w:lvl w:ilvl="0">
      <w:lvlJc w:val="left"/>
      <w:lvlText w:val="(%1)"/>
      <w:numFmt w:val="lowerLetter"/>
      <w:start w:val="7"/>
    </w:lvl>
  </w:abstractNum>
  <w:abstractNum w:abstractNumId="155">
    <w:nsid w:val="11CCA8BA"/>
    <w:multiLevelType w:val="hybridMultilevel"/>
    <w:lvl w:ilvl="0">
      <w:lvlJc w:val="left"/>
      <w:lvlText w:val="(%1)"/>
      <w:numFmt w:val="lowerLetter"/>
      <w:start w:val="2"/>
    </w:lvl>
  </w:abstractNum>
  <w:abstractNum w:abstractNumId="156">
    <w:nsid w:val="4D32AB86"/>
    <w:multiLevelType w:val="hybridMultilevel"/>
    <w:lvl w:ilvl="0">
      <w:lvlJc w:val="left"/>
      <w:lvlText w:val="(%1)"/>
      <w:numFmt w:val="lowerRoman"/>
      <w:start w:val="1"/>
    </w:lvl>
  </w:abstractNum>
  <w:abstractNum w:abstractNumId="157">
    <w:nsid w:val="3F07ACC3"/>
    <w:multiLevelType w:val="hybridMultilevel"/>
    <w:lvl w:ilvl="0">
      <w:lvlJc w:val="left"/>
      <w:lvlText w:val="(%1)"/>
      <w:numFmt w:val="lowerLetter"/>
      <w:start w:val="1"/>
    </w:lvl>
  </w:abstractNum>
  <w:abstractNum w:abstractNumId="158">
    <w:nsid w:val="6B47F63E"/>
    <w:multiLevelType w:val="hybridMultilevel"/>
    <w:lvl w:ilvl="0">
      <w:lvlJc w:val="left"/>
      <w:lvlText w:val="(%1)"/>
      <w:numFmt w:val="lowerLetter"/>
      <w:start w:val="2"/>
    </w:lvl>
  </w:abstractNum>
  <w:abstractNum w:abstractNumId="159">
    <w:nsid w:val="5CB44A05"/>
    <w:multiLevelType w:val="hybridMultilevel"/>
    <w:lvl w:ilvl="0">
      <w:lvlJc w:val="left"/>
      <w:lvlText w:val="(%1)"/>
      <w:numFmt w:val="upperLetter"/>
      <w:start w:val="1"/>
    </w:lvl>
  </w:abstractNum>
  <w:abstractNum w:abstractNumId="160">
    <w:nsid w:val="16CF80F1"/>
    <w:multiLevelType w:val="hybridMultilevel"/>
    <w:lvl w:ilvl="0">
      <w:lvlJc w:val="left"/>
      <w:lvlText w:val="(%1)"/>
      <w:numFmt w:val="lowerLetter"/>
      <w:start w:val="1"/>
    </w:lvl>
  </w:abstractNum>
  <w:abstractNum w:abstractNumId="161">
    <w:nsid w:val="1C695DEC"/>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2019-12-29T15:35:00Z</dcterms:created>
  <dcterms:modified xsi:type="dcterms:W3CDTF">2019-12-29T15:35:00Z</dcterms:modified>
</cp:coreProperties>
</file>