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149860</wp:posOffset>
            </wp:positionV>
            <wp:extent cx="669734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7345" cy="24765"/>
                    </a:xfrm>
                    <a:prstGeom prst="rect">
                      <a:avLst/>
                    </a:prstGeom>
                    <a:noFill/>
                  </pic:spPr>
                </pic:pic>
              </a:graphicData>
            </a:graphic>
          </wp:anchor>
        </w:drawing>
      </w:r>
    </w:p>
    <w:p>
      <w:pPr>
        <w:spacing w:after="0" w:line="28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5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53340</wp:posOffset>
            </wp:positionV>
            <wp:extent cx="10674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7435" cy="6350"/>
                    </a:xfrm>
                    <a:prstGeom prst="rect">
                      <a:avLst/>
                    </a:prstGeom>
                    <a:noFill/>
                  </pic:spPr>
                </pic:pic>
              </a:graphicData>
            </a:graphic>
          </wp:anchor>
        </w:drawing>
      </w:r>
    </w:p>
    <w:p>
      <w:pPr>
        <w:spacing w:after="0" w:line="132" w:lineRule="exact"/>
        <w:rPr>
          <w:sz w:val="20"/>
          <w:szCs w:val="20"/>
          <w:color w:val="auto"/>
        </w:rPr>
      </w:pPr>
    </w:p>
    <w:p>
      <w:pPr>
        <w:ind w:left="5180"/>
        <w:spacing w:after="0"/>
        <w:rPr>
          <w:sz w:val="20"/>
          <w:szCs w:val="20"/>
          <w:color w:val="auto"/>
        </w:rPr>
      </w:pPr>
      <w:r>
        <w:rPr>
          <w:rFonts w:ascii="Arial" w:cs="Arial" w:eastAsia="Arial" w:hAnsi="Arial"/>
          <w:sz w:val="24"/>
          <w:szCs w:val="24"/>
          <w:b w:val="1"/>
          <w:bCs w:val="1"/>
          <w:color w:val="auto"/>
        </w:rPr>
        <w:t>Form 10-K</w:t>
      </w:r>
    </w:p>
    <w:p>
      <w:pPr>
        <w:spacing w:after="0" w:line="67" w:lineRule="exact"/>
        <w:rPr>
          <w:sz w:val="20"/>
          <w:szCs w:val="20"/>
          <w:color w:val="auto"/>
        </w:rPr>
      </w:pPr>
    </w:p>
    <w:p>
      <w:pPr>
        <w:ind w:left="1720" w:hanging="798"/>
        <w:spacing w:after="0"/>
        <w:tabs>
          <w:tab w:leader="none" w:pos="17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OF THE SECURITIES EXCHANGE ACT OF 1934</w:t>
      </w:r>
    </w:p>
    <w:p>
      <w:pPr>
        <w:ind w:left="1720"/>
        <w:spacing w:after="0"/>
        <w:rPr>
          <w:sz w:val="20"/>
          <w:szCs w:val="20"/>
          <w:color w:val="auto"/>
        </w:rPr>
      </w:pPr>
      <w:r>
        <w:rPr>
          <w:rFonts w:ascii="Arial" w:cs="Arial" w:eastAsia="Arial" w:hAnsi="Arial"/>
          <w:sz w:val="13"/>
          <w:szCs w:val="13"/>
          <w:b w:val="1"/>
          <w:bCs w:val="1"/>
          <w:color w:val="auto"/>
        </w:rPr>
        <w:t>For the fiscal year ended July 31, 2007</w:t>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OR</w:t>
      </w:r>
    </w:p>
    <w:p>
      <w:pPr>
        <w:ind w:left="1720" w:hanging="768"/>
        <w:spacing w:after="0"/>
        <w:tabs>
          <w:tab w:leader="none" w:pos="17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w:t>
      </w:r>
    </w:p>
    <w:p>
      <w:pPr>
        <w:ind w:left="1720"/>
        <w:spacing w:after="0"/>
        <w:rPr>
          <w:sz w:val="20"/>
          <w:szCs w:val="20"/>
          <w:color w:val="auto"/>
        </w:rPr>
      </w:pPr>
      <w:r>
        <w:rPr>
          <w:rFonts w:ascii="Arial" w:cs="Arial" w:eastAsia="Arial" w:hAnsi="Arial"/>
          <w:sz w:val="16"/>
          <w:szCs w:val="16"/>
          <w:b w:val="1"/>
          <w:bCs w:val="1"/>
          <w:color w:val="auto"/>
        </w:rPr>
        <w:t>OF THE SECURITIES EXCHANGE ACT OF 1934</w:t>
      </w:r>
    </w:p>
    <w:p>
      <w:pPr>
        <w:sectPr>
          <w:pgSz w:w="11900" w:h="16838" w:orient="portrait"/>
          <w:cols w:equalWidth="0" w:num="1">
            <w:col w:w="10880"/>
          </w:cols>
          <w:pgMar w:left="220" w:top="127" w:right="799" w:bottom="1440" w:gutter="0" w:footer="0" w:header="0"/>
        </w:sectPr>
      </w:pPr>
    </w:p>
    <w:p>
      <w:pPr>
        <w:spacing w:after="0" w:line="2" w:lineRule="exact"/>
        <w:rPr>
          <w:sz w:val="20"/>
          <w:szCs w:val="20"/>
          <w:color w:val="auto"/>
        </w:rPr>
      </w:pPr>
    </w:p>
    <w:p>
      <w:pPr>
        <w:ind w:left="172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to</w:t>
      </w:r>
    </w:p>
    <w:p>
      <w:pPr>
        <w:spacing w:after="0" w:line="108" w:lineRule="exact"/>
        <w:rPr>
          <w:sz w:val="20"/>
          <w:szCs w:val="20"/>
          <w:color w:val="auto"/>
        </w:rPr>
      </w:pPr>
    </w:p>
    <w:p>
      <w:pPr>
        <w:sectPr>
          <w:pgSz w:w="11900" w:h="16838" w:orient="portrait"/>
          <w:cols w:equalWidth="0" w:num="2">
            <w:col w:w="3420" w:space="320"/>
            <w:col w:w="7140"/>
          </w:cols>
          <w:pgMar w:left="220" w:top="127" w:right="799" w:bottom="1440" w:gutter="0" w:footer="0" w:header="0"/>
          <w:type w:val="continuous"/>
        </w:sectPr>
      </w:pPr>
    </w:p>
    <w:p>
      <w:pPr>
        <w:ind w:left="4820"/>
        <w:spacing w:after="0"/>
        <w:rPr>
          <w:sz w:val="20"/>
          <w:szCs w:val="20"/>
          <w:color w:val="auto"/>
        </w:rPr>
      </w:pPr>
      <w:r>
        <w:rPr>
          <w:rFonts w:ascii="Arial" w:cs="Arial" w:eastAsia="Arial" w:hAnsi="Arial"/>
          <w:sz w:val="11"/>
          <w:szCs w:val="11"/>
          <w:b w:val="1"/>
          <w:bCs w:val="1"/>
          <w:color w:val="auto"/>
        </w:rPr>
        <w:t>Commission file number 1-14959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90170</wp:posOffset>
            </wp:positionV>
            <wp:extent cx="106743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7435" cy="6350"/>
                    </a:xfrm>
                    <a:prstGeom prst="rect">
                      <a:avLst/>
                    </a:prstGeom>
                    <a:noFill/>
                  </pic:spPr>
                </pic:pic>
              </a:graphicData>
            </a:graphic>
          </wp:anchor>
        </w:drawing>
      </w:r>
    </w:p>
    <w:p>
      <w:pPr>
        <w:sectPr>
          <w:pgSz w:w="11900" w:h="16838" w:orient="portrait"/>
          <w:cols w:equalWidth="0" w:num="1">
            <w:col w:w="10880"/>
          </w:cols>
          <w:pgMar w:left="220" w:top="127" w:right="799" w:bottom="1440" w:gutter="0" w:footer="0" w:header="0"/>
          <w:type w:val="continuous"/>
        </w:sectPr>
      </w:pPr>
    </w:p>
    <w:p>
      <w:pPr>
        <w:spacing w:after="0" w:line="219" w:lineRule="exact"/>
        <w:rPr>
          <w:sz w:val="20"/>
          <w:szCs w:val="20"/>
          <w:color w:val="auto"/>
        </w:rPr>
      </w:pPr>
    </w:p>
    <w:p>
      <w:pPr>
        <w:jc w:val="center"/>
        <w:ind w:right="-599"/>
        <w:spacing w:after="0"/>
        <w:rPr>
          <w:sz w:val="20"/>
          <w:szCs w:val="20"/>
          <w:color w:val="auto"/>
        </w:rPr>
      </w:pPr>
      <w:r>
        <w:rPr>
          <w:rFonts w:ascii="Arial" w:cs="Arial" w:eastAsia="Arial" w:hAnsi="Arial"/>
          <w:sz w:val="31"/>
          <w:szCs w:val="31"/>
          <w:b w:val="1"/>
          <w:bCs w:val="1"/>
          <w:color w:val="auto"/>
        </w:rPr>
        <w:t>BRADY CORPORATION</w:t>
      </w:r>
    </w:p>
    <w:p>
      <w:pPr>
        <w:spacing w:after="0" w:line="34" w:lineRule="exact"/>
        <w:rPr>
          <w:sz w:val="20"/>
          <w:szCs w:val="20"/>
          <w:color w:val="auto"/>
        </w:rPr>
      </w:pPr>
    </w:p>
    <w:p>
      <w:pPr>
        <w:ind w:left="4700"/>
        <w:spacing w:after="0"/>
        <w:rPr>
          <w:sz w:val="20"/>
          <w:szCs w:val="20"/>
          <w:color w:val="auto"/>
        </w:rPr>
      </w:pPr>
      <w:r>
        <w:rPr>
          <w:rFonts w:ascii="Arial" w:cs="Arial" w:eastAsia="Arial" w:hAnsi="Arial"/>
          <w:sz w:val="10"/>
          <w:szCs w:val="10"/>
          <w:i w:val="1"/>
          <w:iCs w:val="1"/>
          <w:color w:val="auto"/>
        </w:rPr>
        <w:t>(Exact name of registrant as specified in charter)</w:t>
      </w:r>
    </w:p>
    <w:p>
      <w:pPr>
        <w:sectPr>
          <w:pgSz w:w="11900" w:h="16838" w:orient="portrait"/>
          <w:cols w:equalWidth="0" w:num="1">
            <w:col w:w="10880"/>
          </w:cols>
          <w:pgMar w:left="220" w:top="127" w:right="799" w:bottom="1440" w:gutter="0" w:footer="0" w:header="0"/>
          <w:type w:val="continuous"/>
        </w:sectPr>
      </w:pPr>
    </w:p>
    <w:p>
      <w:pPr>
        <w:spacing w:after="0" w:line="84" w:lineRule="exact"/>
        <w:rPr>
          <w:sz w:val="20"/>
          <w:szCs w:val="20"/>
          <w:color w:val="auto"/>
        </w:rPr>
      </w:pPr>
    </w:p>
    <w:p>
      <w:pPr>
        <w:ind w:left="2820"/>
        <w:spacing w:after="0"/>
        <w:rPr>
          <w:sz w:val="20"/>
          <w:szCs w:val="20"/>
          <w:color w:val="auto"/>
        </w:rPr>
      </w:pPr>
      <w:r>
        <w:rPr>
          <w:rFonts w:ascii="Arial" w:cs="Arial" w:eastAsia="Arial" w:hAnsi="Arial"/>
          <w:sz w:val="11"/>
          <w:szCs w:val="11"/>
          <w:b w:val="1"/>
          <w:bCs w:val="1"/>
          <w:color w:val="auto"/>
        </w:rPr>
        <w:t>Wisconsin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39-0178960</w:t>
      </w:r>
    </w:p>
    <w:p>
      <w:pPr>
        <w:spacing w:after="0" w:line="32" w:lineRule="exact"/>
        <w:rPr>
          <w:sz w:val="20"/>
          <w:szCs w:val="20"/>
          <w:color w:val="auto"/>
        </w:rPr>
      </w:pPr>
    </w:p>
    <w:p>
      <w:pPr>
        <w:sectPr>
          <w:pgSz w:w="11900" w:h="16838" w:orient="portrait"/>
          <w:cols w:equalWidth="0" w:num="2">
            <w:col w:w="7440" w:space="720"/>
            <w:col w:w="2720"/>
          </w:cols>
          <w:pgMar w:left="220" w:top="127" w:right="799" w:bottom="1440" w:gutter="0" w:footer="0" w:header="0"/>
          <w:type w:val="continuous"/>
        </w:sectPr>
      </w:pPr>
    </w:p>
    <w:p>
      <w:pPr>
        <w:ind w:left="2480"/>
        <w:spacing w:after="0"/>
        <w:rPr>
          <w:sz w:val="20"/>
          <w:szCs w:val="20"/>
          <w:color w:val="auto"/>
        </w:rPr>
      </w:pPr>
      <w:r>
        <w:rPr>
          <w:rFonts w:ascii="Arial" w:cs="Arial" w:eastAsia="Arial" w:hAnsi="Arial"/>
          <w:sz w:val="10"/>
          <w:szCs w:val="10"/>
          <w:i w:val="1"/>
          <w:iCs w:val="1"/>
          <w:color w:val="auto"/>
        </w:rPr>
        <w:t>(State or other jurisdiction of</w:t>
      </w:r>
    </w:p>
    <w:p>
      <w:pPr>
        <w:ind w:left="246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(IRS Employer Identification No.)</w:t>
      </w:r>
    </w:p>
    <w:p>
      <w:pPr>
        <w:spacing w:after="0" w:line="179" w:lineRule="exact"/>
        <w:rPr>
          <w:sz w:val="20"/>
          <w:szCs w:val="20"/>
          <w:color w:val="auto"/>
        </w:rPr>
      </w:pPr>
    </w:p>
    <w:p>
      <w:pPr>
        <w:sectPr>
          <w:pgSz w:w="11900" w:h="16838" w:orient="portrait"/>
          <w:cols w:equalWidth="0" w:num="2">
            <w:col w:w="7040" w:space="720"/>
            <w:col w:w="3120"/>
          </w:cols>
          <w:pgMar w:left="220" w:top="127" w:right="799" w:bottom="1440" w:gutter="0" w:footer="0" w:header="0"/>
          <w:type w:val="continuous"/>
        </w:sectPr>
      </w:pPr>
    </w:p>
    <w:p>
      <w:pPr>
        <w:jc w:val="center"/>
        <w:ind w:right="-599"/>
        <w:spacing w:after="0"/>
        <w:rPr>
          <w:sz w:val="20"/>
          <w:szCs w:val="20"/>
          <w:color w:val="auto"/>
        </w:rPr>
      </w:pPr>
      <w:r>
        <w:rPr>
          <w:rFonts w:ascii="Arial" w:cs="Arial" w:eastAsia="Arial" w:hAnsi="Arial"/>
          <w:sz w:val="13"/>
          <w:szCs w:val="13"/>
          <w:b w:val="1"/>
          <w:bCs w:val="1"/>
          <w:color w:val="auto"/>
        </w:rPr>
        <w:t>6555 West Good Hope Road,</w:t>
      </w:r>
    </w:p>
    <w:p>
      <w:pPr>
        <w:spacing w:after="0" w:line="19" w:lineRule="exact"/>
        <w:rPr>
          <w:sz w:val="20"/>
          <w:szCs w:val="20"/>
          <w:color w:val="auto"/>
        </w:rPr>
      </w:pPr>
    </w:p>
    <w:p>
      <w:pPr>
        <w:jc w:val="center"/>
        <w:ind w:right="-599"/>
        <w:spacing w:after="0"/>
        <w:rPr>
          <w:sz w:val="20"/>
          <w:szCs w:val="20"/>
          <w:color w:val="auto"/>
        </w:rPr>
      </w:pPr>
      <w:r>
        <w:rPr>
          <w:rFonts w:ascii="Arial" w:cs="Arial" w:eastAsia="Arial" w:hAnsi="Arial"/>
          <w:sz w:val="13"/>
          <w:szCs w:val="13"/>
          <w:b w:val="1"/>
          <w:bCs w:val="1"/>
          <w:color w:val="auto"/>
        </w:rPr>
        <w:t>Milwaukee, WI 53223</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10"/>
          <w:szCs w:val="10"/>
          <w:i w:val="1"/>
          <w:iCs w:val="1"/>
          <w:color w:val="auto"/>
        </w:rPr>
        <w:t>(Address of principal executive offices) (Zip Code)</w:t>
      </w:r>
    </w:p>
    <w:p>
      <w:pPr>
        <w:spacing w:after="0" w:line="231" w:lineRule="exact"/>
        <w:rPr>
          <w:sz w:val="20"/>
          <w:szCs w:val="20"/>
          <w:color w:val="auto"/>
        </w:rPr>
      </w:pPr>
    </w:p>
    <w:p>
      <w:pPr>
        <w:jc w:val="center"/>
        <w:ind w:right="-599"/>
        <w:spacing w:after="0"/>
        <w:rPr>
          <w:sz w:val="20"/>
          <w:szCs w:val="20"/>
          <w:color w:val="auto"/>
        </w:rPr>
      </w:pPr>
      <w:r>
        <w:rPr>
          <w:rFonts w:ascii="Arial" w:cs="Arial" w:eastAsia="Arial" w:hAnsi="Arial"/>
          <w:sz w:val="13"/>
          <w:szCs w:val="13"/>
          <w:b w:val="1"/>
          <w:bCs w:val="1"/>
          <w:color w:val="auto"/>
        </w:rPr>
        <w:t>(414) 358-6600</w:t>
      </w:r>
    </w:p>
    <w:p>
      <w:pPr>
        <w:spacing w:after="0" w:line="16" w:lineRule="exact"/>
        <w:rPr>
          <w:sz w:val="20"/>
          <w:szCs w:val="20"/>
          <w:color w:val="auto"/>
        </w:rPr>
      </w:pPr>
    </w:p>
    <w:p>
      <w:pPr>
        <w:jc w:val="center"/>
        <w:ind w:right="-599"/>
        <w:spacing w:after="0"/>
        <w:rPr>
          <w:sz w:val="20"/>
          <w:szCs w:val="20"/>
          <w:color w:val="auto"/>
        </w:rPr>
      </w:pPr>
      <w:r>
        <w:rPr>
          <w:rFonts w:ascii="Arial" w:cs="Arial" w:eastAsia="Arial" w:hAnsi="Arial"/>
          <w:sz w:val="10"/>
          <w:szCs w:val="10"/>
          <w:i w:val="1"/>
          <w:iCs w:val="1"/>
          <w:color w:val="auto"/>
        </w:rPr>
        <w:t>(Registrant’s telephone number, including area code)</w:t>
      </w:r>
    </w:p>
    <w:p>
      <w:pPr>
        <w:spacing w:after="0" w:line="74" w:lineRule="exact"/>
        <w:rPr>
          <w:sz w:val="20"/>
          <w:szCs w:val="20"/>
          <w:color w:val="auto"/>
        </w:rPr>
      </w:pPr>
    </w:p>
    <w:p>
      <w:pPr>
        <w:ind w:left="4140"/>
        <w:spacing w:after="0"/>
        <w:rPr>
          <w:sz w:val="20"/>
          <w:szCs w:val="20"/>
          <w:color w:val="auto"/>
        </w:rPr>
      </w:pPr>
      <w:r>
        <w:rPr>
          <w:rFonts w:ascii="Arial" w:cs="Arial" w:eastAsia="Arial" w:hAnsi="Arial"/>
          <w:sz w:val="11"/>
          <w:szCs w:val="11"/>
          <w:b w:val="1"/>
          <w:bCs w:val="1"/>
          <w:color w:val="auto"/>
        </w:rPr>
        <w:t>Securities registered pursuant to Section 12(b) of the Act:</w:t>
      </w:r>
    </w:p>
    <w:p>
      <w:pPr>
        <w:sectPr>
          <w:pgSz w:w="11900" w:h="16838" w:orient="portrait"/>
          <w:cols w:equalWidth="0" w:num="1">
            <w:col w:w="10880"/>
          </w:cols>
          <w:pgMar w:left="220" w:top="127" w:right="799" w:bottom="1440" w:gutter="0" w:footer="0" w:header="0"/>
          <w:type w:val="continuous"/>
        </w:sectPr>
      </w:pPr>
    </w:p>
    <w:p>
      <w:pPr>
        <w:spacing w:after="0" w:line="129" w:lineRule="exact"/>
        <w:rPr>
          <w:sz w:val="20"/>
          <w:szCs w:val="20"/>
          <w:color w:val="auto"/>
        </w:rPr>
      </w:pPr>
    </w:p>
    <w:p>
      <w:pPr>
        <w:ind w:left="308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50" w:lineRule="exact"/>
        <w:rPr>
          <w:sz w:val="20"/>
          <w:szCs w:val="20"/>
          <w:color w:val="auto"/>
        </w:rPr>
      </w:pPr>
    </w:p>
    <w:p>
      <w:pPr>
        <w:sectPr>
          <w:pgSz w:w="11900" w:h="16838" w:orient="portrait"/>
          <w:cols w:equalWidth="0" w:num="2">
            <w:col w:w="7740" w:space="720"/>
            <w:col w:w="2420"/>
          </w:cols>
          <w:pgMar w:left="220" w:top="127" w:right="799" w:bottom="1440" w:gutter="0" w:footer="0" w:header="0"/>
          <w:type w:val="continuous"/>
        </w:sectPr>
      </w:pPr>
    </w:p>
    <w:p>
      <w:pPr>
        <w:ind w:left="1820"/>
        <w:spacing w:after="0"/>
        <w:rPr>
          <w:sz w:val="20"/>
          <w:szCs w:val="20"/>
          <w:color w:val="auto"/>
        </w:rPr>
      </w:pPr>
      <w:r>
        <w:rPr>
          <w:rFonts w:ascii="Arial" w:cs="Arial" w:eastAsia="Arial" w:hAnsi="Arial"/>
          <w:sz w:val="11"/>
          <w:szCs w:val="11"/>
          <w:b w:val="1"/>
          <w:bCs w:val="1"/>
          <w:color w:val="auto"/>
        </w:rPr>
        <w:t>Class A Nonvoting Common Stock,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1952625</wp:posOffset>
            </wp:positionH>
            <wp:positionV relativeFrom="paragraph">
              <wp:posOffset>-78105</wp:posOffset>
            </wp:positionV>
            <wp:extent cx="311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22" w:lineRule="exact"/>
        <w:rPr>
          <w:sz w:val="20"/>
          <w:szCs w:val="20"/>
          <w:color w:val="auto"/>
        </w:rPr>
      </w:pPr>
    </w:p>
    <w:p>
      <w:pPr>
        <w:ind w:left="2780"/>
        <w:spacing w:after="0"/>
        <w:rPr>
          <w:sz w:val="20"/>
          <w:szCs w:val="20"/>
          <w:color w:val="auto"/>
        </w:rPr>
      </w:pPr>
      <w:r>
        <w:rPr>
          <w:rFonts w:ascii="Arial" w:cs="Arial" w:eastAsia="Arial" w:hAnsi="Arial"/>
          <w:sz w:val="13"/>
          <w:szCs w:val="13"/>
          <w:b w:val="1"/>
          <w:bCs w:val="1"/>
          <w:color w:val="auto"/>
        </w:rPr>
        <w:t>$.01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-78105</wp:posOffset>
            </wp:positionV>
            <wp:extent cx="311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266" w:lineRule="exact"/>
        <w:rPr>
          <w:sz w:val="20"/>
          <w:szCs w:val="20"/>
          <w:color w:val="auto"/>
        </w:rPr>
      </w:pPr>
    </w:p>
    <w:p>
      <w:pPr>
        <w:sectPr>
          <w:pgSz w:w="11900" w:h="16838" w:orient="portrait"/>
          <w:cols w:equalWidth="0" w:num="2">
            <w:col w:w="7020" w:space="720"/>
            <w:col w:w="3140"/>
          </w:cols>
          <w:pgMar w:left="220" w:top="127" w:right="799" w:bottom="1440" w:gutter="0" w:footer="0" w:header="0"/>
          <w:type w:val="continuous"/>
        </w:sectPr>
      </w:pPr>
    </w:p>
    <w:p>
      <w:pPr>
        <w:jc w:val="center"/>
        <w:ind w:right="-599"/>
        <w:spacing w:after="0"/>
        <w:rPr>
          <w:sz w:val="20"/>
          <w:szCs w:val="20"/>
          <w:color w:val="auto"/>
        </w:rPr>
      </w:pPr>
      <w:r>
        <w:rPr>
          <w:rFonts w:ascii="Arial" w:cs="Arial" w:eastAsia="Arial" w:hAnsi="Arial"/>
          <w:sz w:val="11"/>
          <w:szCs w:val="11"/>
          <w:b w:val="1"/>
          <w:bCs w:val="1"/>
          <w:color w:val="auto"/>
        </w:rPr>
        <w:t>Securities registered pursuant to Section 12(g) of the Act:</w:t>
      </w:r>
    </w:p>
    <w:p>
      <w:pPr>
        <w:spacing w:after="0" w:line="42" w:lineRule="exact"/>
        <w:rPr>
          <w:sz w:val="20"/>
          <w:szCs w:val="20"/>
          <w:color w:val="auto"/>
        </w:rPr>
      </w:pPr>
    </w:p>
    <w:p>
      <w:pPr>
        <w:jc w:val="center"/>
        <w:ind w:right="-599"/>
        <w:spacing w:after="0"/>
        <w:rPr>
          <w:sz w:val="20"/>
          <w:szCs w:val="20"/>
          <w:color w:val="auto"/>
        </w:rPr>
      </w:pPr>
      <w:r>
        <w:rPr>
          <w:rFonts w:ascii="Arial" w:cs="Arial" w:eastAsia="Arial" w:hAnsi="Arial"/>
          <w:sz w:val="13"/>
          <w:szCs w:val="13"/>
          <w:b w:val="1"/>
          <w:bCs w:val="1"/>
          <w:color w:val="auto"/>
        </w:rPr>
        <w:t>None</w:t>
      </w:r>
    </w:p>
    <w:p>
      <w:pPr>
        <w:sectPr>
          <w:pgSz w:w="11900" w:h="16838" w:orient="portrait"/>
          <w:cols w:equalWidth="0" w:num="1">
            <w:col w:w="10880"/>
          </w:cols>
          <w:pgMar w:left="220" w:top="127" w:right="799" w:bottom="1440" w:gutter="0" w:footer="0" w:header="0"/>
          <w:type w:val="continuous"/>
        </w:sectPr>
      </w:pPr>
    </w:p>
    <w:p>
      <w:pPr>
        <w:spacing w:after="0" w:line="64" w:lineRule="exact"/>
        <w:rPr>
          <w:sz w:val="20"/>
          <w:szCs w:val="20"/>
          <w:color w:val="auto"/>
        </w:rPr>
      </w:pPr>
    </w:p>
    <w:p>
      <w:pPr>
        <w:ind w:left="780"/>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No o</w:t>
      </w:r>
    </w:p>
    <w:p>
      <w:pPr>
        <w:spacing w:after="0" w:line="83" w:lineRule="exact"/>
        <w:rPr>
          <w:sz w:val="20"/>
          <w:szCs w:val="20"/>
          <w:color w:val="auto"/>
        </w:rPr>
      </w:pPr>
    </w:p>
    <w:p>
      <w:pPr>
        <w:sectPr>
          <w:pgSz w:w="11900" w:h="16838" w:orient="portrait"/>
          <w:cols w:equalWidth="0" w:num="2">
            <w:col w:w="7320" w:space="160"/>
            <w:col w:w="3400"/>
          </w:cols>
          <w:pgMar w:left="220" w:top="127" w:right="799" w:bottom="1440" w:gutter="0" w:footer="0" w:header="0"/>
          <w:type w:val="continuous"/>
        </w:sectPr>
      </w:pPr>
    </w:p>
    <w:p>
      <w:pPr>
        <w:spacing w:after="0" w:line="25" w:lineRule="exact"/>
        <w:rPr>
          <w:sz w:val="20"/>
          <w:szCs w:val="20"/>
          <w:color w:val="auto"/>
        </w:rPr>
      </w:pPr>
    </w:p>
    <w:p>
      <w:pPr>
        <w:ind w:left="78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44" w:lineRule="exact"/>
        <w:rPr>
          <w:sz w:val="20"/>
          <w:szCs w:val="20"/>
          <w:color w:val="auto"/>
        </w:rPr>
      </w:pPr>
    </w:p>
    <w:p>
      <w:pPr>
        <w:sectPr>
          <w:pgSz w:w="11900" w:h="16838" w:orient="portrait"/>
          <w:cols w:equalWidth="0" w:num="2">
            <w:col w:w="7400" w:space="160"/>
            <w:col w:w="3320"/>
          </w:cols>
          <w:pgMar w:left="220" w:top="127" w:right="799" w:bottom="1440" w:gutter="0" w:footer="0" w:header="0"/>
          <w:type w:val="continuous"/>
        </w:sectPr>
      </w:pPr>
    </w:p>
    <w:p>
      <w:pPr>
        <w:ind w:left="460" w:right="80" w:firstLine="317"/>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460" w:right="120" w:firstLine="317"/>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or a non-accelerated filer. See definition of “accelerated filer and large accelerated filer” in</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Rule 12b-2 of the Exchange Act. (Check one):</w:t>
      </w:r>
    </w:p>
    <w:p>
      <w:pPr>
        <w:sectPr>
          <w:pgSz w:w="11900" w:h="16838" w:orient="portrait"/>
          <w:cols w:equalWidth="0" w:num="1">
            <w:col w:w="10880"/>
          </w:cols>
          <w:pgMar w:left="220" w:top="127" w:right="799" w:bottom="1440" w:gutter="0" w:footer="0" w:header="0"/>
          <w:type w:val="continuous"/>
        </w:sectPr>
      </w:pPr>
    </w:p>
    <w:p>
      <w:pPr>
        <w:spacing w:after="0" w:line="25" w:lineRule="exact"/>
        <w:rPr>
          <w:sz w:val="20"/>
          <w:szCs w:val="20"/>
          <w:color w:val="auto"/>
        </w:rPr>
      </w:pPr>
    </w:p>
    <w:p>
      <w:pPr>
        <w:ind w:left="366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Non-accelerated filer o</w:t>
      </w:r>
    </w:p>
    <w:p>
      <w:pPr>
        <w:spacing w:after="0" w:line="83" w:lineRule="exact"/>
        <w:rPr>
          <w:sz w:val="20"/>
          <w:szCs w:val="20"/>
          <w:color w:val="auto"/>
        </w:rPr>
      </w:pPr>
    </w:p>
    <w:p>
      <w:pPr>
        <w:sectPr>
          <w:pgSz w:w="11900" w:h="16838" w:orient="portrait"/>
          <w:cols w:equalWidth="0" w:num="3">
            <w:col w:w="4980" w:space="320"/>
            <w:col w:w="980" w:space="320"/>
            <w:col w:w="4280"/>
          </w:cols>
          <w:pgMar w:left="220" w:top="127" w:right="799" w:bottom="1440" w:gutter="0" w:footer="0" w:header="0"/>
          <w:type w:val="continuous"/>
        </w:sectPr>
      </w:pPr>
    </w:p>
    <w:p>
      <w:pPr>
        <w:spacing w:after="0" w:line="25" w:lineRule="exact"/>
        <w:rPr>
          <w:sz w:val="20"/>
          <w:szCs w:val="20"/>
          <w:color w:val="auto"/>
        </w:rPr>
      </w:pPr>
    </w:p>
    <w:p>
      <w:pPr>
        <w:ind w:left="78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6520" w:space="160"/>
            <w:col w:w="4200"/>
          </w:cols>
          <w:pgMar w:left="220" w:top="127" w:right="799" w:bottom="1440" w:gutter="0" w:footer="0" w:header="0"/>
          <w:type w:val="continuous"/>
        </w:sectPr>
      </w:pPr>
    </w:p>
    <w:p>
      <w:pPr>
        <w:ind w:left="780"/>
        <w:spacing w:after="0"/>
        <w:rPr>
          <w:sz w:val="20"/>
          <w:szCs w:val="20"/>
          <w:color w:val="auto"/>
        </w:rPr>
      </w:pPr>
      <w:r>
        <w:rPr>
          <w:rFonts w:ascii="Arial" w:cs="Arial" w:eastAsia="Arial" w:hAnsi="Arial"/>
          <w:sz w:val="12"/>
          <w:szCs w:val="12"/>
          <w:color w:val="auto"/>
        </w:rPr>
        <w:t>The aggregate market value of the non-voting common stock held by non-affiliates of the registrant as of January 31, 2007, was approximately $1,762,270,644 (based on closing sale price of</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1"/>
          <w:szCs w:val="11"/>
          <w:color w:val="auto"/>
        </w:rPr>
        <w:t>$37.45 per share on that date as reported for the New York Stock Exchange). As of September 24, 2007, there were outstanding 50,830,420 shares of Class A Nonvoting Common Stock (the “Class A</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Common Stock”), and 3,538,628 shares of Class B Common Stock. 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80645</wp:posOffset>
            </wp:positionV>
            <wp:extent cx="669734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9734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196215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80"/>
          </w:cols>
          <w:pgMar w:left="220" w:top="127" w:right="79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gridSpan w:val="8"/>
          </w:tcPr>
          <w:p>
            <w:pPr>
              <w:jc w:val="center"/>
              <w:ind w:right="4100"/>
              <w:spacing w:after="0"/>
              <w:rPr>
                <w:sz w:val="20"/>
                <w:szCs w:val="20"/>
                <w:color w:val="auto"/>
              </w:rPr>
            </w:pPr>
            <w:r>
              <w:rPr>
                <w:rFonts w:ascii="Arial" w:cs="Arial" w:eastAsia="Arial" w:hAnsi="Arial"/>
                <w:sz w:val="13"/>
                <w:szCs w:val="13"/>
                <w:b w:val="1"/>
                <w:bCs w:val="1"/>
                <w:color w:val="auto"/>
              </w:rPr>
              <w:t>INDEX</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86"/>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8"/>
          </w:tcPr>
          <w:p>
            <w:pPr>
              <w:jc w:val="center"/>
              <w:ind w:right="4100"/>
              <w:spacing w:after="0"/>
              <w:rPr>
                <w:rFonts w:ascii="Arial" w:cs="Arial" w:eastAsia="Arial" w:hAnsi="Arial"/>
                <w:sz w:val="13"/>
                <w:szCs w:val="13"/>
                <w:b w:val="1"/>
                <w:bCs w:val="1"/>
                <w:color w:val="0000EE"/>
                <w:w w:val="98"/>
              </w:rPr>
            </w:pPr>
            <w:hyperlink w:anchor="page5">
              <w:r>
                <w:rPr>
                  <w:rFonts w:ascii="Arial" w:cs="Arial" w:eastAsia="Arial" w:hAnsi="Arial"/>
                  <w:sz w:val="13"/>
                  <w:szCs w:val="13"/>
                  <w:b w:val="1"/>
                  <w:bCs w:val="1"/>
                  <w:color w:val="0000EE"/>
                  <w:w w:val="98"/>
                </w:rPr>
                <w:t>PART I</w:t>
              </w:r>
            </w:hyperlink>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7"/>
        </w:trPr>
        <w:tc>
          <w:tcPr>
            <w:tcW w:w="1060" w:type="dxa"/>
            <w:vAlign w:val="bottom"/>
          </w:tcPr>
          <w:p>
            <w:pPr>
              <w:spacing w:after="0"/>
              <w:rPr>
                <w:sz w:val="11"/>
                <w:szCs w:val="11"/>
                <w:color w:val="auto"/>
              </w:rPr>
            </w:pPr>
          </w:p>
        </w:tc>
        <w:tc>
          <w:tcPr>
            <w:tcW w:w="1020" w:type="dxa"/>
            <w:vAlign w:val="bottom"/>
            <w:gridSpan w:val="4"/>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Item 1.</w:t>
              </w:r>
            </w:hyperlink>
          </w:p>
        </w:tc>
        <w:tc>
          <w:tcPr>
            <w:tcW w:w="3380" w:type="dxa"/>
            <w:vAlign w:val="bottom"/>
            <w:gridSpan w:val="34"/>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100" w:type="dxa"/>
            <w:vAlign w:val="bottom"/>
            <w:gridSpan w:val="7"/>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I-1</w:t>
            </w:r>
          </w:p>
        </w:tc>
        <w:tc>
          <w:tcPr>
            <w:tcW w:w="80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tcBorders>
              <w:bottom w:val="single" w:sz="8" w:color="0000EE"/>
            </w:tcBorders>
            <w:gridSpan w:val="21"/>
          </w:tcPr>
          <w:p>
            <w:pPr>
              <w:spacing w:after="0" w:line="138" w:lineRule="exact"/>
              <w:rPr>
                <w:rFonts w:ascii="Arial" w:cs="Arial" w:eastAsia="Arial" w:hAnsi="Arial"/>
                <w:sz w:val="13"/>
                <w:szCs w:val="13"/>
                <w:color w:val="0000EE"/>
                <w:w w:val="90"/>
              </w:rPr>
            </w:pPr>
            <w:hyperlink w:anchor="page5">
              <w:r>
                <w:rPr>
                  <w:rFonts w:ascii="Arial" w:cs="Arial" w:eastAsia="Arial" w:hAnsi="Arial"/>
                  <w:sz w:val="13"/>
                  <w:szCs w:val="13"/>
                  <w:color w:val="0000EE"/>
                  <w:w w:val="90"/>
                </w:rPr>
                <w:t>General Development of Business</w:t>
              </w:r>
            </w:hyperlink>
          </w:p>
        </w:tc>
        <w:tc>
          <w:tcPr>
            <w:tcW w:w="6100" w:type="dxa"/>
            <w:vAlign w:val="bottom"/>
            <w:gridSpan w:val="21"/>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I-1</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520" w:type="dxa"/>
            <w:vAlign w:val="bottom"/>
            <w:tcBorders>
              <w:bottom w:val="single" w:sz="8" w:color="0000EE"/>
            </w:tcBorders>
            <w:gridSpan w:val="27"/>
          </w:tcPr>
          <w:p>
            <w:pPr>
              <w:spacing w:after="0" w:line="138" w:lineRule="exact"/>
              <w:rPr>
                <w:rFonts w:ascii="Arial" w:cs="Arial" w:eastAsia="Arial" w:hAnsi="Arial"/>
                <w:sz w:val="13"/>
                <w:szCs w:val="13"/>
                <w:color w:val="0000EE"/>
                <w:w w:val="92"/>
              </w:rPr>
            </w:pPr>
            <w:hyperlink w:anchor="page5">
              <w:r>
                <w:rPr>
                  <w:rFonts w:ascii="Arial" w:cs="Arial" w:eastAsia="Arial" w:hAnsi="Arial"/>
                  <w:sz w:val="13"/>
                  <w:szCs w:val="13"/>
                  <w:color w:val="0000EE"/>
                  <w:w w:val="92"/>
                </w:rPr>
                <w:t>Financial Information About Industry Segments</w:t>
              </w:r>
            </w:hyperlink>
          </w:p>
        </w:tc>
        <w:tc>
          <w:tcPr>
            <w:tcW w:w="5380" w:type="dxa"/>
            <w:vAlign w:val="bottom"/>
            <w:gridSpan w:val="15"/>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I-1</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tcBorders>
              <w:bottom w:val="single" w:sz="8" w:color="0000EE"/>
            </w:tcBorders>
            <w:gridSpan w:val="20"/>
          </w:tcPr>
          <w:p>
            <w:pPr>
              <w:spacing w:after="0" w:line="138" w:lineRule="exact"/>
              <w:rPr>
                <w:rFonts w:ascii="Arial" w:cs="Arial" w:eastAsia="Arial" w:hAnsi="Arial"/>
                <w:sz w:val="13"/>
                <w:szCs w:val="13"/>
                <w:color w:val="0000EE"/>
                <w:w w:val="91"/>
              </w:rPr>
            </w:pPr>
            <w:hyperlink w:anchor="page5">
              <w:r>
                <w:rPr>
                  <w:rFonts w:ascii="Arial" w:cs="Arial" w:eastAsia="Arial" w:hAnsi="Arial"/>
                  <w:sz w:val="13"/>
                  <w:szCs w:val="13"/>
                  <w:color w:val="0000EE"/>
                  <w:w w:val="91"/>
                </w:rPr>
                <w:t>Narrative Description of Business</w:t>
              </w:r>
            </w:hyperlink>
          </w:p>
        </w:tc>
        <w:tc>
          <w:tcPr>
            <w:tcW w:w="6120" w:type="dxa"/>
            <w:vAlign w:val="bottom"/>
            <w:gridSpan w:val="22"/>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I-1</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Borders>
              <w:bottom w:val="single" w:sz="8" w:color="0000EE"/>
            </w:tcBorders>
            <w:gridSpan w:val="4"/>
          </w:tcPr>
          <w:p>
            <w:pPr>
              <w:spacing w:after="0" w:line="138" w:lineRule="exact"/>
              <w:rPr>
                <w:rFonts w:ascii="Arial" w:cs="Arial" w:eastAsia="Arial" w:hAnsi="Arial"/>
                <w:sz w:val="13"/>
                <w:szCs w:val="13"/>
                <w:color w:val="0000EE"/>
                <w:w w:val="92"/>
              </w:rPr>
            </w:pPr>
            <w:hyperlink w:anchor="page5">
              <w:r>
                <w:rPr>
                  <w:rFonts w:ascii="Arial" w:cs="Arial" w:eastAsia="Arial" w:hAnsi="Arial"/>
                  <w:sz w:val="13"/>
                  <w:szCs w:val="13"/>
                  <w:color w:val="0000EE"/>
                  <w:w w:val="92"/>
                </w:rPr>
                <w:t>Overview</w:t>
              </w:r>
            </w:hyperlink>
          </w:p>
        </w:tc>
        <w:tc>
          <w:tcPr>
            <w:tcW w:w="7380" w:type="dxa"/>
            <w:vAlign w:val="bottom"/>
            <w:gridSpan w:val="38"/>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I-1</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900" w:type="dxa"/>
            <w:vAlign w:val="bottom"/>
            <w:gridSpan w:val="42"/>
          </w:tcPr>
          <w:p>
            <w:pPr>
              <w:spacing w:after="0" w:line="138" w:lineRule="exact"/>
              <w:rPr>
                <w:rFonts w:ascii="Arial" w:cs="Arial" w:eastAsia="Arial" w:hAnsi="Arial"/>
                <w:sz w:val="13"/>
                <w:szCs w:val="13"/>
                <w:color w:val="0000EE"/>
              </w:rPr>
            </w:pPr>
            <w:hyperlink w:anchor="page6">
              <w:r>
                <w:rPr>
                  <w:rFonts w:ascii="Arial" w:cs="Arial" w:eastAsia="Arial" w:hAnsi="Arial"/>
                  <w:sz w:val="13"/>
                  <w:szCs w:val="13"/>
                  <w:color w:val="0000EE"/>
                </w:rPr>
                <w:t>Competitive Strengths</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I-2</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Borders>
              <w:top w:val="single" w:sz="8" w:color="0000EE"/>
            </w:tcBorders>
            <w:gridSpan w:val="13"/>
          </w:tcPr>
          <w:p>
            <w:pPr>
              <w:spacing w:after="0" w:line="138" w:lineRule="exact"/>
              <w:rPr>
                <w:rFonts w:ascii="Arial" w:cs="Arial" w:eastAsia="Arial" w:hAnsi="Arial"/>
                <w:sz w:val="13"/>
                <w:szCs w:val="13"/>
                <w:color w:val="0000EE"/>
              </w:rPr>
            </w:pPr>
            <w:hyperlink w:anchor="page7">
              <w:r>
                <w:rPr>
                  <w:rFonts w:ascii="Arial" w:cs="Arial" w:eastAsia="Arial" w:hAnsi="Arial"/>
                  <w:sz w:val="13"/>
                  <w:szCs w:val="13"/>
                  <w:color w:val="0000EE"/>
                </w:rPr>
                <w:t>Key Strategies</w:t>
              </w:r>
            </w:hyperlink>
          </w:p>
        </w:tc>
        <w:tc>
          <w:tcPr>
            <w:tcW w:w="6740" w:type="dxa"/>
            <w:vAlign w:val="bottom"/>
            <w:gridSpan w:val="29"/>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I-3</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5"/>
              </w:rPr>
            </w:pPr>
            <w:hyperlink w:anchor="page8">
              <w:r>
                <w:rPr>
                  <w:rFonts w:ascii="Arial" w:cs="Arial" w:eastAsia="Arial" w:hAnsi="Arial"/>
                  <w:sz w:val="13"/>
                  <w:szCs w:val="13"/>
                  <w:color w:val="0000EE"/>
                  <w:w w:val="85"/>
                </w:rPr>
                <w:t>Products</w:t>
              </w:r>
            </w:hyperlink>
          </w:p>
        </w:tc>
        <w:tc>
          <w:tcPr>
            <w:tcW w:w="280" w:type="dxa"/>
            <w:vAlign w:val="bottom"/>
            <w:tcBorders>
              <w:top w:val="single" w:sz="8" w:color="0000EE"/>
            </w:tcBorders>
            <w:gridSpan w:val="7"/>
          </w:tcPr>
          <w:p>
            <w:pPr>
              <w:spacing w:after="0"/>
              <w:rPr>
                <w:sz w:val="11"/>
                <w:szCs w:val="11"/>
                <w:color w:val="auto"/>
              </w:rPr>
            </w:pPr>
          </w:p>
        </w:tc>
        <w:tc>
          <w:tcPr>
            <w:tcW w:w="7140" w:type="dxa"/>
            <w:vAlign w:val="bottom"/>
            <w:gridSpan w:val="32"/>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I-4</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Borders>
              <w:bottom w:val="single" w:sz="8" w:color="0000EE"/>
            </w:tcBorders>
            <w:gridSpan w:val="12"/>
          </w:tcPr>
          <w:p>
            <w:pPr>
              <w:spacing w:after="0" w:line="138" w:lineRule="exact"/>
              <w:rPr>
                <w:rFonts w:ascii="Arial" w:cs="Arial" w:eastAsia="Arial" w:hAnsi="Arial"/>
                <w:sz w:val="13"/>
                <w:szCs w:val="13"/>
                <w:color w:val="0000EE"/>
                <w:w w:val="89"/>
              </w:rPr>
            </w:pPr>
            <w:hyperlink w:anchor="page10">
              <w:r>
                <w:rPr>
                  <w:rFonts w:ascii="Arial" w:cs="Arial" w:eastAsia="Arial" w:hAnsi="Arial"/>
                  <w:sz w:val="13"/>
                  <w:szCs w:val="13"/>
                  <w:color w:val="0000EE"/>
                  <w:w w:val="89"/>
                </w:rPr>
                <w:t>Marketing and Sales</w:t>
              </w:r>
            </w:hyperlink>
          </w:p>
        </w:tc>
        <w:tc>
          <w:tcPr>
            <w:tcW w:w="6820" w:type="dxa"/>
            <w:vAlign w:val="bottom"/>
            <w:gridSpan w:val="30"/>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I-6</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900" w:type="dxa"/>
            <w:vAlign w:val="bottom"/>
            <w:gridSpan w:val="42"/>
          </w:tcPr>
          <w:p>
            <w:pPr>
              <w:spacing w:after="0" w:line="138" w:lineRule="exact"/>
              <w:rPr>
                <w:rFonts w:ascii="Arial" w:cs="Arial" w:eastAsia="Arial" w:hAnsi="Arial"/>
                <w:sz w:val="13"/>
                <w:szCs w:val="13"/>
                <w:color w:val="0000EE"/>
              </w:rPr>
            </w:pPr>
            <w:hyperlink w:anchor="page10">
              <w:r>
                <w:rPr>
                  <w:rFonts w:ascii="Arial" w:cs="Arial" w:eastAsia="Arial" w:hAnsi="Arial"/>
                  <w:sz w:val="13"/>
                  <w:szCs w:val="13"/>
                  <w:color w:val="0000EE"/>
                </w:rPr>
                <w:t>Brands</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I-6</w:t>
            </w:r>
          </w:p>
        </w:tc>
        <w:tc>
          <w:tcPr>
            <w:tcW w:w="80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900" w:type="dxa"/>
            <w:vAlign w:val="bottom"/>
            <w:gridSpan w:val="42"/>
          </w:tcPr>
          <w:p>
            <w:pPr>
              <w:spacing w:after="0" w:line="138" w:lineRule="exact"/>
              <w:rPr>
                <w:rFonts w:ascii="Arial" w:cs="Arial" w:eastAsia="Arial" w:hAnsi="Arial"/>
                <w:sz w:val="13"/>
                <w:szCs w:val="13"/>
                <w:color w:val="0000EE"/>
              </w:rPr>
            </w:pPr>
            <w:hyperlink w:anchor="page10">
              <w:r>
                <w:rPr>
                  <w:rFonts w:ascii="Arial" w:cs="Arial" w:eastAsia="Arial" w:hAnsi="Arial"/>
                  <w:sz w:val="13"/>
                  <w:szCs w:val="13"/>
                  <w:color w:val="0000EE"/>
                </w:rPr>
                <w:t>Manufacturing Process and Raw Materials</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I-6</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20" w:type="dxa"/>
            <w:vAlign w:val="bottom"/>
            <w:tcBorders>
              <w:top w:val="single" w:sz="8" w:color="0000EE"/>
              <w:bottom w:val="single" w:sz="8" w:color="0000EE"/>
            </w:tcBorders>
            <w:gridSpan w:val="23"/>
          </w:tcPr>
          <w:p>
            <w:pPr>
              <w:spacing w:after="0" w:line="138" w:lineRule="exact"/>
              <w:rPr>
                <w:rFonts w:ascii="Arial" w:cs="Arial" w:eastAsia="Arial" w:hAnsi="Arial"/>
                <w:sz w:val="13"/>
                <w:szCs w:val="13"/>
                <w:color w:val="0000EE"/>
                <w:w w:val="90"/>
              </w:rPr>
            </w:pPr>
            <w:hyperlink w:anchor="page11">
              <w:r>
                <w:rPr>
                  <w:rFonts w:ascii="Arial" w:cs="Arial" w:eastAsia="Arial" w:hAnsi="Arial"/>
                  <w:sz w:val="13"/>
                  <w:szCs w:val="13"/>
                  <w:color w:val="0000EE"/>
                  <w:w w:val="90"/>
                </w:rPr>
                <w:t>Technology and Product Development</w:t>
              </w:r>
            </w:hyperlink>
          </w:p>
        </w:tc>
        <w:tc>
          <w:tcPr>
            <w:tcW w:w="200" w:type="dxa"/>
            <w:vAlign w:val="bottom"/>
            <w:tcBorders>
              <w:top w:val="single" w:sz="8" w:color="0000EE"/>
            </w:tcBorders>
            <w:gridSpan w:val="2"/>
          </w:tcPr>
          <w:p>
            <w:pPr>
              <w:spacing w:after="0"/>
              <w:rPr>
                <w:sz w:val="11"/>
                <w:szCs w:val="11"/>
                <w:color w:val="auto"/>
              </w:rPr>
            </w:pPr>
          </w:p>
        </w:tc>
        <w:tc>
          <w:tcPr>
            <w:tcW w:w="5680" w:type="dxa"/>
            <w:vAlign w:val="bottom"/>
            <w:gridSpan w:val="17"/>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I-7</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Borders>
              <w:bottom w:val="single" w:sz="8" w:color="0000EE"/>
            </w:tcBorders>
            <w:gridSpan w:val="15"/>
          </w:tcPr>
          <w:p>
            <w:pPr>
              <w:spacing w:after="0" w:line="138" w:lineRule="exact"/>
              <w:rPr>
                <w:rFonts w:ascii="Arial" w:cs="Arial" w:eastAsia="Arial" w:hAnsi="Arial"/>
                <w:sz w:val="13"/>
                <w:szCs w:val="13"/>
                <w:color w:val="0000EE"/>
                <w:w w:val="90"/>
              </w:rPr>
            </w:pPr>
            <w:hyperlink w:anchor="page11">
              <w:r>
                <w:rPr>
                  <w:rFonts w:ascii="Arial" w:cs="Arial" w:eastAsia="Arial" w:hAnsi="Arial"/>
                  <w:sz w:val="13"/>
                  <w:szCs w:val="13"/>
                  <w:color w:val="0000EE"/>
                  <w:w w:val="90"/>
                </w:rPr>
                <w:t>International Operations</w:t>
              </w:r>
            </w:hyperlink>
          </w:p>
        </w:tc>
        <w:tc>
          <w:tcPr>
            <w:tcW w:w="6620" w:type="dxa"/>
            <w:vAlign w:val="bottom"/>
            <w:gridSpan w:val="27"/>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I-7</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900" w:type="dxa"/>
            <w:vAlign w:val="bottom"/>
            <w:gridSpan w:val="42"/>
          </w:tcPr>
          <w:p>
            <w:pPr>
              <w:spacing w:after="0" w:line="138" w:lineRule="exact"/>
              <w:rPr>
                <w:rFonts w:ascii="Arial" w:cs="Arial" w:eastAsia="Arial" w:hAnsi="Arial"/>
                <w:sz w:val="13"/>
                <w:szCs w:val="13"/>
                <w:color w:val="0000EE"/>
              </w:rPr>
            </w:pPr>
            <w:hyperlink w:anchor="page12">
              <w:r>
                <w:rPr>
                  <w:rFonts w:ascii="Arial" w:cs="Arial" w:eastAsia="Arial" w:hAnsi="Arial"/>
                  <w:sz w:val="13"/>
                  <w:szCs w:val="13"/>
                  <w:color w:val="0000EE"/>
                </w:rPr>
                <w:t>Competition</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I-8</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12">
              <w:r>
                <w:rPr>
                  <w:rFonts w:ascii="Arial" w:cs="Arial" w:eastAsia="Arial" w:hAnsi="Arial"/>
                  <w:sz w:val="13"/>
                  <w:szCs w:val="13"/>
                  <w:color w:val="0000EE"/>
                  <w:w w:val="90"/>
                </w:rPr>
                <w:t>Backlog</w:t>
              </w:r>
            </w:hyperlink>
          </w:p>
        </w:tc>
        <w:tc>
          <w:tcPr>
            <w:tcW w:w="200" w:type="dxa"/>
            <w:vAlign w:val="bottom"/>
            <w:tcBorders>
              <w:top w:val="single" w:sz="8" w:color="0000EE"/>
            </w:tcBorders>
            <w:gridSpan w:val="4"/>
          </w:tcPr>
          <w:p>
            <w:pPr>
              <w:spacing w:after="0"/>
              <w:rPr>
                <w:sz w:val="11"/>
                <w:szCs w:val="11"/>
                <w:color w:val="auto"/>
              </w:rPr>
            </w:pPr>
          </w:p>
        </w:tc>
        <w:tc>
          <w:tcPr>
            <w:tcW w:w="7260" w:type="dxa"/>
            <w:vAlign w:val="bottom"/>
            <w:gridSpan w:val="36"/>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I-8</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Borders>
              <w:bottom w:val="single" w:sz="8" w:color="0000EE"/>
            </w:tcBorders>
            <w:gridSpan w:val="9"/>
          </w:tcPr>
          <w:p>
            <w:pPr>
              <w:spacing w:after="0" w:line="138" w:lineRule="exact"/>
              <w:rPr>
                <w:rFonts w:ascii="Arial" w:cs="Arial" w:eastAsia="Arial" w:hAnsi="Arial"/>
                <w:sz w:val="13"/>
                <w:szCs w:val="13"/>
                <w:color w:val="0000EE"/>
                <w:w w:val="93"/>
              </w:rPr>
            </w:pPr>
            <w:hyperlink w:anchor="page12">
              <w:r>
                <w:rPr>
                  <w:rFonts w:ascii="Arial" w:cs="Arial" w:eastAsia="Arial" w:hAnsi="Arial"/>
                  <w:sz w:val="13"/>
                  <w:szCs w:val="13"/>
                  <w:color w:val="0000EE"/>
                  <w:w w:val="93"/>
                </w:rPr>
                <w:t>Environment</w:t>
              </w:r>
            </w:hyperlink>
          </w:p>
        </w:tc>
        <w:tc>
          <w:tcPr>
            <w:tcW w:w="7200" w:type="dxa"/>
            <w:vAlign w:val="bottom"/>
            <w:gridSpan w:val="33"/>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I-8</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Borders>
              <w:bottom w:val="single" w:sz="8" w:color="0000EE"/>
            </w:tcBorders>
            <w:gridSpan w:val="5"/>
          </w:tcPr>
          <w:p>
            <w:pPr>
              <w:spacing w:after="0" w:line="138" w:lineRule="exact"/>
              <w:rPr>
                <w:rFonts w:ascii="Arial" w:cs="Arial" w:eastAsia="Arial" w:hAnsi="Arial"/>
                <w:sz w:val="13"/>
                <w:szCs w:val="13"/>
                <w:color w:val="0000EE"/>
                <w:w w:val="87"/>
              </w:rPr>
            </w:pPr>
            <w:hyperlink w:anchor="page12">
              <w:r>
                <w:rPr>
                  <w:rFonts w:ascii="Arial" w:cs="Arial" w:eastAsia="Arial" w:hAnsi="Arial"/>
                  <w:sz w:val="13"/>
                  <w:szCs w:val="13"/>
                  <w:color w:val="0000EE"/>
                  <w:w w:val="87"/>
                </w:rPr>
                <w:t>Employees</w:t>
              </w:r>
            </w:hyperlink>
          </w:p>
        </w:tc>
        <w:tc>
          <w:tcPr>
            <w:tcW w:w="7320" w:type="dxa"/>
            <w:vAlign w:val="bottom"/>
            <w:gridSpan w:val="37"/>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I-8</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bottom w:val="single" w:sz="8" w:color="0000EE"/>
            </w:tcBorders>
            <w:gridSpan w:val="8"/>
          </w:tcPr>
          <w:p>
            <w:pPr>
              <w:spacing w:after="0" w:line="138" w:lineRule="exact"/>
              <w:rPr>
                <w:rFonts w:ascii="Arial" w:cs="Arial" w:eastAsia="Arial" w:hAnsi="Arial"/>
                <w:sz w:val="13"/>
                <w:szCs w:val="13"/>
                <w:color w:val="0000EE"/>
                <w:w w:val="95"/>
              </w:rPr>
            </w:pPr>
            <w:hyperlink w:anchor="page12">
              <w:r>
                <w:rPr>
                  <w:rFonts w:ascii="Arial" w:cs="Arial" w:eastAsia="Arial" w:hAnsi="Arial"/>
                  <w:sz w:val="13"/>
                  <w:szCs w:val="13"/>
                  <w:color w:val="0000EE"/>
                  <w:w w:val="95"/>
                </w:rPr>
                <w:t>Acquisitions</w:t>
              </w:r>
            </w:hyperlink>
          </w:p>
        </w:tc>
        <w:tc>
          <w:tcPr>
            <w:tcW w:w="7220" w:type="dxa"/>
            <w:vAlign w:val="bottom"/>
            <w:gridSpan w:val="34"/>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I-8</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900" w:type="dxa"/>
            <w:vAlign w:val="bottom"/>
            <w:gridSpan w:val="42"/>
          </w:tcPr>
          <w:p>
            <w:pPr>
              <w:spacing w:after="0" w:line="138" w:lineRule="exact"/>
              <w:rPr>
                <w:rFonts w:ascii="Arial" w:cs="Arial" w:eastAsia="Arial" w:hAnsi="Arial"/>
                <w:sz w:val="13"/>
                <w:szCs w:val="13"/>
                <w:color w:val="0000EE"/>
              </w:rPr>
            </w:pPr>
            <w:hyperlink w:anchor="page12">
              <w:r>
                <w:rPr>
                  <w:rFonts w:ascii="Arial" w:cs="Arial" w:eastAsia="Arial" w:hAnsi="Arial"/>
                  <w:sz w:val="13"/>
                  <w:szCs w:val="13"/>
                  <w:color w:val="0000EE"/>
                </w:rPr>
                <w:t>Financial Information About Foreign and Domestic Operations and Export Sales</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I-8</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20" w:type="dxa"/>
            <w:vAlign w:val="bottom"/>
            <w:tcBorders>
              <w:top w:val="single" w:sz="8" w:color="0000EE"/>
            </w:tcBorders>
            <w:gridSpan w:val="38"/>
          </w:tcPr>
          <w:p>
            <w:pPr>
              <w:spacing w:after="0" w:line="138" w:lineRule="exact"/>
              <w:rPr>
                <w:rFonts w:ascii="Arial" w:cs="Arial" w:eastAsia="Arial" w:hAnsi="Arial"/>
                <w:sz w:val="13"/>
                <w:szCs w:val="13"/>
                <w:color w:val="0000EE"/>
              </w:rPr>
            </w:pPr>
            <w:hyperlink w:anchor="page12">
              <w:r>
                <w:rPr>
                  <w:rFonts w:ascii="Arial" w:cs="Arial" w:eastAsia="Arial" w:hAnsi="Arial"/>
                  <w:sz w:val="13"/>
                  <w:szCs w:val="13"/>
                  <w:color w:val="0000EE"/>
                </w:rPr>
                <w:t>Information Available on the Internet</w:t>
              </w:r>
            </w:hyperlink>
          </w:p>
        </w:tc>
        <w:tc>
          <w:tcPr>
            <w:tcW w:w="3680" w:type="dxa"/>
            <w:vAlign w:val="bottom"/>
            <w:gridSpan w:val="4"/>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I-8</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4"/>
              </w:rPr>
            </w:pPr>
            <w:hyperlink w:anchor="page13">
              <w:r>
                <w:rPr>
                  <w:rFonts w:ascii="Arial" w:cs="Arial" w:eastAsia="Arial" w:hAnsi="Arial"/>
                  <w:sz w:val="13"/>
                  <w:szCs w:val="13"/>
                  <w:color w:val="0000EE"/>
                  <w:w w:val="94"/>
                </w:rPr>
                <w:t>Item 1A.</w:t>
              </w:r>
            </w:hyperlink>
          </w:p>
        </w:tc>
        <w:tc>
          <w:tcPr>
            <w:tcW w:w="540" w:type="dxa"/>
            <w:vAlign w:val="bottom"/>
          </w:tcPr>
          <w:p>
            <w:pPr>
              <w:spacing w:after="0"/>
              <w:rPr>
                <w:sz w:val="11"/>
                <w:szCs w:val="11"/>
                <w:color w:val="auto"/>
              </w:rPr>
            </w:pPr>
          </w:p>
        </w:tc>
        <w:tc>
          <w:tcPr>
            <w:tcW w:w="660" w:type="dxa"/>
            <w:vAlign w:val="bottom"/>
            <w:tcBorders>
              <w:top w:val="single" w:sz="8" w:color="0000EE"/>
              <w:bottom w:val="single" w:sz="8" w:color="0000EE"/>
            </w:tcBorders>
            <w:gridSpan w:val="7"/>
          </w:tcPr>
          <w:p>
            <w:pPr>
              <w:spacing w:after="0" w:line="138" w:lineRule="exact"/>
              <w:rPr>
                <w:rFonts w:ascii="Arial" w:cs="Arial" w:eastAsia="Arial" w:hAnsi="Arial"/>
                <w:sz w:val="13"/>
                <w:szCs w:val="13"/>
                <w:color w:val="0000EE"/>
                <w:w w:val="88"/>
              </w:rPr>
            </w:pPr>
            <w:hyperlink w:anchor="page13">
              <w:r>
                <w:rPr>
                  <w:rFonts w:ascii="Arial" w:cs="Arial" w:eastAsia="Arial" w:hAnsi="Arial"/>
                  <w:sz w:val="13"/>
                  <w:szCs w:val="13"/>
                  <w:color w:val="0000EE"/>
                  <w:w w:val="88"/>
                </w:rPr>
                <w:t>Risk Factors</w:t>
              </w:r>
            </w:hyperlink>
          </w:p>
        </w:tc>
        <w:tc>
          <w:tcPr>
            <w:tcW w:w="1280" w:type="dxa"/>
            <w:vAlign w:val="bottom"/>
            <w:tcBorders>
              <w:top w:val="single" w:sz="8" w:color="0000EE"/>
            </w:tcBorders>
            <w:gridSpan w:val="15"/>
          </w:tcPr>
          <w:p>
            <w:pPr>
              <w:spacing w:after="0"/>
              <w:rPr>
                <w:sz w:val="11"/>
                <w:szCs w:val="11"/>
                <w:color w:val="auto"/>
              </w:rPr>
            </w:pPr>
          </w:p>
        </w:tc>
        <w:tc>
          <w:tcPr>
            <w:tcW w:w="5960" w:type="dxa"/>
            <w:vAlign w:val="bottom"/>
            <w:gridSpan w:val="20"/>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I-9</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460" w:type="dxa"/>
            <w:vAlign w:val="bottom"/>
            <w:gridSpan w:val="2"/>
          </w:tcPr>
          <w:p>
            <w:pPr>
              <w:spacing w:after="0" w:line="138" w:lineRule="exact"/>
              <w:rPr>
                <w:rFonts w:ascii="Arial" w:cs="Arial" w:eastAsia="Arial" w:hAnsi="Arial"/>
                <w:sz w:val="13"/>
                <w:szCs w:val="13"/>
                <w:color w:val="0000EE"/>
                <w:w w:val="90"/>
              </w:rPr>
            </w:pPr>
            <w:hyperlink w:anchor="page16">
              <w:r>
                <w:rPr>
                  <w:rFonts w:ascii="Arial" w:cs="Arial" w:eastAsia="Arial" w:hAnsi="Arial"/>
                  <w:sz w:val="13"/>
                  <w:szCs w:val="13"/>
                  <w:color w:val="0000EE"/>
                  <w:w w:val="90"/>
                </w:rPr>
                <w:t>Item 1B.</w:t>
              </w:r>
            </w:hyperlink>
          </w:p>
        </w:tc>
        <w:tc>
          <w:tcPr>
            <w:tcW w:w="560" w:type="dxa"/>
            <w:vAlign w:val="bottom"/>
            <w:gridSpan w:val="2"/>
          </w:tcPr>
          <w:p>
            <w:pPr>
              <w:spacing w:after="0"/>
              <w:rPr>
                <w:sz w:val="11"/>
                <w:szCs w:val="11"/>
                <w:color w:val="auto"/>
              </w:rPr>
            </w:pPr>
          </w:p>
        </w:tc>
        <w:tc>
          <w:tcPr>
            <w:tcW w:w="7900" w:type="dxa"/>
            <w:vAlign w:val="bottom"/>
            <w:gridSpan w:val="42"/>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Unresolved Staff Comments</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I-12</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460" w:type="dxa"/>
            <w:vAlign w:val="bottom"/>
            <w:tcBorders>
              <w:top w:val="single" w:sz="8" w:color="0000EE"/>
            </w:tcBorders>
            <w:gridSpan w:val="2"/>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Item 2.</w:t>
              </w:r>
            </w:hyperlink>
          </w:p>
        </w:tc>
        <w:tc>
          <w:tcPr>
            <w:tcW w:w="560" w:type="dxa"/>
            <w:vAlign w:val="bottom"/>
            <w:gridSpan w:val="2"/>
          </w:tcPr>
          <w:p>
            <w:pPr>
              <w:spacing w:after="0"/>
              <w:rPr>
                <w:sz w:val="11"/>
                <w:szCs w:val="11"/>
                <w:color w:val="auto"/>
              </w:rPr>
            </w:pPr>
          </w:p>
        </w:tc>
        <w:tc>
          <w:tcPr>
            <w:tcW w:w="1480" w:type="dxa"/>
            <w:vAlign w:val="bottom"/>
            <w:tcBorders>
              <w:top w:val="single" w:sz="8" w:color="0000EE"/>
            </w:tcBorders>
            <w:gridSpan w:val="17"/>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Properties</w:t>
              </w:r>
            </w:hyperlink>
          </w:p>
        </w:tc>
        <w:tc>
          <w:tcPr>
            <w:tcW w:w="6420" w:type="dxa"/>
            <w:vAlign w:val="bottom"/>
            <w:gridSpan w:val="25"/>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I-12</w:t>
            </w:r>
          </w:p>
        </w:tc>
        <w:tc>
          <w:tcPr>
            <w:tcW w:w="80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1020" w:type="dxa"/>
            <w:vAlign w:val="bottom"/>
            <w:gridSpan w:val="4"/>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Item 3.</w:t>
              </w:r>
            </w:hyperlink>
          </w:p>
        </w:tc>
        <w:tc>
          <w:tcPr>
            <w:tcW w:w="7900" w:type="dxa"/>
            <w:vAlign w:val="bottom"/>
            <w:gridSpan w:val="42"/>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Legal Proceedings</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I-12</w:t>
            </w:r>
          </w:p>
        </w:tc>
        <w:tc>
          <w:tcPr>
            <w:tcW w:w="80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11"/>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1020" w:type="dxa"/>
            <w:vAlign w:val="bottom"/>
            <w:gridSpan w:val="4"/>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Item 4.</w:t>
              </w:r>
            </w:hyperlink>
          </w:p>
        </w:tc>
        <w:tc>
          <w:tcPr>
            <w:tcW w:w="7900" w:type="dxa"/>
            <w:vAlign w:val="bottom"/>
            <w:gridSpan w:val="42"/>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Submission of Matters to a Vote of Security Holders</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I-12</w:t>
            </w:r>
          </w:p>
        </w:tc>
        <w:tc>
          <w:tcPr>
            <w:tcW w:w="800" w:type="dxa"/>
            <w:vAlign w:val="bottom"/>
          </w:tcPr>
          <w:p>
            <w:pPr>
              <w:spacing w:after="0"/>
              <w:rPr>
                <w:sz w:val="11"/>
                <w:szCs w:val="11"/>
                <w:color w:val="auto"/>
              </w:rPr>
            </w:pPr>
          </w:p>
        </w:tc>
      </w:tr>
      <w:tr>
        <w:trPr>
          <w:trHeight w:val="255"/>
        </w:trPr>
        <w:tc>
          <w:tcPr>
            <w:tcW w:w="106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17">
              <w:r>
                <w:rPr>
                  <w:rFonts w:ascii="Arial" w:cs="Arial" w:eastAsia="Arial" w:hAnsi="Arial"/>
                  <w:sz w:val="13"/>
                  <w:szCs w:val="13"/>
                  <w:b w:val="1"/>
                  <w:bCs w:val="1"/>
                  <w:color w:val="0000EE"/>
                </w:rPr>
                <w:t>PART II</w:t>
              </w:r>
            </w:hyperlink>
          </w:p>
        </w:tc>
        <w:tc>
          <w:tcPr>
            <w:tcW w:w="4060" w:type="dxa"/>
            <w:vAlign w:val="bottom"/>
            <w:gridSpan w:val="6"/>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7"/>
        </w:trPr>
        <w:tc>
          <w:tcPr>
            <w:tcW w:w="1060" w:type="dxa"/>
            <w:vAlign w:val="bottom"/>
          </w:tcPr>
          <w:p>
            <w:pPr>
              <w:spacing w:after="0"/>
              <w:rPr>
                <w:sz w:val="11"/>
                <w:szCs w:val="11"/>
                <w:color w:val="auto"/>
              </w:rPr>
            </w:pPr>
          </w:p>
        </w:tc>
        <w:tc>
          <w:tcPr>
            <w:tcW w:w="1020" w:type="dxa"/>
            <w:vAlign w:val="bottom"/>
            <w:gridSpan w:val="4"/>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Item 5.</w:t>
              </w:r>
            </w:hyperlink>
          </w:p>
        </w:tc>
        <w:tc>
          <w:tcPr>
            <w:tcW w:w="7900" w:type="dxa"/>
            <w:vAlign w:val="bottom"/>
            <w:gridSpan w:val="42"/>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Market for Registrant’s Common Equity, Related Stockholder Matters and Issuer Purchases of Equity Securities</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II-1</w:t>
            </w:r>
          </w:p>
        </w:tc>
        <w:tc>
          <w:tcPr>
            <w:tcW w:w="80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11"/>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1020" w:type="dxa"/>
            <w:vAlign w:val="bottom"/>
            <w:gridSpan w:val="4"/>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Item 6.</w:t>
              </w:r>
            </w:hyperlink>
          </w:p>
        </w:tc>
        <w:tc>
          <w:tcPr>
            <w:tcW w:w="7900" w:type="dxa"/>
            <w:vAlign w:val="bottom"/>
            <w:gridSpan w:val="42"/>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Selected Financial Data</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II-3</w:t>
            </w:r>
          </w:p>
        </w:tc>
        <w:tc>
          <w:tcPr>
            <w:tcW w:w="80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11"/>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1020" w:type="dxa"/>
            <w:vAlign w:val="bottom"/>
            <w:gridSpan w:val="4"/>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Item 7.</w:t>
              </w:r>
            </w:hyperlink>
          </w:p>
        </w:tc>
        <w:tc>
          <w:tcPr>
            <w:tcW w:w="7900" w:type="dxa"/>
            <w:vAlign w:val="bottom"/>
            <w:gridSpan w:val="42"/>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Management’s Discussion and Analysis of Financial Condition and Results of Operations</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II-4</w:t>
            </w:r>
          </w:p>
        </w:tc>
        <w:tc>
          <w:tcPr>
            <w:tcW w:w="80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11"/>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480" w:type="dxa"/>
            <w:vAlign w:val="bottom"/>
            <w:gridSpan w:val="3"/>
          </w:tcPr>
          <w:p>
            <w:pPr>
              <w:spacing w:after="0" w:line="138" w:lineRule="exact"/>
              <w:rPr>
                <w:rFonts w:ascii="Arial" w:cs="Arial" w:eastAsia="Arial" w:hAnsi="Arial"/>
                <w:sz w:val="13"/>
                <w:szCs w:val="13"/>
                <w:color w:val="0000EE"/>
                <w:w w:val="94"/>
              </w:rPr>
            </w:pPr>
            <w:hyperlink w:anchor="page30">
              <w:r>
                <w:rPr>
                  <w:rFonts w:ascii="Arial" w:cs="Arial" w:eastAsia="Arial" w:hAnsi="Arial"/>
                  <w:sz w:val="13"/>
                  <w:szCs w:val="13"/>
                  <w:color w:val="0000EE"/>
                  <w:w w:val="94"/>
                </w:rPr>
                <w:t>Item 7A.</w:t>
              </w:r>
            </w:hyperlink>
          </w:p>
        </w:tc>
        <w:tc>
          <w:tcPr>
            <w:tcW w:w="540" w:type="dxa"/>
            <w:vAlign w:val="bottom"/>
          </w:tcPr>
          <w:p>
            <w:pPr>
              <w:spacing w:after="0"/>
              <w:rPr>
                <w:sz w:val="11"/>
                <w:szCs w:val="11"/>
                <w:color w:val="auto"/>
              </w:rPr>
            </w:pPr>
          </w:p>
        </w:tc>
        <w:tc>
          <w:tcPr>
            <w:tcW w:w="7900" w:type="dxa"/>
            <w:vAlign w:val="bottom"/>
            <w:gridSpan w:val="42"/>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Quantitative and Qualitative Disclosures About Market Risk</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II-14</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Item 8.</w:t>
              </w:r>
            </w:hyperlink>
          </w:p>
        </w:tc>
        <w:tc>
          <w:tcPr>
            <w:tcW w:w="540" w:type="dxa"/>
            <w:vAlign w:val="bottom"/>
          </w:tcPr>
          <w:p>
            <w:pPr>
              <w:spacing w:after="0"/>
              <w:rPr>
                <w:sz w:val="11"/>
                <w:szCs w:val="11"/>
                <w:color w:val="auto"/>
              </w:rPr>
            </w:pPr>
          </w:p>
        </w:tc>
        <w:tc>
          <w:tcPr>
            <w:tcW w:w="3160" w:type="dxa"/>
            <w:vAlign w:val="bottom"/>
            <w:tcBorders>
              <w:top w:val="single" w:sz="8" w:color="0000EE"/>
            </w:tcBorders>
            <w:gridSpan w:val="30"/>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Financial Statements and Supplementary Data</w:t>
              </w:r>
            </w:hyperlink>
          </w:p>
        </w:tc>
        <w:tc>
          <w:tcPr>
            <w:tcW w:w="4740" w:type="dxa"/>
            <w:vAlign w:val="bottom"/>
            <w:gridSpan w:val="12"/>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II-15</w:t>
            </w:r>
          </w:p>
        </w:tc>
        <w:tc>
          <w:tcPr>
            <w:tcW w:w="80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11"/>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1020" w:type="dxa"/>
            <w:vAlign w:val="bottom"/>
            <w:gridSpan w:val="4"/>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Item 9.</w:t>
              </w:r>
            </w:hyperlink>
          </w:p>
        </w:tc>
        <w:tc>
          <w:tcPr>
            <w:tcW w:w="7900" w:type="dxa"/>
            <w:vAlign w:val="bottom"/>
            <w:gridSpan w:val="42"/>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Changes In and Disagreements With Accountants on Accounting and Financial Disclosure</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II-50</w:t>
            </w:r>
          </w:p>
        </w:tc>
        <w:tc>
          <w:tcPr>
            <w:tcW w:w="80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11"/>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480" w:type="dxa"/>
            <w:vAlign w:val="bottom"/>
            <w:gridSpan w:val="3"/>
          </w:tcPr>
          <w:p>
            <w:pPr>
              <w:spacing w:after="0" w:line="138" w:lineRule="exact"/>
              <w:rPr>
                <w:rFonts w:ascii="Arial" w:cs="Arial" w:eastAsia="Arial" w:hAnsi="Arial"/>
                <w:sz w:val="13"/>
                <w:szCs w:val="13"/>
                <w:color w:val="0000EE"/>
                <w:w w:val="94"/>
              </w:rPr>
            </w:pPr>
            <w:hyperlink w:anchor="page66">
              <w:r>
                <w:rPr>
                  <w:rFonts w:ascii="Arial" w:cs="Arial" w:eastAsia="Arial" w:hAnsi="Arial"/>
                  <w:sz w:val="13"/>
                  <w:szCs w:val="13"/>
                  <w:color w:val="0000EE"/>
                  <w:w w:val="94"/>
                </w:rPr>
                <w:t>Item 9A.</w:t>
              </w:r>
            </w:hyperlink>
          </w:p>
        </w:tc>
        <w:tc>
          <w:tcPr>
            <w:tcW w:w="540" w:type="dxa"/>
            <w:vAlign w:val="bottom"/>
          </w:tcPr>
          <w:p>
            <w:pPr>
              <w:spacing w:after="0"/>
              <w:rPr>
                <w:sz w:val="11"/>
                <w:szCs w:val="11"/>
                <w:color w:val="auto"/>
              </w:rPr>
            </w:pPr>
          </w:p>
        </w:tc>
        <w:tc>
          <w:tcPr>
            <w:tcW w:w="7900" w:type="dxa"/>
            <w:vAlign w:val="bottom"/>
            <w:gridSpan w:val="42"/>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Controls and Procedures</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II-50</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w w:val="94"/>
              </w:rPr>
            </w:pPr>
            <w:hyperlink w:anchor="page68">
              <w:r>
                <w:rPr>
                  <w:rFonts w:ascii="Arial" w:cs="Arial" w:eastAsia="Arial" w:hAnsi="Arial"/>
                  <w:sz w:val="13"/>
                  <w:szCs w:val="13"/>
                  <w:color w:val="0000EE"/>
                  <w:w w:val="94"/>
                </w:rPr>
                <w:t>Item 9B.</w:t>
              </w:r>
            </w:hyperlink>
          </w:p>
        </w:tc>
        <w:tc>
          <w:tcPr>
            <w:tcW w:w="540" w:type="dxa"/>
            <w:vAlign w:val="bottom"/>
          </w:tcPr>
          <w:p>
            <w:pPr>
              <w:spacing w:after="0"/>
              <w:rPr>
                <w:sz w:val="11"/>
                <w:szCs w:val="11"/>
                <w:color w:val="auto"/>
              </w:rPr>
            </w:pPr>
          </w:p>
        </w:tc>
        <w:tc>
          <w:tcPr>
            <w:tcW w:w="1280" w:type="dxa"/>
            <w:vAlign w:val="bottom"/>
            <w:tcBorders>
              <w:top w:val="single" w:sz="8" w:color="0000EE"/>
            </w:tcBorders>
            <w:gridSpan w:val="15"/>
          </w:tcPr>
          <w:p>
            <w:pPr>
              <w:spacing w:after="0" w:line="138" w:lineRule="exact"/>
              <w:rPr>
                <w:rFonts w:ascii="Arial" w:cs="Arial" w:eastAsia="Arial" w:hAnsi="Arial"/>
                <w:sz w:val="13"/>
                <w:szCs w:val="13"/>
                <w:color w:val="0000EE"/>
              </w:rPr>
            </w:pPr>
            <w:hyperlink w:anchor="page68">
              <w:r>
                <w:rPr>
                  <w:rFonts w:ascii="Arial" w:cs="Arial" w:eastAsia="Arial" w:hAnsi="Arial"/>
                  <w:sz w:val="13"/>
                  <w:szCs w:val="13"/>
                  <w:color w:val="0000EE"/>
                </w:rPr>
                <w:t>Other Information</w:t>
              </w:r>
            </w:hyperlink>
          </w:p>
        </w:tc>
        <w:tc>
          <w:tcPr>
            <w:tcW w:w="6620" w:type="dxa"/>
            <w:vAlign w:val="bottom"/>
            <w:gridSpan w:val="27"/>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II-52</w:t>
            </w:r>
          </w:p>
        </w:tc>
        <w:tc>
          <w:tcPr>
            <w:tcW w:w="800" w:type="dxa"/>
            <w:vAlign w:val="bottom"/>
          </w:tcPr>
          <w:p>
            <w:pPr>
              <w:spacing w:after="0"/>
              <w:rPr>
                <w:sz w:val="11"/>
                <w:szCs w:val="11"/>
                <w:color w:val="auto"/>
              </w:rPr>
            </w:pPr>
          </w:p>
        </w:tc>
      </w:tr>
      <w:tr>
        <w:trPr>
          <w:trHeight w:val="255"/>
        </w:trPr>
        <w:tc>
          <w:tcPr>
            <w:tcW w:w="106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bottom w:val="single" w:sz="8" w:color="0000EE"/>
            </w:tcBorders>
            <w:gridSpan w:val="5"/>
          </w:tcPr>
          <w:p>
            <w:pPr>
              <w:jc w:val="center"/>
              <w:spacing w:after="0"/>
              <w:rPr>
                <w:rFonts w:ascii="Arial" w:cs="Arial" w:eastAsia="Arial" w:hAnsi="Arial"/>
                <w:sz w:val="13"/>
                <w:szCs w:val="13"/>
                <w:b w:val="1"/>
                <w:bCs w:val="1"/>
                <w:color w:val="0000EE"/>
              </w:rPr>
            </w:pPr>
            <w:hyperlink w:anchor="page69">
              <w:r>
                <w:rPr>
                  <w:rFonts w:ascii="Arial" w:cs="Arial" w:eastAsia="Arial" w:hAnsi="Arial"/>
                  <w:sz w:val="13"/>
                  <w:szCs w:val="13"/>
                  <w:b w:val="1"/>
                  <w:bCs w:val="1"/>
                  <w:color w:val="0000EE"/>
                </w:rPr>
                <w:t>PART III</w:t>
              </w:r>
            </w:hyperlink>
          </w:p>
        </w:tc>
        <w:tc>
          <w:tcPr>
            <w:tcW w:w="4040" w:type="dxa"/>
            <w:vAlign w:val="bottom"/>
            <w:gridSpan w:val="5"/>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7"/>
        </w:trPr>
        <w:tc>
          <w:tcPr>
            <w:tcW w:w="1060" w:type="dxa"/>
            <w:vAlign w:val="bottom"/>
          </w:tcPr>
          <w:p>
            <w:pPr>
              <w:spacing w:after="0"/>
              <w:rPr>
                <w:sz w:val="11"/>
                <w:szCs w:val="11"/>
                <w:color w:val="auto"/>
              </w:rPr>
            </w:pPr>
          </w:p>
        </w:tc>
        <w:tc>
          <w:tcPr>
            <w:tcW w:w="1020" w:type="dxa"/>
            <w:vAlign w:val="bottom"/>
            <w:gridSpan w:val="4"/>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Item 10.</w:t>
              </w:r>
            </w:hyperlink>
          </w:p>
        </w:tc>
        <w:tc>
          <w:tcPr>
            <w:tcW w:w="7900" w:type="dxa"/>
            <w:vAlign w:val="bottom"/>
            <w:gridSpan w:val="42"/>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Directors and Executive Officers of the Registrant</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III-1</w:t>
            </w:r>
          </w:p>
        </w:tc>
        <w:tc>
          <w:tcPr>
            <w:tcW w:w="80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1020" w:type="dxa"/>
            <w:vAlign w:val="bottom"/>
            <w:gridSpan w:val="4"/>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Item 11.</w:t>
              </w:r>
            </w:hyperlink>
          </w:p>
        </w:tc>
        <w:tc>
          <w:tcPr>
            <w:tcW w:w="7900" w:type="dxa"/>
            <w:vAlign w:val="bottom"/>
            <w:gridSpan w:val="42"/>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Executive Compensation</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III-5</w:t>
            </w:r>
          </w:p>
        </w:tc>
        <w:tc>
          <w:tcPr>
            <w:tcW w:w="80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16"/>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66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17"/>
        </w:trPr>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80" w:type="dxa"/>
            <w:vAlign w:val="bottom"/>
            <w:tcBorders>
              <w:bottom w:val="single" w:sz="8" w:color="0000EE"/>
            </w:tcBorders>
            <w:gridSpan w:val="24"/>
          </w:tcPr>
          <w:p>
            <w:pPr>
              <w:spacing w:after="0" w:line="118" w:lineRule="exact"/>
              <w:rPr>
                <w:rFonts w:ascii="Arial" w:cs="Arial" w:eastAsia="Arial" w:hAnsi="Arial"/>
                <w:sz w:val="13"/>
                <w:szCs w:val="13"/>
                <w:color w:val="0000EE"/>
                <w:w w:val="90"/>
              </w:rPr>
            </w:pPr>
            <w:hyperlink w:anchor="page73">
              <w:r>
                <w:rPr>
                  <w:rFonts w:ascii="Arial" w:cs="Arial" w:eastAsia="Arial" w:hAnsi="Arial"/>
                  <w:sz w:val="13"/>
                  <w:szCs w:val="13"/>
                  <w:color w:val="0000EE"/>
                  <w:w w:val="90"/>
                </w:rPr>
                <w:t>Compensation Discussion and Analysis</w:t>
              </w:r>
            </w:hyperlink>
          </w:p>
        </w:tc>
        <w:tc>
          <w:tcPr>
            <w:tcW w:w="5820" w:type="dxa"/>
            <w:vAlign w:val="bottom"/>
            <w:gridSpan w:val="18"/>
          </w:tcPr>
          <w:p>
            <w:pPr>
              <w:spacing w:after="0"/>
              <w:rPr>
                <w:sz w:val="10"/>
                <w:szCs w:val="10"/>
                <w:color w:val="auto"/>
              </w:rPr>
            </w:pPr>
          </w:p>
        </w:tc>
        <w:tc>
          <w:tcPr>
            <w:tcW w:w="680" w:type="dxa"/>
            <w:vAlign w:val="bottom"/>
          </w:tcPr>
          <w:p>
            <w:pPr>
              <w:jc w:val="right"/>
              <w:ind w:right="115"/>
              <w:spacing w:after="0" w:line="118" w:lineRule="exact"/>
              <w:rPr>
                <w:sz w:val="20"/>
                <w:szCs w:val="20"/>
                <w:color w:val="auto"/>
              </w:rPr>
            </w:pPr>
            <w:r>
              <w:rPr>
                <w:rFonts w:ascii="Arial" w:cs="Arial" w:eastAsia="Arial" w:hAnsi="Arial"/>
                <w:sz w:val="13"/>
                <w:szCs w:val="13"/>
                <w:color w:val="auto"/>
              </w:rPr>
              <w:t>III-5</w:t>
            </w:r>
          </w:p>
        </w:tc>
        <w:tc>
          <w:tcPr>
            <w:tcW w:w="800" w:type="dxa"/>
            <w:vAlign w:val="bottom"/>
          </w:tcPr>
          <w:p>
            <w:pPr>
              <w:spacing w:after="0"/>
              <w:rPr>
                <w:sz w:val="10"/>
                <w:szCs w:val="10"/>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900" w:type="dxa"/>
            <w:vAlign w:val="bottom"/>
            <w:gridSpan w:val="42"/>
          </w:tcPr>
          <w:p>
            <w:pPr>
              <w:spacing w:after="0" w:line="138" w:lineRule="exact"/>
              <w:rPr>
                <w:rFonts w:ascii="Arial" w:cs="Arial" w:eastAsia="Arial" w:hAnsi="Arial"/>
                <w:sz w:val="13"/>
                <w:szCs w:val="13"/>
                <w:color w:val="0000EE"/>
              </w:rPr>
            </w:pPr>
            <w:hyperlink w:anchor="page78">
              <w:r>
                <w:rPr>
                  <w:rFonts w:ascii="Arial" w:cs="Arial" w:eastAsia="Arial" w:hAnsi="Arial"/>
                  <w:sz w:val="13"/>
                  <w:szCs w:val="13"/>
                  <w:color w:val="0000EE"/>
                </w:rPr>
                <w:t>Compensation Committee Interlocks and Insider Participation</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III-10</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Borders>
              <w:top w:val="single" w:sz="8" w:color="0000EE"/>
              <w:bottom w:val="single" w:sz="8" w:color="0000EE"/>
            </w:tcBorders>
            <w:gridSpan w:val="19"/>
          </w:tcPr>
          <w:p>
            <w:pPr>
              <w:spacing w:after="0" w:line="138" w:lineRule="exact"/>
              <w:rPr>
                <w:rFonts w:ascii="Arial" w:cs="Arial" w:eastAsia="Arial" w:hAnsi="Arial"/>
                <w:sz w:val="13"/>
                <w:szCs w:val="13"/>
                <w:color w:val="0000EE"/>
                <w:w w:val="90"/>
              </w:rPr>
            </w:pPr>
            <w:hyperlink w:anchor="page78">
              <w:r>
                <w:rPr>
                  <w:rFonts w:ascii="Arial" w:cs="Arial" w:eastAsia="Arial" w:hAnsi="Arial"/>
                  <w:sz w:val="13"/>
                  <w:szCs w:val="13"/>
                  <w:color w:val="0000EE"/>
                  <w:w w:val="90"/>
                </w:rPr>
                <w:t>Compensation Committee Report</w:t>
              </w:r>
            </w:hyperlink>
          </w:p>
        </w:tc>
        <w:tc>
          <w:tcPr>
            <w:tcW w:w="1480" w:type="dxa"/>
            <w:vAlign w:val="bottom"/>
            <w:tcBorders>
              <w:top w:val="single" w:sz="8" w:color="0000EE"/>
            </w:tcBorders>
            <w:gridSpan w:val="12"/>
          </w:tcPr>
          <w:p>
            <w:pPr>
              <w:spacing w:after="0"/>
              <w:rPr>
                <w:sz w:val="11"/>
                <w:szCs w:val="11"/>
                <w:color w:val="auto"/>
              </w:rPr>
            </w:pPr>
          </w:p>
        </w:tc>
        <w:tc>
          <w:tcPr>
            <w:tcW w:w="4660" w:type="dxa"/>
            <w:vAlign w:val="bottom"/>
            <w:gridSpan w:val="11"/>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III-10</w:t>
            </w:r>
          </w:p>
        </w:tc>
        <w:tc>
          <w:tcPr>
            <w:tcW w:w="800" w:type="dxa"/>
            <w:vAlign w:val="bottom"/>
          </w:tcPr>
          <w:p>
            <w:pPr>
              <w:spacing w:after="0"/>
              <w:rPr>
                <w:sz w:val="11"/>
                <w:szCs w:val="1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900" w:type="dxa"/>
            <w:vAlign w:val="bottom"/>
            <w:gridSpan w:val="42"/>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Summary Compensation Table</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III-11</w:t>
            </w:r>
          </w:p>
        </w:tc>
        <w:tc>
          <w:tcPr>
            <w:tcW w:w="800" w:type="dxa"/>
            <w:vAlign w:val="bottom"/>
          </w:tcPr>
          <w:p>
            <w:pPr>
              <w:spacing w:after="0"/>
              <w:rPr>
                <w:sz w:val="11"/>
                <w:szCs w:val="11"/>
                <w:color w:val="auto"/>
              </w:rPr>
            </w:pPr>
          </w:p>
        </w:tc>
      </w:tr>
      <w:tr>
        <w:trPr>
          <w:trHeight w:val="171"/>
        </w:trPr>
        <w:tc>
          <w:tcPr>
            <w:tcW w:w="10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60" w:type="dxa"/>
            <w:vAlign w:val="bottom"/>
            <w:tcBorders>
              <w:top w:val="single" w:sz="8" w:color="0000EE"/>
              <w:bottom w:val="single" w:sz="8" w:color="808080"/>
            </w:tcBorders>
          </w:tcPr>
          <w:p>
            <w:pPr>
              <w:spacing w:after="0"/>
              <w:rPr>
                <w:sz w:val="14"/>
                <w:szCs w:val="14"/>
                <w:color w:val="auto"/>
              </w:rPr>
            </w:pPr>
          </w:p>
        </w:tc>
        <w:tc>
          <w:tcPr>
            <w:tcW w:w="8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60" w:type="dxa"/>
            <w:vAlign w:val="bottom"/>
            <w:tcBorders>
              <w:top w:val="single" w:sz="8" w:color="0000EE"/>
              <w:bottom w:val="single" w:sz="8" w:color="808080"/>
            </w:tcBorders>
          </w:tcPr>
          <w:p>
            <w:pPr>
              <w:spacing w:after="0"/>
              <w:rPr>
                <w:sz w:val="14"/>
                <w:szCs w:val="14"/>
                <w:color w:val="auto"/>
              </w:rPr>
            </w:pPr>
          </w:p>
        </w:tc>
        <w:tc>
          <w:tcPr>
            <w:tcW w:w="6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60" w:type="dxa"/>
            <w:vAlign w:val="bottom"/>
            <w:tcBorders>
              <w:top w:val="single" w:sz="8" w:color="0000EE"/>
              <w:bottom w:val="single" w:sz="8" w:color="808080"/>
            </w:tcBorders>
          </w:tcPr>
          <w:p>
            <w:pPr>
              <w:spacing w:after="0"/>
              <w:rPr>
                <w:sz w:val="14"/>
                <w:szCs w:val="14"/>
                <w:color w:val="auto"/>
              </w:rPr>
            </w:pPr>
          </w:p>
        </w:tc>
        <w:tc>
          <w:tcPr>
            <w:tcW w:w="200" w:type="dxa"/>
            <w:vAlign w:val="bottom"/>
            <w:tcBorders>
              <w:top w:val="single" w:sz="8" w:color="0000EE"/>
              <w:bottom w:val="single" w:sz="8" w:color="808080"/>
            </w:tcBorders>
          </w:tcPr>
          <w:p>
            <w:pPr>
              <w:spacing w:after="0"/>
              <w:rPr>
                <w:sz w:val="14"/>
                <w:szCs w:val="14"/>
                <w:color w:val="auto"/>
              </w:rPr>
            </w:pPr>
          </w:p>
        </w:tc>
        <w:tc>
          <w:tcPr>
            <w:tcW w:w="120" w:type="dxa"/>
            <w:vAlign w:val="bottom"/>
            <w:tcBorders>
              <w:top w:val="single" w:sz="8" w:color="0000EE"/>
              <w:bottom w:val="single" w:sz="8" w:color="808080"/>
            </w:tcBorders>
          </w:tcPr>
          <w:p>
            <w:pPr>
              <w:spacing w:after="0"/>
              <w:rPr>
                <w:sz w:val="14"/>
                <w:szCs w:val="14"/>
                <w:color w:val="auto"/>
              </w:rPr>
            </w:pPr>
          </w:p>
        </w:tc>
        <w:tc>
          <w:tcPr>
            <w:tcW w:w="80" w:type="dxa"/>
            <w:vAlign w:val="bottom"/>
            <w:tcBorders>
              <w:top w:val="single" w:sz="8" w:color="0000EE"/>
              <w:bottom w:val="single" w:sz="8" w:color="808080"/>
            </w:tcBorders>
          </w:tcPr>
          <w:p>
            <w:pPr>
              <w:spacing w:after="0"/>
              <w:rPr>
                <w:sz w:val="14"/>
                <w:szCs w:val="14"/>
                <w:color w:val="auto"/>
              </w:rPr>
            </w:pPr>
          </w:p>
        </w:tc>
        <w:tc>
          <w:tcPr>
            <w:tcW w:w="8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180" w:type="dxa"/>
            <w:vAlign w:val="bottom"/>
            <w:tcBorders>
              <w:top w:val="single" w:sz="8" w:color="0000EE"/>
              <w:bottom w:val="single" w:sz="8" w:color="808080"/>
            </w:tcBorders>
          </w:tcPr>
          <w:p>
            <w:pPr>
              <w:spacing w:after="0"/>
              <w:rPr>
                <w:sz w:val="14"/>
                <w:szCs w:val="14"/>
                <w:color w:val="auto"/>
              </w:rPr>
            </w:pPr>
          </w:p>
        </w:tc>
        <w:tc>
          <w:tcPr>
            <w:tcW w:w="140" w:type="dxa"/>
            <w:vAlign w:val="bottom"/>
            <w:tcBorders>
              <w:top w:val="single" w:sz="8" w:color="0000EE"/>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20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57"/>
        </w:trPr>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900" w:type="dxa"/>
            <w:vAlign w:val="bottom"/>
            <w:gridSpan w:val="15"/>
          </w:tcPr>
          <w:p>
            <w:pPr>
              <w:spacing w:after="0"/>
              <w:rPr>
                <w:rFonts w:ascii="Arial" w:cs="Arial" w:eastAsia="Arial" w:hAnsi="Arial"/>
                <w:sz w:val="13"/>
                <w:szCs w:val="13"/>
                <w:color w:val="0000EE"/>
              </w:rPr>
            </w:pPr>
            <w:hyperlink w:anchor="page80">
              <w:r>
                <w:rPr>
                  <w:rFonts w:ascii="Arial" w:cs="Arial" w:eastAsia="Arial" w:hAnsi="Arial"/>
                  <w:sz w:val="13"/>
                  <w:szCs w:val="13"/>
                  <w:color w:val="0000EE"/>
                </w:rPr>
                <w:t>Grants of Plan-Based Awards for 2007</w:t>
              </w:r>
            </w:hyperlink>
          </w:p>
        </w:tc>
        <w:tc>
          <w:tcPr>
            <w:tcW w:w="680" w:type="dxa"/>
            <w:vAlign w:val="bottom"/>
          </w:tcPr>
          <w:p>
            <w:pPr>
              <w:jc w:val="right"/>
              <w:ind w:right="115"/>
              <w:spacing w:after="0"/>
              <w:rPr>
                <w:sz w:val="20"/>
                <w:szCs w:val="20"/>
                <w:color w:val="auto"/>
              </w:rPr>
            </w:pPr>
            <w:r>
              <w:rPr>
                <w:rFonts w:ascii="Arial" w:cs="Arial" w:eastAsia="Arial" w:hAnsi="Arial"/>
                <w:sz w:val="13"/>
                <w:szCs w:val="13"/>
                <w:color w:val="auto"/>
              </w:rPr>
              <w:t>III-12</w:t>
            </w:r>
          </w:p>
        </w:tc>
        <w:tc>
          <w:tcPr>
            <w:tcW w:w="80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720" w:type="dxa"/>
            <w:vAlign w:val="bottom"/>
            <w:tcBorders>
              <w:bottom w:val="single" w:sz="8" w:color="0000EE"/>
            </w:tcBorders>
            <w:gridSpan w:val="9"/>
          </w:tcPr>
          <w:p>
            <w:pPr>
              <w:spacing w:after="0" w:line="138" w:lineRule="exact"/>
              <w:rPr>
                <w:rFonts w:ascii="Arial" w:cs="Arial" w:eastAsia="Arial" w:hAnsi="Arial"/>
                <w:sz w:val="13"/>
                <w:szCs w:val="13"/>
                <w:color w:val="0000EE"/>
                <w:w w:val="90"/>
              </w:rPr>
            </w:pPr>
            <w:hyperlink w:anchor="page81">
              <w:r>
                <w:rPr>
                  <w:rFonts w:ascii="Arial" w:cs="Arial" w:eastAsia="Arial" w:hAnsi="Arial"/>
                  <w:sz w:val="13"/>
                  <w:szCs w:val="13"/>
                  <w:color w:val="0000EE"/>
                  <w:w w:val="90"/>
                </w:rPr>
                <w:t>Outstanding Equity Awards at 2007 Fiscal Year End</w:t>
              </w:r>
            </w:hyperlink>
          </w:p>
        </w:tc>
        <w:tc>
          <w:tcPr>
            <w:tcW w:w="5180" w:type="dxa"/>
            <w:vAlign w:val="bottom"/>
            <w:gridSpan w:val="6"/>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III-13</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40" w:type="dxa"/>
            <w:vAlign w:val="bottom"/>
            <w:tcBorders>
              <w:bottom w:val="single" w:sz="8" w:color="0000EE"/>
            </w:tcBorders>
            <w:gridSpan w:val="8"/>
          </w:tcPr>
          <w:p>
            <w:pPr>
              <w:spacing w:after="0" w:line="138" w:lineRule="exact"/>
              <w:rPr>
                <w:rFonts w:ascii="Arial" w:cs="Arial" w:eastAsia="Arial" w:hAnsi="Arial"/>
                <w:sz w:val="13"/>
                <w:szCs w:val="13"/>
                <w:color w:val="0000EE"/>
                <w:w w:val="89"/>
              </w:rPr>
            </w:pPr>
            <w:hyperlink w:anchor="page82">
              <w:r>
                <w:rPr>
                  <w:rFonts w:ascii="Arial" w:cs="Arial" w:eastAsia="Arial" w:hAnsi="Arial"/>
                  <w:sz w:val="13"/>
                  <w:szCs w:val="13"/>
                  <w:color w:val="0000EE"/>
                  <w:w w:val="89"/>
                </w:rPr>
                <w:t>Option Exercises and Stock Vested for Fiscal 2007</w:t>
              </w:r>
            </w:hyperlink>
          </w:p>
        </w:tc>
        <w:tc>
          <w:tcPr>
            <w:tcW w:w="5260" w:type="dxa"/>
            <w:vAlign w:val="bottom"/>
            <w:gridSpan w:val="7"/>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III-14</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60" w:type="dxa"/>
            <w:vAlign w:val="bottom"/>
            <w:tcBorders>
              <w:bottom w:val="single" w:sz="8" w:color="0000EE"/>
            </w:tcBorders>
            <w:gridSpan w:val="10"/>
          </w:tcPr>
          <w:p>
            <w:pPr>
              <w:spacing w:after="0" w:line="138" w:lineRule="exact"/>
              <w:rPr>
                <w:rFonts w:ascii="Arial" w:cs="Arial" w:eastAsia="Arial" w:hAnsi="Arial"/>
                <w:sz w:val="13"/>
                <w:szCs w:val="13"/>
                <w:color w:val="0000EE"/>
                <w:w w:val="91"/>
              </w:rPr>
            </w:pPr>
            <w:hyperlink w:anchor="page82">
              <w:r>
                <w:rPr>
                  <w:rFonts w:ascii="Arial" w:cs="Arial" w:eastAsia="Arial" w:hAnsi="Arial"/>
                  <w:sz w:val="13"/>
                  <w:szCs w:val="13"/>
                  <w:color w:val="0000EE"/>
                  <w:w w:val="91"/>
                </w:rPr>
                <w:t>Non-Qualified Deferred Compensation for Fiscal 2007</w:t>
              </w:r>
            </w:hyperlink>
          </w:p>
        </w:tc>
        <w:tc>
          <w:tcPr>
            <w:tcW w:w="5040" w:type="dxa"/>
            <w:vAlign w:val="bottom"/>
            <w:gridSpan w:val="5"/>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III-14</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20" w:type="dxa"/>
            <w:vAlign w:val="bottom"/>
            <w:tcBorders>
              <w:bottom w:val="single" w:sz="8" w:color="0000EE"/>
            </w:tcBorders>
            <w:gridSpan w:val="11"/>
          </w:tcPr>
          <w:p>
            <w:pPr>
              <w:spacing w:after="0" w:line="138" w:lineRule="exact"/>
              <w:rPr>
                <w:rFonts w:ascii="Arial" w:cs="Arial" w:eastAsia="Arial" w:hAnsi="Arial"/>
                <w:sz w:val="13"/>
                <w:szCs w:val="13"/>
                <w:color w:val="0000EE"/>
                <w:w w:val="90"/>
              </w:rPr>
            </w:pPr>
            <w:hyperlink w:anchor="page82">
              <w:r>
                <w:rPr>
                  <w:rFonts w:ascii="Arial" w:cs="Arial" w:eastAsia="Arial" w:hAnsi="Arial"/>
                  <w:sz w:val="13"/>
                  <w:szCs w:val="13"/>
                  <w:color w:val="0000EE"/>
                  <w:w w:val="90"/>
                </w:rPr>
                <w:t>Potential Payments Upon Termination or Change in Control</w:t>
              </w:r>
            </w:hyperlink>
          </w:p>
        </w:tc>
        <w:tc>
          <w:tcPr>
            <w:tcW w:w="4780" w:type="dxa"/>
            <w:vAlign w:val="bottom"/>
            <w:gridSpan w:val="4"/>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III-14</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Compensation of Directors</w:t>
            </w:r>
          </w:p>
        </w:tc>
        <w:tc>
          <w:tcPr>
            <w:tcW w:w="6500" w:type="dxa"/>
            <w:vAlign w:val="bottom"/>
            <w:gridSpan w:val="13"/>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III-16</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900" w:type="dxa"/>
            <w:vAlign w:val="bottom"/>
            <w:gridSpan w:val="15"/>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Director Compensation Table</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III-17</w:t>
            </w: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5"/>
          </w:tcPr>
          <w:p>
            <w:pPr>
              <w:spacing w:after="0" w:line="138" w:lineRule="exact"/>
              <w:rPr>
                <w:rFonts w:ascii="Arial" w:cs="Arial" w:eastAsia="Arial" w:hAnsi="Arial"/>
                <w:sz w:val="13"/>
                <w:szCs w:val="13"/>
                <w:color w:val="0000EE"/>
              </w:rPr>
            </w:pPr>
            <w:hyperlink w:anchor="page86">
              <w:r>
                <w:rPr>
                  <w:rFonts w:ascii="Arial" w:cs="Arial" w:eastAsia="Arial" w:hAnsi="Arial"/>
                  <w:sz w:val="13"/>
                  <w:szCs w:val="13"/>
                  <w:color w:val="0000EE"/>
                </w:rPr>
                <w:t>Item 12.</w:t>
              </w:r>
            </w:hyperlink>
          </w:p>
        </w:tc>
        <w:tc>
          <w:tcPr>
            <w:tcW w:w="7900" w:type="dxa"/>
            <w:vAlign w:val="bottom"/>
            <w:gridSpan w:val="15"/>
          </w:tcPr>
          <w:p>
            <w:pPr>
              <w:spacing w:after="0" w:line="138" w:lineRule="exact"/>
              <w:rPr>
                <w:rFonts w:ascii="Arial" w:cs="Arial" w:eastAsia="Arial" w:hAnsi="Arial"/>
                <w:sz w:val="13"/>
                <w:szCs w:val="13"/>
                <w:color w:val="0000EE"/>
              </w:rPr>
            </w:pPr>
            <w:hyperlink w:anchor="page86">
              <w:r>
                <w:rPr>
                  <w:rFonts w:ascii="Arial" w:cs="Arial" w:eastAsia="Arial" w:hAnsi="Arial"/>
                  <w:sz w:val="13"/>
                  <w:szCs w:val="13"/>
                  <w:color w:val="0000EE"/>
                </w:rPr>
                <w:t>Security Ownership of Certain Beneficial Owners and Management and Related Stockholder Matters</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III-18</w:t>
            </w: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5"/>
          </w:tcPr>
          <w:p>
            <w:pPr>
              <w:spacing w:after="0" w:line="138" w:lineRule="exact"/>
              <w:rPr>
                <w:rFonts w:ascii="Arial" w:cs="Arial" w:eastAsia="Arial" w:hAnsi="Arial"/>
                <w:sz w:val="13"/>
                <w:szCs w:val="13"/>
                <w:color w:val="0000EE"/>
              </w:rPr>
            </w:pPr>
            <w:hyperlink w:anchor="page88">
              <w:r>
                <w:rPr>
                  <w:rFonts w:ascii="Arial" w:cs="Arial" w:eastAsia="Arial" w:hAnsi="Arial"/>
                  <w:sz w:val="13"/>
                  <w:szCs w:val="13"/>
                  <w:color w:val="0000EE"/>
                </w:rPr>
                <w:t>Item 13.</w:t>
              </w:r>
            </w:hyperlink>
          </w:p>
        </w:tc>
        <w:tc>
          <w:tcPr>
            <w:tcW w:w="7900" w:type="dxa"/>
            <w:vAlign w:val="bottom"/>
            <w:gridSpan w:val="15"/>
          </w:tcPr>
          <w:p>
            <w:pPr>
              <w:spacing w:after="0" w:line="138" w:lineRule="exact"/>
              <w:rPr>
                <w:rFonts w:ascii="Arial" w:cs="Arial" w:eastAsia="Arial" w:hAnsi="Arial"/>
                <w:sz w:val="13"/>
                <w:szCs w:val="13"/>
                <w:color w:val="0000EE"/>
              </w:rPr>
            </w:pPr>
            <w:hyperlink w:anchor="page88">
              <w:r>
                <w:rPr>
                  <w:rFonts w:ascii="Arial" w:cs="Arial" w:eastAsia="Arial" w:hAnsi="Arial"/>
                  <w:sz w:val="13"/>
                  <w:szCs w:val="13"/>
                  <w:color w:val="0000EE"/>
                </w:rPr>
                <w:t>Certain Relationships and Related Transactions</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III-20</w:t>
            </w: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5"/>
          </w:tcPr>
          <w:p>
            <w:pPr>
              <w:spacing w:after="0" w:line="138" w:lineRule="exact"/>
              <w:rPr>
                <w:rFonts w:ascii="Arial" w:cs="Arial" w:eastAsia="Arial" w:hAnsi="Arial"/>
                <w:sz w:val="13"/>
                <w:szCs w:val="13"/>
                <w:color w:val="0000EE"/>
              </w:rPr>
            </w:pPr>
            <w:hyperlink w:anchor="page89">
              <w:r>
                <w:rPr>
                  <w:rFonts w:ascii="Arial" w:cs="Arial" w:eastAsia="Arial" w:hAnsi="Arial"/>
                  <w:sz w:val="13"/>
                  <w:szCs w:val="13"/>
                  <w:color w:val="0000EE"/>
                </w:rPr>
                <w:t>Item 14.</w:t>
              </w:r>
            </w:hyperlink>
          </w:p>
        </w:tc>
        <w:tc>
          <w:tcPr>
            <w:tcW w:w="7900" w:type="dxa"/>
            <w:vAlign w:val="bottom"/>
            <w:gridSpan w:val="15"/>
          </w:tcPr>
          <w:p>
            <w:pPr>
              <w:spacing w:after="0" w:line="138" w:lineRule="exact"/>
              <w:rPr>
                <w:rFonts w:ascii="Arial" w:cs="Arial" w:eastAsia="Arial" w:hAnsi="Arial"/>
                <w:sz w:val="13"/>
                <w:szCs w:val="13"/>
                <w:color w:val="0000EE"/>
              </w:rPr>
            </w:pPr>
            <w:hyperlink w:anchor="page89">
              <w:r>
                <w:rPr>
                  <w:rFonts w:ascii="Arial" w:cs="Arial" w:eastAsia="Arial" w:hAnsi="Arial"/>
                  <w:sz w:val="13"/>
                  <w:szCs w:val="13"/>
                  <w:color w:val="0000EE"/>
                </w:rPr>
                <w:t>Principal Accounting Fees and Services</w:t>
              </w:r>
            </w:hyperlink>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III-21</w:t>
            </w:r>
          </w:p>
        </w:tc>
        <w:tc>
          <w:tcPr>
            <w:tcW w:w="800" w:type="dxa"/>
            <w:vAlign w:val="bottom"/>
          </w:tcPr>
          <w:p>
            <w:pPr>
              <w:spacing w:after="0"/>
              <w:rPr>
                <w:sz w:val="11"/>
                <w:szCs w:val="11"/>
                <w:color w:val="auto"/>
              </w:rPr>
            </w:pPr>
          </w:p>
        </w:tc>
      </w:tr>
      <w:tr>
        <w:trPr>
          <w:trHeight w:val="255"/>
        </w:trPr>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9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780" w:type="dxa"/>
            <w:vAlign w:val="bottom"/>
            <w:gridSpan w:val="4"/>
          </w:tcPr>
          <w:p>
            <w:pPr>
              <w:ind w:left="220"/>
              <w:spacing w:after="0"/>
              <w:rPr>
                <w:rFonts w:ascii="Arial" w:cs="Arial" w:eastAsia="Arial" w:hAnsi="Arial"/>
                <w:sz w:val="13"/>
                <w:szCs w:val="13"/>
                <w:b w:val="1"/>
                <w:bCs w:val="1"/>
                <w:color w:val="0000EE"/>
              </w:rPr>
            </w:pPr>
            <w:hyperlink w:anchor="page90">
              <w:r>
                <w:rPr>
                  <w:rFonts w:ascii="Arial" w:cs="Arial" w:eastAsia="Arial" w:hAnsi="Arial"/>
                  <w:sz w:val="13"/>
                  <w:szCs w:val="13"/>
                  <w:b w:val="1"/>
                  <w:bCs w:val="1"/>
                  <w:color w:val="0000EE"/>
                </w:rPr>
                <w:t>PART IV</w:t>
              </w:r>
            </w:hyperlink>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5"/>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Item 15.</w:t>
              </w:r>
            </w:hyperlink>
          </w:p>
        </w:tc>
        <w:tc>
          <w:tcPr>
            <w:tcW w:w="3340" w:type="dxa"/>
            <w:vAlign w:val="bottom"/>
            <w:gridSpan w:val="12"/>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Exhibits, Financial Statement Schedules</w:t>
              </w:r>
            </w:hyperlink>
          </w:p>
        </w:tc>
        <w:tc>
          <w:tcPr>
            <w:tcW w:w="520" w:type="dxa"/>
            <w:vAlign w:val="bottom"/>
            <w:tcBorders>
              <w:top w:val="single" w:sz="8" w:color="0000EE"/>
            </w:tcBorders>
          </w:tcPr>
          <w:p>
            <w:pPr>
              <w:spacing w:after="0"/>
              <w:rPr>
                <w:sz w:val="11"/>
                <w:szCs w:val="11"/>
                <w:color w:val="auto"/>
              </w:rPr>
            </w:pPr>
          </w:p>
        </w:tc>
        <w:tc>
          <w:tcPr>
            <w:tcW w:w="4040" w:type="dxa"/>
            <w:vAlign w:val="bottom"/>
            <w:gridSpan w:val="2"/>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IV-1</w:t>
            </w: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360" w:type="dxa"/>
            <w:vAlign w:val="bottom"/>
            <w:gridSpan w:val="6"/>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Signatures</w:t>
              </w:r>
            </w:hyperlink>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80" w:type="dxa"/>
            <w:vAlign w:val="bottom"/>
          </w:tcPr>
          <w:p>
            <w:pPr>
              <w:jc w:val="right"/>
              <w:ind w:right="115"/>
              <w:spacing w:after="0" w:line="138" w:lineRule="exact"/>
              <w:rPr>
                <w:sz w:val="20"/>
                <w:szCs w:val="20"/>
                <w:color w:val="auto"/>
              </w:rPr>
            </w:pPr>
            <w:r>
              <w:rPr>
                <w:rFonts w:ascii="Arial" w:cs="Arial" w:eastAsia="Arial" w:hAnsi="Arial"/>
                <w:sz w:val="13"/>
                <w:szCs w:val="13"/>
                <w:color w:val="auto"/>
              </w:rPr>
              <w:t>IV-5</w:t>
            </w:r>
          </w:p>
        </w:tc>
        <w:tc>
          <w:tcPr>
            <w:tcW w:w="800" w:type="dxa"/>
            <w:vAlign w:val="bottom"/>
          </w:tcPr>
          <w:p>
            <w:pPr>
              <w:spacing w:after="0"/>
              <w:rPr>
                <w:sz w:val="11"/>
                <w:szCs w:val="11"/>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12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9260" w:type="dxa"/>
            <w:vAlign w:val="bottom"/>
            <w:gridSpan w:val="21"/>
          </w:tcPr>
          <w:p>
            <w:pPr>
              <w:spacing w:after="0" w:line="138" w:lineRule="exact"/>
              <w:rPr>
                <w:sz w:val="20"/>
                <w:szCs w:val="20"/>
                <w:color w:val="auto"/>
              </w:rPr>
            </w:pPr>
            <w:r>
              <w:rPr>
                <w:rFonts w:ascii="Arial" w:cs="Arial" w:eastAsia="Arial" w:hAnsi="Arial"/>
                <w:sz w:val="13"/>
                <w:szCs w:val="13"/>
                <w:color w:val="0000EE"/>
              </w:rPr>
              <w:t>Complete and Permanent Release and Retirement Agreement</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1360" w:type="dxa"/>
            <w:vAlign w:val="bottom"/>
            <w:tcBorders>
              <w:top w:val="single" w:sz="8" w:color="0000EE"/>
            </w:tcBorders>
            <w:gridSpan w:val="6"/>
          </w:tcPr>
          <w:p>
            <w:pPr>
              <w:spacing w:after="0" w:line="138" w:lineRule="exact"/>
              <w:rPr>
                <w:sz w:val="20"/>
                <w:szCs w:val="20"/>
                <w:color w:val="auto"/>
              </w:rPr>
            </w:pPr>
            <w:r>
              <w:rPr>
                <w:rFonts w:ascii="Arial" w:cs="Arial" w:eastAsia="Arial" w:hAnsi="Arial"/>
                <w:sz w:val="13"/>
                <w:szCs w:val="13"/>
                <w:color w:val="0000EE"/>
              </w:rPr>
              <w:t>Subsidiaries</w:t>
            </w:r>
          </w:p>
        </w:tc>
        <w:tc>
          <w:tcPr>
            <w:tcW w:w="44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6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9260" w:type="dxa"/>
            <w:vAlign w:val="bottom"/>
            <w:gridSpan w:val="21"/>
          </w:tcPr>
          <w:p>
            <w:pPr>
              <w:spacing w:after="0" w:line="138" w:lineRule="exact"/>
              <w:rPr>
                <w:sz w:val="20"/>
                <w:szCs w:val="20"/>
                <w:color w:val="auto"/>
              </w:rPr>
            </w:pPr>
            <w:r>
              <w:rPr>
                <w:rFonts w:ascii="Arial" w:cs="Arial" w:eastAsia="Arial" w:hAnsi="Arial"/>
                <w:sz w:val="13"/>
                <w:szCs w:val="13"/>
                <w:color w:val="0000EE"/>
              </w:rPr>
              <w:t>Consent of Deloitte &amp; Touche LLP</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1360" w:type="dxa"/>
            <w:vAlign w:val="bottom"/>
            <w:tcBorders>
              <w:top w:val="single" w:sz="8" w:color="0000EE"/>
            </w:tcBorders>
            <w:gridSpan w:val="6"/>
          </w:tcPr>
          <w:p>
            <w:pPr>
              <w:spacing w:after="0" w:line="138" w:lineRule="exact"/>
              <w:rPr>
                <w:sz w:val="20"/>
                <w:szCs w:val="20"/>
                <w:color w:val="auto"/>
              </w:rPr>
            </w:pPr>
            <w:r>
              <w:rPr>
                <w:rFonts w:ascii="Arial" w:cs="Arial" w:eastAsia="Arial" w:hAnsi="Arial"/>
                <w:sz w:val="13"/>
                <w:szCs w:val="13"/>
                <w:color w:val="0000EE"/>
              </w:rPr>
              <w:t>Certification</w:t>
            </w:r>
          </w:p>
        </w:tc>
        <w:tc>
          <w:tcPr>
            <w:tcW w:w="440" w:type="dxa"/>
            <w:vAlign w:val="bottom"/>
            <w:tcBorders>
              <w:top w:val="single" w:sz="8" w:color="0000EE"/>
            </w:tcBorders>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360" w:type="dxa"/>
            <w:vAlign w:val="bottom"/>
            <w:gridSpan w:val="6"/>
          </w:tcPr>
          <w:p>
            <w:pPr>
              <w:spacing w:after="0" w:line="138" w:lineRule="exact"/>
              <w:rPr>
                <w:sz w:val="20"/>
                <w:szCs w:val="20"/>
                <w:color w:val="auto"/>
              </w:rPr>
            </w:pPr>
            <w:r>
              <w:rPr>
                <w:rFonts w:ascii="Arial" w:cs="Arial" w:eastAsia="Arial" w:hAnsi="Arial"/>
                <w:sz w:val="13"/>
                <w:szCs w:val="13"/>
                <w:color w:val="0000EE"/>
              </w:rPr>
              <w:t>Certification</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90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360" w:type="dxa"/>
            <w:vAlign w:val="bottom"/>
            <w:tcBorders>
              <w:bottom w:val="single" w:sz="8" w:color="0000EE"/>
            </w:tcBorders>
            <w:gridSpan w:val="6"/>
          </w:tcPr>
          <w:p>
            <w:pPr>
              <w:spacing w:after="0" w:line="138" w:lineRule="exact"/>
              <w:rPr>
                <w:sz w:val="20"/>
                <w:szCs w:val="20"/>
                <w:color w:val="auto"/>
              </w:rPr>
            </w:pPr>
            <w:r>
              <w:rPr>
                <w:rFonts w:ascii="Arial" w:cs="Arial" w:eastAsia="Arial" w:hAnsi="Arial"/>
                <w:sz w:val="13"/>
                <w:szCs w:val="13"/>
                <w:color w:val="0000EE"/>
                <w:w w:val="89"/>
              </w:rPr>
              <w:t>Section 1350 Certification</w:t>
            </w:r>
          </w:p>
        </w:tc>
        <w:tc>
          <w:tcPr>
            <w:tcW w:w="7900" w:type="dxa"/>
            <w:vAlign w:val="bottom"/>
            <w:gridSpan w:val="15"/>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9260" w:type="dxa"/>
            <w:vAlign w:val="bottom"/>
            <w:gridSpan w:val="21"/>
          </w:tcPr>
          <w:p>
            <w:pPr>
              <w:spacing w:after="0" w:line="138" w:lineRule="exact"/>
              <w:rPr>
                <w:sz w:val="20"/>
                <w:szCs w:val="20"/>
                <w:color w:val="auto"/>
              </w:rPr>
            </w:pPr>
            <w:r>
              <w:rPr>
                <w:rFonts w:ascii="Arial" w:cs="Arial" w:eastAsia="Arial" w:hAnsi="Arial"/>
                <w:sz w:val="13"/>
                <w:szCs w:val="13"/>
                <w:color w:val="0000EE"/>
              </w:rPr>
              <w:t>Section 1350 Certification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1"/>
        </w:trPr>
        <w:tc>
          <w:tcPr>
            <w:tcW w:w="720" w:type="dxa"/>
            <w:vAlign w:val="bottom"/>
            <w:tcBorders>
              <w:bottom w:val="single" w:sz="8" w:color="808080"/>
            </w:tcBorders>
          </w:tcPr>
          <w:p>
            <w:pPr>
              <w:spacing w:after="0"/>
              <w:rPr>
                <w:sz w:val="14"/>
                <w:szCs w:val="14"/>
                <w:color w:val="auto"/>
              </w:rPr>
            </w:pPr>
          </w:p>
        </w:tc>
        <w:tc>
          <w:tcPr>
            <w:tcW w:w="340" w:type="dxa"/>
            <w:vAlign w:val="bottom"/>
            <w:tcBorders>
              <w:top w:val="single" w:sz="8" w:color="0000EE"/>
              <w:bottom w:val="single" w:sz="8" w:color="808080"/>
            </w:tcBorders>
          </w:tcPr>
          <w:p>
            <w:pPr>
              <w:spacing w:after="0"/>
              <w:rPr>
                <w:sz w:val="14"/>
                <w:szCs w:val="14"/>
                <w:color w:val="auto"/>
              </w:rPr>
            </w:pPr>
          </w:p>
        </w:tc>
        <w:tc>
          <w:tcPr>
            <w:tcW w:w="180" w:type="dxa"/>
            <w:vAlign w:val="bottom"/>
            <w:tcBorders>
              <w:top w:val="single" w:sz="8" w:color="0000EE"/>
              <w:bottom w:val="single" w:sz="8" w:color="808080"/>
            </w:tcBorders>
          </w:tcPr>
          <w:p>
            <w:pPr>
              <w:spacing w:after="0"/>
              <w:rPr>
                <w:sz w:val="14"/>
                <w:szCs w:val="14"/>
                <w:color w:val="auto"/>
              </w:rPr>
            </w:pPr>
          </w:p>
        </w:tc>
        <w:tc>
          <w:tcPr>
            <w:tcW w:w="10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120" w:type="dxa"/>
            <w:vAlign w:val="bottom"/>
            <w:tcBorders>
              <w:top w:val="single" w:sz="8" w:color="0000EE"/>
              <w:bottom w:val="single" w:sz="8" w:color="808080"/>
            </w:tcBorders>
          </w:tcPr>
          <w:p>
            <w:pPr>
              <w:spacing w:after="0"/>
              <w:rPr>
                <w:sz w:val="14"/>
                <w:szCs w:val="14"/>
                <w:color w:val="auto"/>
              </w:rPr>
            </w:pPr>
          </w:p>
        </w:tc>
        <w:tc>
          <w:tcPr>
            <w:tcW w:w="600" w:type="dxa"/>
            <w:vAlign w:val="bottom"/>
            <w:tcBorders>
              <w:top w:val="single" w:sz="8" w:color="0000EE"/>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26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Brady Corporation and Subsidiaries are referred to herein as the “Company,” “Brady,” or “we”.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100" w:lineRule="exact"/>
        <w:rPr>
          <w:sz w:val="20"/>
          <w:szCs w:val="20"/>
          <w:color w:val="auto"/>
        </w:rPr>
      </w:pPr>
    </w:p>
    <w:p>
      <w:pPr>
        <w:ind w:left="1080" w:hanging="393"/>
        <w:spacing w:after="0"/>
        <w:tabs>
          <w:tab w:leader="none" w:pos="108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General Development of Business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 a Wisconsin corporation founded in 1914, currently operates 61 manufacturing or distribution facilities in Australia, Belgium, Brazil, Canada, China, Denmark, France, Germany, India, Italy, Japan, South Korea, Malaysia, Mexico, the Netherlands, Norway, Singapore, Slovakia, Sweden, Thailand, the United Kingdom and the United States. The Company also sells through subsidiaries or sales offices in these countries, with additional sales through a dedicated team of international sales representatives in Hong Kong, the Philippines, Spain, Taiwan, Turkey and the United Arab Emirates. The Company further markets its products to parts of Eastern Europe, the Middle East, Africa and Russia. The Company’s corporate headquarters are located at 6555 West Good Hope Road, Milwaukee, Wisconsin 53223, and the telephone number is (414) 358-6600. The Company’s Internet address is http://www.bradycorp.com.</w:t>
      </w:r>
    </w:p>
    <w:p>
      <w:pPr>
        <w:spacing w:after="0" w:line="150" w:lineRule="exact"/>
        <w:rPr>
          <w:sz w:val="20"/>
          <w:szCs w:val="20"/>
          <w:color w:val="auto"/>
        </w:rPr>
      </w:pPr>
    </w:p>
    <w:p>
      <w:pPr>
        <w:ind w:left="1080" w:hanging="393"/>
        <w:spacing w:after="0"/>
        <w:tabs>
          <w:tab w:leader="none" w:pos="108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Financial Information About Industry Segments</w:t>
      </w:r>
    </w:p>
    <w:p>
      <w:pPr>
        <w:spacing w:after="0" w:line="96"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2"/>
          <w:szCs w:val="12"/>
          <w:color w:val="auto"/>
        </w:rPr>
        <w:t>The information required by this Item is provided in Note 7 of the Notes to Consolidated Financial Statements contained in Item 8 — Financial Statements and Supplementary Data.</w:t>
      </w:r>
    </w:p>
    <w:p>
      <w:pPr>
        <w:spacing w:after="0" w:line="186" w:lineRule="exact"/>
        <w:rPr>
          <w:rFonts w:ascii="Arial" w:cs="Arial" w:eastAsia="Arial" w:hAnsi="Arial"/>
          <w:sz w:val="13"/>
          <w:szCs w:val="13"/>
          <w:b w:val="1"/>
          <w:bCs w:val="1"/>
          <w:color w:val="auto"/>
        </w:rPr>
      </w:pPr>
    </w:p>
    <w:p>
      <w:pPr>
        <w:ind w:left="1080" w:hanging="393"/>
        <w:spacing w:after="0"/>
        <w:tabs>
          <w:tab w:leader="none" w:pos="108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Narrative Description of Business</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Brady Corporation is an international manufacturer and marketer of identification solutions and specialty products which identify and protect premises, products and people. Brady’s core capabilities in manufacturing, channel management, printing systems, precision engineering and materials expertise make it a leading supplier to the Maintenance, Repair and Operations (“MRO”) market and to the Original Equipment Manufacturing (“OEM”) market. The Company’s ability to provide customers with a broad range of differentiated solutions both through the organic development of its existing business and the acquisition of complementary and adjacent businesses, its commitment to quality and service, its global footprint and its diversified sales channels have made it a world leader in its markets.</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Brady manufactures and markets a wide range of products for use in diverse applications. Major product lines provided to the MRO market include facility identification, safety and complementary products, wire and cable identification products, sorbent materials, people identification products and regulatory publishing. Major product lines provided to the OEM market include high-performance identification products for product identification, wire identification, work in process identification, bar code labels and precision die-cut components for mobile telecommunications devices, hard disk drives, medical devices and supplies, automotive electronics and other electronics. Products are marketed through multiple channels, including through distributors, business-to-business direct marketing and a direct sales force.</w:t>
      </w:r>
    </w:p>
    <w:p>
      <w:pPr>
        <w:spacing w:after="0" w:line="71"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The need for the Company’s products is driven, in part, by customer specifications, by regulatory compliance requirements imposed by agencies such as the Occupational Safety &amp; Health Administration (“OSHA”) and the Environmental Protection Agency (“EPA”) in the United States and other regulatory agencies around the world, and by the need to identify and track assets or to identify, direct, warn, inform, train and protect people or products. Brady serves customers in general manufacturing, maintenance and safety, process industries, construction, electrical, telecommunications, electronics, laboratory/healthcare, airline/transportation, security/brand education, governmental, public utility, and a variety of other industries. The Company has a broad customer base, with the largest customer representing approximately 5% of net sales.</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Brady’s vision is to be either first or second in terms of market share in every market served. The Company’s primary growth objectives are to build upon its leading market positions, to improve performance and profitability and to expand existing activities through a multi-prong approach that incorporates organic growth, new product development and acquisitions.</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believes the following competitive strengths will allow it to achieve its strategy:</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Leader in Niche Markets. </w:t>
      </w:r>
      <w:r>
        <w:rPr>
          <w:rFonts w:ascii="Arial" w:cs="Arial" w:eastAsia="Arial" w:hAnsi="Arial"/>
          <w:sz w:val="12"/>
          <w:szCs w:val="12"/>
          <w:color w:val="auto"/>
        </w:rPr>
        <w:t>Brady competes in niche markets where it believes it is often the leading supplier with the manufacturing expertise, infrastructure, channels and sales</w:t>
      </w:r>
      <w:r>
        <w:rPr>
          <w:rFonts w:ascii="Arial" w:cs="Arial" w:eastAsia="Arial" w:hAnsi="Arial"/>
          <w:sz w:val="12"/>
          <w:szCs w:val="12"/>
          <w:i w:val="1"/>
          <w:iCs w:val="1"/>
          <w:color w:val="auto"/>
        </w:rPr>
        <w:t xml:space="preserve"> </w:t>
      </w:r>
      <w:r>
        <w:rPr>
          <w:rFonts w:ascii="Arial" w:cs="Arial" w:eastAsia="Arial" w:hAnsi="Arial"/>
          <w:sz w:val="12"/>
          <w:szCs w:val="12"/>
          <w:color w:val="auto"/>
        </w:rPr>
        <w:t>resources necessary to provide the required product or comprehensive solution. For example, the Company believes it is the leading supplier of wire identification products to the North American MRO market and of precision die-cut components to the mobile telecommunications market. The Company believes its leadership positions make it a preferred supplier to many of its customers and enables it to be successful in its markets, which are generally fragmented and populated with smaller or regional competitors.</w:t>
      </w:r>
    </w:p>
    <w:p>
      <w:pPr>
        <w:spacing w:after="0" w:line="53"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Differentiated Solutions and Commitment to Innovation. </w:t>
      </w:r>
      <w:r>
        <w:rPr>
          <w:rFonts w:ascii="Arial" w:cs="Arial" w:eastAsia="Arial" w:hAnsi="Arial"/>
          <w:sz w:val="13"/>
          <w:szCs w:val="13"/>
          <w:color w:val="auto"/>
        </w:rPr>
        <w:t>The Company believes its sophisticated engineering and manufacturing capabilities, as well as its expertise in materials, give</w:t>
      </w:r>
      <w:r>
        <w:rPr>
          <w:rFonts w:ascii="Arial" w:cs="Arial" w:eastAsia="Arial" w:hAnsi="Arial"/>
          <w:sz w:val="13"/>
          <w:szCs w:val="13"/>
          <w:i w:val="1"/>
          <w:iCs w:val="1"/>
          <w:color w:val="auto"/>
        </w:rPr>
        <w:t xml:space="preserve"> </w:t>
      </w:r>
      <w:r>
        <w:rPr>
          <w:rFonts w:ascii="Arial" w:cs="Arial" w:eastAsia="Arial" w:hAnsi="Arial"/>
          <w:sz w:val="13"/>
          <w:szCs w:val="13"/>
          <w:color w:val="auto"/>
        </w:rPr>
        <w:t>it a competitive advantage in supplying customized or high specification product solutions to meet individualized customer needs. The Company has been successful in identifying and incorporating innovative technologies to create integrated and precise solutions. Additionally, it is able to use its materials expertise and its investment in research and development to provide unique products to meet the demands of end-customers in new, faster growing markets adjacent to its traditional markets, such as laboratory identification. Brady’s commitment to product innovation is reflected in its research and development efforts that include approximately 250 employees primarily dedicated to research and development activities mainly in the United States, but also in Belgium, Germany, Singapore, Sweden and South Korea.</w:t>
      </w:r>
    </w:p>
    <w:p>
      <w:pPr>
        <w:spacing w:after="0" w:line="72"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Operational Excellence. </w:t>
      </w:r>
      <w:r>
        <w:rPr>
          <w:rFonts w:ascii="Arial" w:cs="Arial" w:eastAsia="Arial" w:hAnsi="Arial"/>
          <w:sz w:val="13"/>
          <w:szCs w:val="13"/>
          <w:color w:val="auto"/>
        </w:rPr>
        <w:t>Brady has achieved continuous improvement in operational productivity. It employs well-developed problem solving techniques and invests in state-of-the-art equipment to capture efficiencies. The Company is largely vertically integrated and designs, manufactures and markets a majority of the products it sells. The Company has invested heavily over the last several years to centralize its North American distribution network and to standardize its Systems, Applications, and Products for data processing (“SAP”) software applications. It has consistently generated positive cash flow from operations by continually reducing costs and optimizing inventory management and the efficiency of its manufacturing operations.</w:t>
      </w:r>
    </w:p>
    <w:p>
      <w:pPr>
        <w:spacing w:after="0" w:line="71"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i w:val="1"/>
          <w:iCs w:val="1"/>
          <w:color w:val="auto"/>
        </w:rPr>
        <w:t xml:space="preserve">Broad Customer Base and Geographic Diversity. </w:t>
      </w:r>
      <w:r>
        <w:rPr>
          <w:rFonts w:ascii="Arial" w:cs="Arial" w:eastAsia="Arial" w:hAnsi="Arial"/>
          <w:sz w:val="12"/>
          <w:szCs w:val="12"/>
          <w:color w:val="auto"/>
        </w:rPr>
        <w:t>Brady believes its global infrastructure and diverse market presence mitigates the impact of an economic downturn on its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in any particular country or region, enables it to act as a primary supplier to many of its global customers and provides a solid platform for further expansion. Sales from international operations increased from 44.4% of net sales in fiscal 2000 to 60.9% of net sales in fiscal 2007. The Company’s global presence benefits many of its customers who seek a single or primary supplier to meet their global design and manufacturing requirements. Brady has over 500,000 end-customers that operate in multiple industries.</w:t>
      </w:r>
    </w:p>
    <w:p>
      <w:pPr>
        <w:spacing w:after="0" w:line="53"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Disciplined Acquisition and Integration Strategy. </w:t>
      </w:r>
      <w:r>
        <w:rPr>
          <w:rFonts w:ascii="Arial" w:cs="Arial" w:eastAsia="Arial" w:hAnsi="Arial"/>
          <w:sz w:val="13"/>
          <w:szCs w:val="13"/>
          <w:color w:val="auto"/>
        </w:rPr>
        <w:t>The Company has a dedicated team of experienced professionals that employ a disciplined acquisition strategy and process to</w:t>
      </w:r>
      <w:r>
        <w:rPr>
          <w:rFonts w:ascii="Arial" w:cs="Arial" w:eastAsia="Arial" w:hAnsi="Arial"/>
          <w:sz w:val="13"/>
          <w:szCs w:val="13"/>
          <w:i w:val="1"/>
          <w:iCs w:val="1"/>
          <w:color w:val="auto"/>
        </w:rPr>
        <w:t xml:space="preserve"> </w:t>
      </w:r>
      <w:r>
        <w:rPr>
          <w:rFonts w:ascii="Arial" w:cs="Arial" w:eastAsia="Arial" w:hAnsi="Arial"/>
          <w:sz w:val="13"/>
          <w:szCs w:val="13"/>
          <w:color w:val="auto"/>
        </w:rPr>
        <w:t>acquire companies. It applies strict financial standards to evaluate all acquisitions using an expected return model based on a modified return on invested capital calculation. It also conducts disciplined integration reviews of acquired firms to track progress toward results expected at the time of acquisition. Since 1996, the Company has acquired and integrated 51 companies to primarily increase market share in existing and new geographies. It has acquired companies that expand the product range it offers both existing and new customers, as well as adding new technological capabilities.</w:t>
      </w:r>
    </w:p>
    <w:p>
      <w:pPr>
        <w:spacing w:after="0" w:line="71"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Channel Diversity and Strength. </w:t>
      </w:r>
      <w:r>
        <w:rPr>
          <w:rFonts w:ascii="Arial" w:cs="Arial" w:eastAsia="Arial" w:hAnsi="Arial"/>
          <w:sz w:val="13"/>
          <w:szCs w:val="13"/>
          <w:color w:val="auto"/>
        </w:rPr>
        <w:t>Brady utilizes a wide range of channels to reach customers across a broad array of industries. It employs direct marketing expertise to meet its</w:t>
      </w:r>
      <w:r>
        <w:rPr>
          <w:rFonts w:ascii="Arial" w:cs="Arial" w:eastAsia="Arial" w:hAnsi="Arial"/>
          <w:sz w:val="13"/>
          <w:szCs w:val="13"/>
          <w:i w:val="1"/>
          <w:iCs w:val="1"/>
          <w:color w:val="auto"/>
        </w:rPr>
        <w:t xml:space="preserve"> </w:t>
      </w:r>
      <w:r>
        <w:rPr>
          <w:rFonts w:ascii="Arial" w:cs="Arial" w:eastAsia="Arial" w:hAnsi="Arial"/>
          <w:sz w:val="13"/>
          <w:szCs w:val="13"/>
          <w:color w:val="auto"/>
        </w:rPr>
        <w:t>customers’ need for convenience. The Company also has long-standing relationships with, and is a preferred supplier to, many of its largest distributors. In addition, the Company employs a global sales team to support both distributors and end users and to serve their productivity, tracking and safety requirements. The Company believes its strong brands and reputation for quality,</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innovation and on-time delivery contribute to the popularity of its products with distributors, OEMs, resellers and other customers.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Deep and Talented Team. </w:t>
      </w:r>
      <w:r>
        <w:rPr>
          <w:rFonts w:ascii="Arial" w:cs="Arial" w:eastAsia="Arial" w:hAnsi="Arial"/>
          <w:sz w:val="13"/>
          <w:szCs w:val="13"/>
          <w:color w:val="auto"/>
        </w:rPr>
        <w:t>The Company believes that its team of employees has substantial depth in critical operational areas and has demonstrated success in reducing costs,</w:t>
      </w:r>
      <w:r>
        <w:rPr>
          <w:rFonts w:ascii="Arial" w:cs="Arial" w:eastAsia="Arial" w:hAnsi="Arial"/>
          <w:sz w:val="13"/>
          <w:szCs w:val="13"/>
          <w:i w:val="1"/>
          <w:iCs w:val="1"/>
          <w:color w:val="auto"/>
        </w:rPr>
        <w:t xml:space="preserve"> </w:t>
      </w:r>
      <w:r>
        <w:rPr>
          <w:rFonts w:ascii="Arial" w:cs="Arial" w:eastAsia="Arial" w:hAnsi="Arial"/>
          <w:sz w:val="13"/>
          <w:szCs w:val="13"/>
          <w:color w:val="auto"/>
        </w:rPr>
        <w:t>integrating acquisitions and improving processes through economic cycles. The international experience of its management team and its commitment to developing strong management teams in each of the local operations is a competitive advantage. In addition, the Company believes it employs a world-class team of people and dedicates significant resources to recruiting people committed to excellence and investing in their potential. The depth and breadth of knowledge within the entire Brady organization strengthens relationships with its customers and suppliers and enables the Company to provide its customers with a high level of product and industry expertise.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Key Strategies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Company’s primary growth objectives are to build upon its leading market positions, to improve its performance and profitability and to expand its existing activities through a multi-prong strategic approach that incorporates both organic growth and acquisitions. The Company’s key strategies include:</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Capitalize on Growing Niche Markets. </w:t>
      </w:r>
      <w:r>
        <w:rPr>
          <w:rFonts w:ascii="Arial" w:cs="Arial" w:eastAsia="Arial" w:hAnsi="Arial"/>
          <w:sz w:val="12"/>
          <w:szCs w:val="12"/>
          <w:color w:val="auto"/>
        </w:rPr>
        <w:t>The Company seeks to leverage its premier reputation, global footprint and strength in manufacturing and materials expertise to capitalize on</w:t>
      </w:r>
      <w:r>
        <w:rPr>
          <w:rFonts w:ascii="Arial" w:cs="Arial" w:eastAsia="Arial" w:hAnsi="Arial"/>
          <w:sz w:val="12"/>
          <w:szCs w:val="12"/>
          <w:i w:val="1"/>
          <w:iCs w:val="1"/>
          <w:color w:val="auto"/>
        </w:rPr>
        <w:t xml:space="preserve"> </w:t>
      </w:r>
      <w:r>
        <w:rPr>
          <w:rFonts w:ascii="Arial" w:cs="Arial" w:eastAsia="Arial" w:hAnsi="Arial"/>
          <w:sz w:val="12"/>
          <w:szCs w:val="12"/>
          <w:color w:val="auto"/>
        </w:rPr>
        <w:t>growth in existing niche markets. Growth prospects in the MRO market are driven primarily by the general health of regional economies, changes in legal and regulatory compliance requirements and the increased need of customers to identify their assets and protect their employees. Demand for OEM products is primarily driven by the strength of various electronics markets, such as mobile telecommunications, portable electronic devices, disk drives and computers, as well as technological advances in these markets and other industrial OEM’s.</w:t>
      </w:r>
    </w:p>
    <w:p>
      <w:pPr>
        <w:spacing w:after="0" w:line="53"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Increase Market Share. </w:t>
      </w:r>
      <w:r>
        <w:rPr>
          <w:rFonts w:ascii="Arial" w:cs="Arial" w:eastAsia="Arial" w:hAnsi="Arial"/>
          <w:sz w:val="12"/>
          <w:szCs w:val="12"/>
          <w:color w:val="auto"/>
        </w:rPr>
        <w:t>Many Brady markets are fragmented and populated with smaller or regional competitors. The Company seeks to leverage its investment in new product</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and its global sales, operations and distribution capabilities to increase market share, as well as expand its distribution channels to capture new customers. The Company employs a dedicated and experienced sales team that works closely with existing customers to identify and capture new opportunities. In addition, Brady plans to leverage the strength of its brands, the quality of its products and its long-standing relationships with key customers to build upon current market positions.</w:t>
      </w:r>
    </w:p>
    <w:p>
      <w:pPr>
        <w:spacing w:after="0" w:line="53"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i w:val="1"/>
          <w:iCs w:val="1"/>
          <w:color w:val="auto"/>
        </w:rPr>
        <w:t xml:space="preserve">Enter New Markets. </w:t>
      </w:r>
      <w:r>
        <w:rPr>
          <w:rFonts w:ascii="Arial" w:cs="Arial" w:eastAsia="Arial" w:hAnsi="Arial"/>
          <w:sz w:val="13"/>
          <w:szCs w:val="13"/>
          <w:color w:val="auto"/>
        </w:rPr>
        <w:t>The Company looks to leverage its quality products, global infrastructure, channel relationships and selling capabilities to effectively enter new markets, many</w:t>
      </w:r>
      <w:r>
        <w:rPr>
          <w:rFonts w:ascii="Arial" w:cs="Arial" w:eastAsia="Arial" w:hAnsi="Arial"/>
          <w:sz w:val="13"/>
          <w:szCs w:val="13"/>
          <w:i w:val="1"/>
          <w:iCs w:val="1"/>
          <w:color w:val="auto"/>
        </w:rPr>
        <w:t xml:space="preserve"> </w:t>
      </w:r>
      <w:r>
        <w:rPr>
          <w:rFonts w:ascii="Arial" w:cs="Arial" w:eastAsia="Arial" w:hAnsi="Arial"/>
          <w:sz w:val="13"/>
          <w:szCs w:val="13"/>
          <w:color w:val="auto"/>
        </w:rPr>
        <w:t>of which are fragmented and populated with smaller competitors. For example, Brady is expanding its precision die-cut capabilities into the medical market and is leveraging its common distribution networks into the sorbent materials market. Through product innovation and development activities, Brady seeks to introduce new technologies and differentiated products as well as seek additional applications for products in existing and new markets. The Company reviews its product and market portfolio on a regular basis through its standardized review process in order to identify new product opportunities.</w:t>
      </w:r>
    </w:p>
    <w:p>
      <w:pPr>
        <w:spacing w:after="0" w:line="71"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Expand Geographically. </w:t>
      </w:r>
      <w:r>
        <w:rPr>
          <w:rFonts w:ascii="Arial" w:cs="Arial" w:eastAsia="Arial" w:hAnsi="Arial"/>
          <w:sz w:val="12"/>
          <w:szCs w:val="12"/>
          <w:color w:val="auto"/>
        </w:rPr>
        <w:t>Brady’s long-term strategy involves the pursuit of growth opportunities in a number of markets outside of the United States. The Company is committed to</w:t>
      </w:r>
      <w:r>
        <w:rPr>
          <w:rFonts w:ascii="Arial" w:cs="Arial" w:eastAsia="Arial" w:hAnsi="Arial"/>
          <w:sz w:val="12"/>
          <w:szCs w:val="12"/>
          <w:i w:val="1"/>
          <w:iCs w:val="1"/>
          <w:color w:val="auto"/>
        </w:rPr>
        <w:t xml:space="preserve"> </w:t>
      </w:r>
      <w:r>
        <w:rPr>
          <w:rFonts w:ascii="Arial" w:cs="Arial" w:eastAsia="Arial" w:hAnsi="Arial"/>
          <w:sz w:val="12"/>
          <w:szCs w:val="12"/>
          <w:color w:val="auto"/>
        </w:rPr>
        <w:t>being in close proximity to its customers and to low-cost manufacturing. Brady currently operates in 28 countries and employs approximately 3,900 people, approximately 45% of its total workforce, in developing regions. Brady has made strategic acquisitions and has invested heavily in its global infrastructure and flexible manufacturing capacity in order to follow its customers into new geographies. Brady’s regional management structure is a key component in effectively entering and competing in new geographies.</w:t>
      </w:r>
    </w:p>
    <w:p>
      <w:pPr>
        <w:spacing w:after="0" w:line="5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Pursue Strategic Acquisitions. </w:t>
      </w:r>
      <w:r>
        <w:rPr>
          <w:rFonts w:ascii="Arial" w:cs="Arial" w:eastAsia="Arial" w:hAnsi="Arial"/>
          <w:sz w:val="13"/>
          <w:szCs w:val="13"/>
          <w:color w:val="auto"/>
        </w:rPr>
        <w:t>The Company intends to continue to make complementary strategic acquisitions to further its goal of strengthening its market positions and entering</w:t>
      </w:r>
      <w:r>
        <w:rPr>
          <w:rFonts w:ascii="Arial" w:cs="Arial" w:eastAsia="Arial" w:hAnsi="Arial"/>
          <w:sz w:val="13"/>
          <w:szCs w:val="13"/>
          <w:i w:val="1"/>
          <w:iCs w:val="1"/>
          <w:color w:val="auto"/>
        </w:rPr>
        <w:t xml:space="preserve"> </w:t>
      </w:r>
      <w:r>
        <w:rPr>
          <w:rFonts w:ascii="Arial" w:cs="Arial" w:eastAsia="Arial" w:hAnsi="Arial"/>
          <w:sz w:val="13"/>
          <w:szCs w:val="13"/>
          <w:color w:val="auto"/>
        </w:rPr>
        <w:t>new markets and geographies. Brady works to drive substantial value creation through capitalizing on its acquisition and integration acumen.</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Improve Profitability. </w:t>
      </w:r>
      <w:r>
        <w:rPr>
          <w:rFonts w:ascii="Arial" w:cs="Arial" w:eastAsia="Arial" w:hAnsi="Arial"/>
          <w:sz w:val="13"/>
          <w:szCs w:val="13"/>
          <w:color w:val="auto"/>
        </w:rPr>
        <w:t>The Company plans to continue its focus on improving operating efficiency, reducing costs, and improving productivity and return on assets. In addition, each</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 the Company makes provides</w:t>
      </w:r>
    </w:p>
    <w:p>
      <w:pPr>
        <w:spacing w:after="0" w:line="26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additional opportunities to improve its performance as well as the performance of the acquired company. The Company often continues to realize synergies with acquired companies several years after the acquisition date.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is largely vertically integrated by designing, developing, coating and producing most of its identification signs, labels and printing systems. Brady materials are developed internally and manufactured out of a variety of films, predominantly coated by Brady, for applications in the following markets: electronic, industrial, electrical, utility, laboratory, safety and security. Brady also manufactures specialty tapes and related products that are characterized by high-performance printable top coats and adhesives, most of which are formulated by the Company, to meet high-tolerance requirements of the industries in which they are used.</w:t>
      </w:r>
    </w:p>
    <w:p>
      <w:pPr>
        <w:spacing w:after="0" w:line="7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Company’s stock and custom products consist of over 500,000 stock-keeping units, including complete identification systems and other products used to create a safer work environment, improve operating efficiencies, and increase the utilization of assets through tracking and inventory process controls. Major product categories include: facility and safety signs and identification tags and markers, pipe and valve markers, asset identification tags, lockout/tagout products, security and traffic control products, and printing systems and software for creating safety and regulatory labels and signs, spill control and clean up products, wire and cable markers, high-performance labels, laboratory identification labels and printing systems, stand-alone printing systems, bar-code and other software, automatic identification and data collection systems, personal identification products, and precision die-cut solutions.</w:t>
      </w:r>
    </w:p>
    <w:p>
      <w:pPr>
        <w:spacing w:after="0" w:line="55"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Some of the Company’s stock products were originally designed, developed and manufactured as custom products for a specific customer. However, such products have frequently created wide industry acceptance and have become stock items offered by the Company through mail order and distributor sales. The Company’s most significant types of products are described below.</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MRO Market Products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 Facility Identification</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Informational signs and printers </w:t>
      </w:r>
      <w:r>
        <w:rPr>
          <w:rFonts w:ascii="Arial" w:cs="Arial" w:eastAsia="Arial" w:hAnsi="Arial"/>
          <w:sz w:val="12"/>
          <w:szCs w:val="12"/>
          <w:color w:val="auto"/>
        </w:rPr>
        <w:t>for use in a broad range of industrial, commercial, governmental and institutional applications. These signs are either self-adhesive or mechanically</w:t>
      </w:r>
      <w:r>
        <w:rPr>
          <w:rFonts w:ascii="Arial" w:cs="Arial" w:eastAsia="Arial" w:hAnsi="Arial"/>
          <w:sz w:val="12"/>
          <w:szCs w:val="12"/>
          <w:i w:val="1"/>
          <w:iCs w:val="1"/>
          <w:color w:val="auto"/>
        </w:rPr>
        <w:t xml:space="preserve"> </w:t>
      </w:r>
      <w:r>
        <w:rPr>
          <w:rFonts w:ascii="Arial" w:cs="Arial" w:eastAsia="Arial" w:hAnsi="Arial"/>
          <w:sz w:val="12"/>
          <w:szCs w:val="12"/>
          <w:color w:val="auto"/>
        </w:rPr>
        <w:t>mounted, designed for both indoor and outdoor use and are manufactured to meet standards issued by the National Safety Council, OSHA and a variety of industry associations in the United States and abroad. The Company’s sign products include admittance, directional and exit signs; electrical hazard warnings; energy conservation messages; fire protection and fire equipment signs; hazardous waste labels; hazardous and toxic material warning signs; transformers and power pole markers; personal hazard warnings; housekeeping and operational warnings; pictograms; radiation and laser signs; safety practices signs and regulatory markings; employment law posters; and photo luminescent (glow-in-the-dark) tapes.</w:t>
      </w:r>
    </w:p>
    <w:p>
      <w:pPr>
        <w:spacing w:after="0" w:line="55"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Warehouse identification products </w:t>
      </w:r>
      <w:r>
        <w:rPr>
          <w:rFonts w:ascii="Arial" w:cs="Arial" w:eastAsia="Arial" w:hAnsi="Arial"/>
          <w:sz w:val="13"/>
          <w:szCs w:val="13"/>
          <w:color w:val="auto"/>
        </w:rPr>
        <w:t>including self-adhesive and self-aligning die-cut numbers and letters, labels, and tags used to locate and identify inventory in storage facilities such</w:t>
      </w:r>
      <w:r>
        <w:rPr>
          <w:rFonts w:ascii="Arial" w:cs="Arial" w:eastAsia="Arial" w:hAnsi="Arial"/>
          <w:sz w:val="13"/>
          <w:szCs w:val="13"/>
          <w:i w:val="1"/>
          <w:iCs w:val="1"/>
          <w:color w:val="auto"/>
        </w:rPr>
        <w:t xml:space="preserve"> </w:t>
      </w:r>
      <w:r>
        <w:rPr>
          <w:rFonts w:ascii="Arial" w:cs="Arial" w:eastAsia="Arial" w:hAnsi="Arial"/>
          <w:sz w:val="13"/>
          <w:szCs w:val="13"/>
          <w:color w:val="auto"/>
        </w:rPr>
        <w:t>as warehouses, factories, stockrooms and other industrial facilities.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Pipe markers and valve tags </w:t>
      </w:r>
      <w:r>
        <w:rPr>
          <w:rFonts w:ascii="Arial" w:cs="Arial" w:eastAsia="Arial" w:hAnsi="Arial"/>
          <w:sz w:val="13"/>
          <w:szCs w:val="13"/>
          <w:color w:val="auto"/>
        </w:rPr>
        <w:t>including plastic or metal, self-adhesive or mechanically applied, stock or custom-designed pieces for the identification of pipes and control valves in the</w:t>
      </w:r>
      <w:r>
        <w:rPr>
          <w:rFonts w:ascii="Arial" w:cs="Arial" w:eastAsia="Arial" w:hAnsi="Arial"/>
          <w:sz w:val="13"/>
          <w:szCs w:val="13"/>
          <w:i w:val="1"/>
          <w:iCs w:val="1"/>
          <w:color w:val="auto"/>
        </w:rPr>
        <w:t xml:space="preserve"> </w:t>
      </w:r>
      <w:r>
        <w:rPr>
          <w:rFonts w:ascii="Arial" w:cs="Arial" w:eastAsia="Arial" w:hAnsi="Arial"/>
          <w:sz w:val="13"/>
          <w:szCs w:val="13"/>
          <w:color w:val="auto"/>
        </w:rPr>
        <w:t>mechanical contractor and process industry markets. These products are designed to help identify and provide information as to the contents, direction of flow and special hazardous properties of materials contained in piping systems, and to facilitate repair or maintenance of the systems.</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Asset-identification products </w:t>
      </w:r>
      <w:r>
        <w:rPr>
          <w:rFonts w:ascii="Arial" w:cs="Arial" w:eastAsia="Arial" w:hAnsi="Arial"/>
          <w:sz w:val="13"/>
          <w:szCs w:val="13"/>
          <w:color w:val="auto"/>
        </w:rPr>
        <w:t>that are an important part of an effective asset-management program in a wide variety of markets. These include self-adhesive or mechanically mounted</w:t>
      </w:r>
      <w:r>
        <w:rPr>
          <w:rFonts w:ascii="Arial" w:cs="Arial" w:eastAsia="Arial" w:hAnsi="Arial"/>
          <w:sz w:val="13"/>
          <w:szCs w:val="13"/>
          <w:i w:val="1"/>
          <w:iCs w:val="1"/>
          <w:color w:val="auto"/>
        </w:rPr>
        <w:t xml:space="preserve"> </w:t>
      </w:r>
      <w:r>
        <w:rPr>
          <w:rFonts w:ascii="Arial" w:cs="Arial" w:eastAsia="Arial" w:hAnsi="Arial"/>
          <w:sz w:val="13"/>
          <w:szCs w:val="13"/>
          <w:color w:val="auto"/>
        </w:rPr>
        <w:t>labels or tags made of aluminum, brass, stainless steel, polycarbonate, vinyl, polyester, mylar and paper. These products are also offered in tamper-evident varieties, and can be custom designed to ensure brand protection from counterfeiting.</w:t>
      </w:r>
    </w:p>
    <w:p>
      <w:pPr>
        <w:spacing w:after="0" w:line="27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 Safety and Complementary Products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Lockout/tagout products </w:t>
      </w:r>
      <w:r>
        <w:rPr>
          <w:rFonts w:ascii="Arial" w:cs="Arial" w:eastAsia="Arial" w:hAnsi="Arial"/>
          <w:sz w:val="13"/>
          <w:szCs w:val="13"/>
          <w:color w:val="auto"/>
        </w:rPr>
        <w:t>— under OSHA regulations, all energy sources must be “locked out” while machines are being serviced or maintained to prevent accidental engagement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injury. The Company’s products allow its customers to comply with these regulations and to ensure worker safety for a wide variety of energy- and fluid-transmission systems and operating machinery.</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Security and traffic control products </w:t>
      </w:r>
      <w:r>
        <w:rPr>
          <w:rFonts w:ascii="Arial" w:cs="Arial" w:eastAsia="Arial" w:hAnsi="Arial"/>
          <w:sz w:val="12"/>
          <w:szCs w:val="12"/>
          <w:color w:val="auto"/>
        </w:rPr>
        <w:t>including a variety of security seals, parking permits and wristbands designed for visitor control in financial, governmental, educational and</w:t>
      </w:r>
      <w:r>
        <w:rPr>
          <w:rFonts w:ascii="Arial" w:cs="Arial" w:eastAsia="Arial" w:hAnsi="Arial"/>
          <w:sz w:val="12"/>
          <w:szCs w:val="12"/>
          <w:i w:val="1"/>
          <w:iCs w:val="1"/>
          <w:color w:val="auto"/>
        </w:rPr>
        <w:t xml:space="preserve"> </w:t>
      </w:r>
      <w:r>
        <w:rPr>
          <w:rFonts w:ascii="Arial" w:cs="Arial" w:eastAsia="Arial" w:hAnsi="Arial"/>
          <w:sz w:val="12"/>
          <w:szCs w:val="12"/>
          <w:color w:val="auto"/>
        </w:rPr>
        <w:t>commercial facilities including meeting and convention sites. The Company also offers a wide variety of traffic control devices including traffic signs, directional and warning signs, parking tags and permits, barriers, cones and other products including barricading, visual warning systems, floor-marking products, safety badges, and first aid cabinets/kits, among others.</w:t>
      </w:r>
    </w:p>
    <w:p>
      <w:pPr>
        <w:spacing w:after="0" w:line="50"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i w:val="1"/>
          <w:iCs w:val="1"/>
          <w:color w:val="auto"/>
        </w:rPr>
        <w:t xml:space="preserve">Spill control and clean-up products </w:t>
      </w:r>
      <w:r>
        <w:rPr>
          <w:rFonts w:ascii="Arial" w:cs="Arial" w:eastAsia="Arial" w:hAnsi="Arial"/>
          <w:sz w:val="12"/>
          <w:szCs w:val="12"/>
          <w:color w:val="auto"/>
        </w:rPr>
        <w:t>including synthetic sorbent materials in a variety of shapes, sizes and configurations; spill kits, containment booms, industrial rugs, absorbing</w:t>
      </w:r>
      <w:r>
        <w:rPr>
          <w:rFonts w:ascii="Arial" w:cs="Arial" w:eastAsia="Arial" w:hAnsi="Arial"/>
          <w:sz w:val="12"/>
          <w:szCs w:val="12"/>
          <w:i w:val="1"/>
          <w:iCs w:val="1"/>
          <w:color w:val="auto"/>
        </w:rPr>
        <w:t xml:space="preserve"> </w:t>
      </w:r>
      <w:r>
        <w:rPr>
          <w:rFonts w:ascii="Arial" w:cs="Arial" w:eastAsia="Arial" w:hAnsi="Arial"/>
          <w:sz w:val="12"/>
          <w:szCs w:val="12"/>
          <w:color w:val="auto"/>
        </w:rPr>
        <w:t>pillows and pads, barrier spill matting and granular absorbents; and other products for absorbing and controlling chemical, oil-based and water-based spills.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 Wire and Cable Identification</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Brady manufactures a broad range of wire and cable-marking products, including labels, sleeves, software that allows customers to create their own labels, and printers to print and apply them. These products mark and identify wires, cables and their termination points to facilitate manufacturing, construction, repair or maintenance of equipment, and data communication and electrical wiring systems used in virtually every industrial, power and communication market.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 People Identification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Identification systems and products including photo ID card systems that combine biometrics, digital imaging and other technologies to positively identify people; self-expiring name tags that make use of migratory ink technology which, upon activation, starts a timed process resulting in an altered message, color or design to indicate expiration; and ID accessories including lanyards, badge holders, badge reels and attachments, as well as photo identification kits.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OEM Market Products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 High Performance Identification</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Brady produces a complete line of label materials and printing systems to meet customers’ needs for identification requirements for product identification, work in process labeling and bar coding that perform under harsh or demanding conditions, such as extreme temperatures, or environmental or chemical exposure. Brady prints stock and custom labels and also sells unprinted materials to enable customers to print their own labels.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 Precision Die-Cut Parts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Company develops customized precision die-cut products that are used to seal, insulate, protect, shield or provide other mechanical performance properties in the assembly of electronic, telecommunications and other equipment, including mobile phones, personal data assistants, computer hard disk drives, computers and other devices. Solutions not only include the materials and converting, but also automatic placement and other value-added services. The Company also provides converting services to the medical market for materials used in in-vitro diagnostic kits and patient monitoring.</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 Wire Identification</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 produces a variety of high performance products used to mark wires, wire bundles and cables in the manufacturing of a variety of industrial, electrical and electronic equipment.</w:t>
      </w:r>
    </w:p>
    <w:p>
      <w:pPr>
        <w:spacing w:after="0" w:line="26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Products</w:t>
      </w:r>
    </w:p>
    <w:p>
      <w:pPr>
        <w:spacing w:after="0" w:line="100" w:lineRule="exact"/>
        <w:rPr>
          <w:sz w:val="20"/>
          <w:szCs w:val="20"/>
          <w:color w:val="auto"/>
        </w:rPr>
      </w:pPr>
    </w:p>
    <w:p>
      <w:pPr>
        <w:jc w:val="both"/>
        <w:ind w:left="680" w:right="320" w:firstLine="399"/>
        <w:spacing w:after="0" w:line="334" w:lineRule="auto"/>
        <w:rPr>
          <w:sz w:val="20"/>
          <w:szCs w:val="20"/>
          <w:color w:val="auto"/>
        </w:rPr>
      </w:pPr>
      <w:r>
        <w:rPr>
          <w:rFonts w:ascii="Arial" w:cs="Arial" w:eastAsia="Arial" w:hAnsi="Arial"/>
          <w:sz w:val="11"/>
          <w:szCs w:val="11"/>
          <w:color w:val="auto"/>
        </w:rPr>
        <w:t>The Company also designs and produces software for barcoding and inspection automation, industrial thermal-transfer printers and other electromechanical devices to serve the growing and specialized needs of customers in a wide variety of markets. Industrial labeling systems, software, tapes, ribbons and label stocks provide customers with the resources and flexibility to produce signs and labels on demand at their site. The Company also offers poster printers, cutting systems, laminators and supplies to education and training markets.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 and Sales</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Brady seeks to offer high quality products with rapid response and superior service so that it can provide solutions to customers that are better, faster and more economical than those available from the Company’s competitors. The Company markets and sells its products domestically and internationally through multiple channels including distributors, direct sales, mail-order-catalog marketing, retail, and electronic access through the Internet. The Company has long-standing relationships with a broad range of electrical, safety, industrial and other domestic and international distributors. The Company’s sales force seeks to establish and foster ongoing relationships with the end-users and distributors by providing technical application and product expertise.</w:t>
      </w:r>
    </w:p>
    <w:p>
      <w:pPr>
        <w:spacing w:after="0" w:line="71"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The Company also direct markets certain products and those of other manufacturers by catalog sales and outbound telemarketing in both domestic and international markets. Such products include industrial and facility identification products, safety and regulatory-compliance products and original equipment manufacturer component products, among others. Catalogs are distributed in the United States, Australia, Brazil, Canada, China, France, Germany, Italy, Spain, Sweden, Switzerland and the United Kingdom, and include foreign-language catalogs.</w:t>
      </w:r>
    </w:p>
    <w:p>
      <w:pPr>
        <w:spacing w:after="0" w:line="32"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The Company’s products are sold in a wide variety of markets within the larger MRO and OEM markets, including electrical, electronic, telecommunications, governmental, public utility, commercial building, computers and computer components, construction, general manufacturing, laboratory, transportation equipment and education.</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Brands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Company’s products go to market under a variety of brand names. The Brady brand includes high-performance labels, printers, software, safety and facility identification products, lock-out/tag-out products, and precision die-cut parts and specialty materials. Other die-cut materials are marketed as Balkhausen or Tradex Converting products. Safety and facility identification products are also marketed under the Safety Signs Service brand and the Asterisco brand, with some lockout/tagout products offered under the Prinzing and LOTO brands. In addition, identification for the utility industry is marketed under the Electromark brand and spill-control products are marketed under the SPC brand; poster printers and cutting systems for education and government markets are offered under the Varitronics name brand; wire identification products are marketed under the Modernotecnica brand and the Carroll brand; direct marketing safety and facility identification products are offered under the Seton, Emedco, Signals, Safetyshop, Clement and Personnel Concepts names; security and identification badges and systems are included in the Temtec, B.I.G., Identicard/Identicam, STOPware, J.A.M. Plastics, PromoVision, and Quo-Luck brands; hand-held regulatory documentation systems are available under the Tiscor name; and automatic identification and bar code software is offered under the Teklynx brand.</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Process and Raw Materials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melt-blown operations, software development and printer design and assembly. The compounding process involves the mixing of chemical batches for primers, top coatings and adhesives. The coatings and adhesives are applied to a wide variety of materials including polyester, polyimide, cloth, paper, metal and metal foil. The converting process may include embossing, perforating, laminating, die cutting, slitting, and printing or marking the materials as required.</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The Company produces the majority of the pressure sensitive materials through an integrated manufacturing process. These integrated manufacturing processes permit greater flexibility to meet customer needs in product design and manufacture, and an improved ability to provide specialized products designed to meet the needs of specific applications. Brady’s “cellular” manufacturing processes and “just-in-time” inventory control are designed to attain profitability in small orders by emphasizing flexibility and the maximization of assets through quick turnaround and delivery, balanced with optimization of lot sizes. Most of the Company’s manufacturing facilities have received ISO 9001 or 9002 certification.</w:t>
      </w:r>
    </w:p>
    <w:p>
      <w:pPr>
        <w:spacing w:after="0" w:line="53"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materials used in the products manufactured by the Company consist primarily of plastic sheets and films, paper, metal and metal foil, cloth, fiberglass, polypropylene, inks, dyes, adhesives, pigments, natural and synthetic rubber, organic chemicals, polymers, solvents and electronic components and subassemblies. In addition, the Company purchases finished products for resale. The Company purchases raw materials, components and finished products from many suppliers. Overall, the Company is not dependent upon any single supplier for its most critical base materials or components; however the Company has chosen in certain situations to sole source materials, components or finished items for design or cost reasons. As a result, disruptions in supply could have an impact on results for a period of time, but generally these disruptions would simply require qualification of new suppliers and the disruption would be modest. In certain instances, the qualification process could be more costly or take a longer period of time and in rare circumstances, such as a global shortage of a critical material or component, the financial impact could be significant.</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and Product Development</w:t>
      </w:r>
    </w:p>
    <w:p>
      <w:pPr>
        <w:spacing w:after="0" w:line="10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Company focuses its research and development efforts on material development, printing systems design and software development.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or the Company’s own production requirements. The Company’s research and development team also supports production and marketing efforts by providing application and technical expertise.</w:t>
      </w:r>
    </w:p>
    <w:p>
      <w:pPr>
        <w:spacing w:after="0" w:line="70"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The Company possesses patents covering various aspects of adhesive chemistry, electronic circuitry, printing systems for wire markers, systems for aligning letters and patterns, and visually changing paper. Although the Company believes that its patents are a significant factor in maintaining market position for certain products, technology in the areas covered by many of the patents is evolving rapidly and may limit the value of such patents. The Company’s business is not dependent on any single patent or group of patents.</w:t>
      </w:r>
    </w:p>
    <w:p>
      <w:pPr>
        <w:spacing w:after="0" w:line="5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Company conducts much of its research and development activities at the Frederic S. Tobey Research and Innovation Center (approximately 39,600 sq. ft.) in Milwaukee, Wisconsin. The Company spent approximately $36.0 million, $30.4 million, and $25.1 million during the fiscal years ended July 31, 2007, 2006, and 2005, respectively, on its research and development activities. In fiscal 2007, approximately 250 employees were engaged in research and development activities for the Company. Additional research projects were conducted in Company facilities in other locations in the United States, Europe and Asia and under contract with universities, other institutions and consultants.</w:t>
      </w:r>
    </w:p>
    <w:p>
      <w:pPr>
        <w:spacing w:after="0" w:line="53"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Company’s name and its registered trademarks are important to each of its business segments. In addition, the Company owns other important trademarks applicable to only certain of its products.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International Operations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fiscal 2007, 2006, and 2005, sales from international operations accounted for 60.9%, 57.6%, and 55.3%, respectively, of the Company’s sales. Its global infrastructure includes subsidiaries in Australia, Belgium, Brazil, Canada, China, Denmark, France, Germany, Hong Kong, India, Italy, Japan, Luxembourg, Malaysia, Mexico, the Netherlands, Norway, Philippines, Poland, Singapore, Slovakia, South Korea, Spain, Sweden, Thailand, Turkey and the United Kingdom. Most of these locations manufacture or have the capability to manufacture certain of the products they sell. In addition, Brady has sales offices in Spain, Taiwan, Turkey and the United Arab Emirates. Brady further markets its products to parts of Eastern Europe, the Middle East, Africa and Russia.</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 markets for all of the Company’s products are competitive. Brady believes that it is one of the leading domestic producers of wire markers, safety signs, pipe markers, label printing systems, precision die-cut materials and bar-code-label-generating software. Brady competes for business principally on the basis of production capabilities, engineering, and research and development capabilities, materials expertise, its global footprint, global account management where needed, customer service and price. Product quality is determined by factors such as suitability of component materials for various applications, adhesive properties, graphics quality, durability, product consistency and workmanship. Competition in many of its product markets is highly fragmented, ranging from smaller companies offering only one or a few types of products, to some of the world’s major adhesive and electrical product companies offering some competing products as part of their overall product lines. A number of Brady’s competitors are larger than the Company and have greater resources. Notwithstanding the resources of these competitors, management believes that Brady provides a broader range of identification solutions than any of them, and that its global infrastructure is a significant competitive advantage in serving large multi-national customers.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Backlog</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July 31, 2007, the amount of the Company’s backlog orders believed to be firm was $25.3 million. This compares with $42.3 million and $24.9 million of backlog orders as of July 31, 2006 and 2005, respectively. Average delivery time for the Company’s orders varies from one day to one month, depending on the type of product, and whether the product is stock or custom-designed and manufactured. Average delivery time for the direct marketing business can be as low as the same day or the next day. The Company’s backlog does not provide much visibility for future business.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w:t>
      </w:r>
    </w:p>
    <w:p>
      <w:pPr>
        <w:spacing w:after="0" w:line="100"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At present, the manufacturing processes for our adhesive-based products utilize certain evaporative solvents, which, unless controlled, would be vented into the atmosphere. Emissions of these substances are regulated at the federal, state and local levels. We have implemented a number of systems and procedures to reduce atmospheric emissions and/or to recover solvents. Management believes we are substantially in compliance with all environmental regulations.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As of July 31, 2007, the Company employed approximately 8,600 individuals. We have never experienced a material work stoppage due to a labor dispute and consider our relations with employees to be strong. The mix of employees is changing as we employ more people in developing countries where wage rates are lower and employee turnover tends to be higher than in developed countries.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680" w:right="780" w:firstLine="399"/>
        <w:spacing w:after="0" w:line="276" w:lineRule="auto"/>
        <w:rPr>
          <w:sz w:val="20"/>
          <w:szCs w:val="20"/>
          <w:color w:val="auto"/>
        </w:rPr>
      </w:pPr>
      <w:r>
        <w:rPr>
          <w:rFonts w:ascii="Arial" w:cs="Arial" w:eastAsia="Arial" w:hAnsi="Arial"/>
          <w:sz w:val="13"/>
          <w:szCs w:val="13"/>
          <w:color w:val="auto"/>
        </w:rPr>
        <w:t>Information about the Company’s acquisitions is provided in Note 2 of the Notes to Consolidated Financial Statements contained in Item 8 — Financial Statements and Supplementary Data.</w:t>
      </w:r>
    </w:p>
    <w:p>
      <w:pPr>
        <w:spacing w:after="0" w:line="138" w:lineRule="exact"/>
        <w:rPr>
          <w:sz w:val="20"/>
          <w:szCs w:val="20"/>
          <w:color w:val="auto"/>
        </w:rPr>
      </w:pPr>
    </w:p>
    <w:p>
      <w:pPr>
        <w:ind w:left="1080" w:hanging="393"/>
        <w:spacing w:after="0"/>
        <w:tabs>
          <w:tab w:leader="none" w:pos="108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Financial Information About Foreign and Domestic Operations and Export Sales</w:t>
      </w:r>
    </w:p>
    <w:p>
      <w:pPr>
        <w:spacing w:after="0" w:line="96"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2"/>
          <w:szCs w:val="12"/>
          <w:color w:val="auto"/>
        </w:rPr>
        <w:t>The information required by this Item is provided in Note 7 of the Notes to Consolidated Financial Statements contained in Item 8 — Financial Statements and Supplementary Data.</w:t>
      </w:r>
    </w:p>
    <w:p>
      <w:pPr>
        <w:spacing w:after="0" w:line="186" w:lineRule="exact"/>
        <w:rPr>
          <w:rFonts w:ascii="Arial" w:cs="Arial" w:eastAsia="Arial" w:hAnsi="Arial"/>
          <w:sz w:val="13"/>
          <w:szCs w:val="13"/>
          <w:b w:val="1"/>
          <w:bCs w:val="1"/>
          <w:color w:val="auto"/>
        </w:rPr>
      </w:pPr>
    </w:p>
    <w:p>
      <w:pPr>
        <w:ind w:left="1080" w:hanging="393"/>
        <w:spacing w:after="0"/>
        <w:tabs>
          <w:tab w:leader="none" w:pos="108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Information Available on the Internet</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Company’s Corporate Internet address is http://www.bradycorp.com. The Company makes available, free of charge, on or through its Internet website copies of its Annual Report on Form 10-K, Quarterly Reports on Form 10-Q, Current Reports on Form 8-K, Section 16 reports filed by the Company’s insiders, and amendments to all such reports as soon as reasonably practicable after such reports are electronically filed with or furnished to the SEC. We are not including the information contained on or available through our website as part of, or incorporating such information by reference into, this Annual Report on Form 10-K.</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 xml:space="preserve">Item 1A. </w:t>
      </w:r>
      <w:r>
        <w:rPr>
          <w:rFonts w:ascii="Arial" w:cs="Arial" w:eastAsia="Arial" w:hAnsi="Arial"/>
          <w:sz w:val="13"/>
          <w:szCs w:val="13"/>
          <w:b w:val="1"/>
          <w:bCs w:val="1"/>
          <w:i w:val="1"/>
          <w:iCs w:val="1"/>
          <w:color w:val="auto"/>
        </w:rPr>
        <w:t>Risk Factors</w:t>
      </w:r>
    </w:p>
    <w:p>
      <w:pPr>
        <w:spacing w:after="0" w:line="100"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i w:val="1"/>
          <w:iCs w:val="1"/>
          <w:color w:val="auto"/>
        </w:rPr>
        <w:t>Before making an investment decision with respect to our stock, you should carefully consider the risks set forth below and all other information contained in this report. If any of the events contemplated by the following risks actually occur, then our business, financial condition or results of operations could be materially adversely affected.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 demand for our products may be susceptible to fluctuations in the economy that may cause volatility in our results of operations.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Sales of our products may be susceptible to changes in general economic conditions, namely general downturns in the regional economies in which we compete. Our business in the MRO market tends to vary with the nominal GDP of the local economies in which we manufacture and sell. As a result, in periods of economic contraction, our business may not grow or may decline. In the OEM market, we may be adversely affected by reduced demand for our products due to downturns in the global economy as this is a more volatile business than the MRO business. This can result in higher degrees of volatility in our net sales and results of operations. These more volatile markets include, but are not limited to, mobile telecommunication devices, hard disk drives and electronics in personal computers and other electronic devices.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current and future success could be impacted by our ability to effectively integrate acquired companies and manage our growth.</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Our growth has and will continue to place significant demands on our management and operational and financial resources. Since the beginning of fiscal year 2004, we have acquired 26 companies. These recent and future acquisitions will require integration of sales and marketing, information technology, finance and administrative operations and information of the newly acquired business. The successful integration of acquisitions will require substantial attention from our management and the management of the acquired businesses, which could decrease the time they have to serve and attract customers. We cannot assure that we will be able to successfully integrate these recent or any future acquisitions, that these acquisitions will operate profitably or that we will be able to achieve the financial or operational success expected from the acquisitions. Our financial condition, cash flows and operational results could be adversely affected if we do not successfully integrate the newly acquired businesses or if our other businesses suffer on account of our increased focus on the newly acquired businesses.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develop new products or our customers do not accept the new products we develop, our business could be affected adversely.</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Development of proprietary products is key to the success of our core growth and our high gross margins now and in the future. Therefore, we must continue to develop new and innovative products and acquire and retain the necessary intellectual property rights in these products on an ongoing basis. If we fail to make innovations, or the market does not accept our new products, then our financial condition and results of operations could be adversely affected. We continue to invest in the development and marketing of new products. These expenditures do not always result in products that will be accepted by the market. Failure to develop successful new products may also cause our customers to buy from a competitor or may cause us to lower our prices in order to compete. This could have an adverse impact on our profitability.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adversely impacted by an inability to identify and complete acquisitions.</w:t>
      </w:r>
    </w:p>
    <w:p>
      <w:pPr>
        <w:spacing w:after="0" w:line="96"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A large part of our growth since fiscal 2003 has come through acquisitions and a key component of our growth strategy is based upon acquisitions. We may not be able to identify acquisition targets or successfully complete acquisitions in the future due to the absence of quality companies, economic conditions, or price expectations from sellers. If we are unable to complete additional acquisitions, our growth may be limited.</w:t>
      </w:r>
    </w:p>
    <w:p>
      <w:pPr>
        <w:spacing w:after="0" w:line="27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operate in competitive markets and may be forced to cut our prices or incur additional costs to remain competitive, which may have a negative impact on our profitability.</w:t>
      </w:r>
    </w:p>
    <w:p>
      <w:pPr>
        <w:spacing w:after="0" w:line="11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face substantial competition, particularly in the OEM markets we serve. Competition may force us to cut our prices or incur additional costs to remain competitive. We compete on the basis of production capabilities, engineering and R&amp;D capabilities, materials expertise, our global footprint, customer service and price. Present or future competitors may have greater financial, technical or other resources, lower production costs or other pricing advantages, any of which could put us at a disadvantage in the affected business by threatening our market share in some markets or reducing our profit margins.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goodwill or other intangible assets may become impaired, which may negatively impact our results of operations.</w:t>
      </w:r>
    </w:p>
    <w:p>
      <w:pPr>
        <w:spacing w:after="0" w:line="96"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We have a substantial amount of goodwill and other intangible assets on our balance sheet as a result of our acquisitions. As of July 31, 2007, we had $737.5 million of goodwill on our balance sheet, representing the excess of the total purchase price for our acquisitions over the fair value of the net assets we acquired, and $149.8 million of other intangible assets, primarily representing the fair value of the customer relationships, patents and trademarks we acquired in our acquisitions. At July 31, 2007, goodwill and other intangible assets represented approximately 52% of our total assets. We evaluate this goodwill annually for impairment based on the fair value of each operating segment. We assess the impairment of other intangible assets quarterly based upon the expected future cash flows of the respective assets. These valuations could change if there were to be future changes in our capital structure, cost of debt, interest rates, capital expenditures, or our ability to perform in accordance with our forecasts. If this estimated fair value changes in future periods, we may be required to record an impairment charge related to goodwill or other intangible assets, which would have the effect of decreasing our earnings or increasing our losses in such period.</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have a concentration of business with several large key customers and distributors and loss of one or more of these customers could significantly affect our results of operations.</w:t>
      </w:r>
    </w:p>
    <w:p>
      <w:pPr>
        <w:spacing w:after="0" w:line="119" w:lineRule="exact"/>
        <w:rPr>
          <w:sz w:val="20"/>
          <w:szCs w:val="20"/>
          <w:color w:val="auto"/>
        </w:rPr>
      </w:pPr>
    </w:p>
    <w:p>
      <w:pPr>
        <w:ind w:left="680" w:right="60" w:firstLine="399"/>
        <w:spacing w:after="0" w:line="310" w:lineRule="auto"/>
        <w:rPr>
          <w:sz w:val="20"/>
          <w:szCs w:val="20"/>
          <w:color w:val="auto"/>
        </w:rPr>
      </w:pPr>
      <w:r>
        <w:rPr>
          <w:rFonts w:ascii="Arial" w:cs="Arial" w:eastAsia="Arial" w:hAnsi="Arial"/>
          <w:sz w:val="11"/>
          <w:szCs w:val="11"/>
          <w:color w:val="auto"/>
        </w:rPr>
        <w:t>Several of our large key customers in the OEM market, specifically the precision die-cut business, together comprise a significant portion of our revenues. Our largest customer represents approximately 5% of our net sales. Additionally in the MRO markets, we do business with several large distribution companies. Our dependence on these large customers makes our relationships with these customers important to our business. We cannot assure you that we will be able to maintain these relationships and retain this business in the future. Because these large customers account for such a significant portion of our revenues, they possess relatively greater capacity to negotiate a reduction in the prices we charge for our products. If we are unable to provide products to our customers at prices acceptable to them, some of our customers may in the future elect to shift some or all of this business to competitors or to substitute other manufacturer’s products. If one of our key customers consolidates, is acquired by another company or loses market share, the result of that event may have an adverse impact on our business. The loss of or reduction of business from one or more of these large key customers could have a material adverse impact on our financial condition and results of operations.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increasingly conduct a sizable amount of our manufacturing outside of the United States, which may present additional risks to our business.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a result of our strong growth in developing economies, particularly in Asia, a significant portion of our sales is attributable to products manufactured outside of the United States. More than half of our approximately 8,600 employees and more than half of our manufacturing locations are outside of the United States. Our international operations are generally subject to various risks including political, economic and societal instability, the imposition of trade restrictions, local labor market conditions, the effects of income taxes, and differences in business practices. We may incur increased costs and experience delays or disruptions in product deliveries and payments in connection with international manufacturing and sales that could cause loss of revenue. Unfavorable changes in the political, regulatory and business climate in countries where we have operations could have a material adverse effect on our financial condition, results of operations and cash flows.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Our ability to continue to source low cost MRO products from regions such as China may decline. Conversely, low cost sourcing may also present risks to our revenue if our MRO customers choose to source cheaper products from low cost regions.</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An increasing portion of our MRO products is expected to be sourced from low cost regions in the future. Changes in export laws, suppliers and disruption in transportation routes could lessen our ability to source these products and adversely impact our results. Additionally, our MRO distributors/customers may seek low cost sourcing opportunities directly, which could cause a loss of business that may adversely impact our revenues.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fluctuations could adversely affect our sales and profits.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More than half of our revenues are derived outside of the United States. As such, fluctuations in foreign currency can have an adverse impact on our sales and profits as amounts that are measured in foreign currency are translated back to U.S. dollars. Any increase in the value of the U.S. dollar in relation to the value of the local currency will adversely affect our revenues from our foreign operations when translated into U.S. dollars. Similarly, any decrease in the value of the U.S. dollar in relation to the value of the local currency will increase our development costs in our foreign operations, to the extent such costs are payable in foreign currency, when translated into U.S. dollars. During fiscal year 2007, the weakening U.S. dollar versus the majority of other currencies increased sales by approximately $41.7 million.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depend on our key personnel and the loss of these personnel could have an adverse effect on our operations.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success depends to a large extent upon the continued services of our key executives, managers and other skilled personnel. We cannot ensure that we will be able to retain our key officers and employees. The departure of our key personnel without adequate replacement could severely disrupt our business operations. Additionally, we need qualified managers and skilled employees with technical and manufacturing industry experience to operate our business successfully. If we are unable to attract and retain qualified individuals or our costs to do so increase significantly, our operations would be materially adversely affected.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unable to successfully implement anticipated changes to our information technology system.</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are now in the process of upgrading certain portions of our information technology. Part of this upgrade includes continued implementations of SAP in our facilities in China, Europe, Malaysia, Singapore, Mexico, India and the United States. In fiscal 2007, we completed the implementation at 16 of our facilities in these regions, and expect to continue this pace in future years. We expect that this implementation of the SAP platform will enable us to more effectively and efficiently manage our supply chain and business processes. Our failure to successfully manage the SAP implementation process or implement these upgrades as scheduled could cause us to incur unexpected costs or to lose customers or sales, which could have a material adverse effect on our financial results.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increase in our level of indebtedness could adversely affect our financial health and make us vulnerable to adverse economic conditions.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have incurred indebtedness to finance acquisitions and for other general corporate purposes. Any increase in our level of indebtedness could have important consequences, such</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w:t>
      </w:r>
    </w:p>
    <w:p>
      <w:pPr>
        <w:spacing w:after="0" w:line="89"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it may be difficult for us to fulfill our obligations under our credit or other debt agreements;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it may be more challenging or costly to obtain additional financing to fund our future growth;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may be more vulnerable to future interest rate fluctuations;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may be required to dedicate a substantial portion of our cash flows to service our debt, thereby reducing the amount of cash available to fund new product development, capital expenditures, working capital and other general corporate activities;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it may place us at a competitive disadvantage relative to our competitors that have less debt;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it may limit our flexibility in planning for and reacting to changes in our business.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Environmental, health and safety laws and regulations could adversely affect our business.</w:t>
      </w:r>
    </w:p>
    <w:p>
      <w:pPr>
        <w:spacing w:after="0" w:line="96"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Our facilities and operations are subject to numerous laws and regulations relating to air emissions, wastewater discharges, the handling of hazardous materials and wastes, manufacturing and disposal of certain materials, and regulations otherwise relating to health, safety and the protection of the environment. Our products may also be governed by regulations in the countries where they are sold. As a result, we may need to devote management time or expend significant resources on compliance, and we have incurred and will continue to incur capital and other expenditures to comply with these regulations. Any significant costs may have a material adverse impact on our financial condition, results of operations or cash flows. Further, these laws and regulations are constantly evolving and it is impossible to predict accurately the effect they may have upon our financial condition, results of operations or cash flows.</w:t>
      </w:r>
    </w:p>
    <w:p>
      <w:pPr>
        <w:spacing w:after="0" w:line="11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currently operates 61 manufacturing or distribution facilities in the following regions: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 xml:space="preserve">Americas: </w:t>
      </w:r>
      <w:r>
        <w:rPr>
          <w:rFonts w:ascii="Arial" w:cs="Arial" w:eastAsia="Arial" w:hAnsi="Arial"/>
          <w:sz w:val="13"/>
          <w:szCs w:val="13"/>
          <w:color w:val="auto"/>
        </w:rPr>
        <w:t>Seventeen are located in the United States; three each in Brazil and Mexico; and one in Canada.</w:t>
      </w:r>
    </w:p>
    <w:p>
      <w:pPr>
        <w:spacing w:after="0" w:line="96" w:lineRule="exact"/>
        <w:rPr>
          <w:sz w:val="20"/>
          <w:szCs w:val="20"/>
          <w:color w:val="auto"/>
        </w:rPr>
      </w:pPr>
    </w:p>
    <w:p>
      <w:pPr>
        <w:ind w:left="680" w:right="220" w:firstLine="399"/>
        <w:spacing w:after="0" w:line="283" w:lineRule="auto"/>
        <w:rPr>
          <w:sz w:val="20"/>
          <w:szCs w:val="20"/>
          <w:color w:val="auto"/>
        </w:rPr>
      </w:pPr>
      <w:r>
        <w:rPr>
          <w:rFonts w:ascii="Arial" w:cs="Arial" w:eastAsia="Arial" w:hAnsi="Arial"/>
          <w:sz w:val="13"/>
          <w:szCs w:val="13"/>
          <w:b w:val="1"/>
          <w:bCs w:val="1"/>
          <w:color w:val="auto"/>
        </w:rPr>
        <w:t xml:space="preserve">Europe: </w:t>
      </w:r>
      <w:r>
        <w:rPr>
          <w:rFonts w:ascii="Arial" w:cs="Arial" w:eastAsia="Arial" w:hAnsi="Arial"/>
          <w:sz w:val="13"/>
          <w:szCs w:val="13"/>
          <w:color w:val="auto"/>
        </w:rPr>
        <w:t>Four are located in the United Kingdom; three are each located in France and Germany; two each in Belgium and Sweden; and one each in Denmark, Italy, Norway and</w:t>
      </w:r>
      <w:r>
        <w:rPr>
          <w:rFonts w:ascii="Arial" w:cs="Arial" w:eastAsia="Arial" w:hAnsi="Arial"/>
          <w:sz w:val="13"/>
          <w:szCs w:val="13"/>
          <w:b w:val="1"/>
          <w:bCs w:val="1"/>
          <w:color w:val="auto"/>
        </w:rPr>
        <w:t xml:space="preserve"> </w:t>
      </w:r>
      <w:r>
        <w:rPr>
          <w:rFonts w:ascii="Arial" w:cs="Arial" w:eastAsia="Arial" w:hAnsi="Arial"/>
          <w:sz w:val="13"/>
          <w:szCs w:val="13"/>
          <w:color w:val="auto"/>
        </w:rPr>
        <w:t>Slovakia.</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 xml:space="preserve">Asia-Pacific: </w:t>
      </w:r>
      <w:r>
        <w:rPr>
          <w:rFonts w:ascii="Arial" w:cs="Arial" w:eastAsia="Arial" w:hAnsi="Arial"/>
          <w:sz w:val="13"/>
          <w:szCs w:val="13"/>
          <w:color w:val="auto"/>
        </w:rPr>
        <w:t>Seven are located in China; four in Australia; three in Thailand; two in South Korea; and one each in Singapore, India, and Malaysia.</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Company’s present operating facilities contain a total of approximately 3.9 million square feet of space, of which approximately 2.8 million square feet is leased. The Company believes that its equipment and facilities are modern, well maintained and adequate for present needs.</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is, and may in the future be, party to litigation arising in the normal course of business. The Company is not currently a party to any material pending legal proceedings in which management believes the ultimate resolution would have a material adverse effect on the Company’s consolidated financial statements.</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were no matters submitted to a vote of security holders during the fourth quarter of the fiscal year ended July 31, 2007.</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1080" w:hanging="393"/>
        <w:spacing w:after="0"/>
        <w:tabs>
          <w:tab w:leader="none" w:pos="108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Market Information</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Brady Corporation Class A Nonvoting Common Stock trades on the New York Stock Exchange under the symbol BRC. The quarterly stock price history on the New York Stock Exchange is as follows for each of the quarters in the fiscal years ended July 31:</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2007</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2006</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2"/>
              </w:rPr>
              <w:t>2005(1)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8"/>
                <w:szCs w:val="8"/>
                <w:color w:val="auto"/>
              </w:rPr>
            </w:pPr>
          </w:p>
        </w:tc>
        <w:tc>
          <w:tcPr>
            <w:tcW w:w="400" w:type="dxa"/>
            <w:vAlign w:val="bottom"/>
          </w:tcPr>
          <w:p>
            <w:pPr>
              <w:ind w:left="60"/>
              <w:spacing w:after="0" w:line="98" w:lineRule="exact"/>
              <w:rPr>
                <w:sz w:val="20"/>
                <w:szCs w:val="20"/>
                <w:color w:val="auto"/>
              </w:rPr>
            </w:pPr>
            <w:r>
              <w:rPr>
                <w:rFonts w:ascii="Arial" w:cs="Arial" w:eastAsia="Arial" w:hAnsi="Arial"/>
                <w:sz w:val="10"/>
                <w:szCs w:val="10"/>
                <w:b w:val="1"/>
                <w:bCs w:val="1"/>
                <w:color w:val="auto"/>
              </w:rPr>
              <w:t>Low</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ind w:left="40"/>
              <w:spacing w:after="0" w:line="98" w:lineRule="exact"/>
              <w:rPr>
                <w:sz w:val="20"/>
                <w:szCs w:val="20"/>
                <w:color w:val="auto"/>
              </w:rPr>
            </w:pPr>
            <w:r>
              <w:rPr>
                <w:rFonts w:ascii="Arial" w:cs="Arial" w:eastAsia="Arial" w:hAnsi="Arial"/>
                <w:sz w:val="10"/>
                <w:szCs w:val="10"/>
                <w:b w:val="1"/>
                <w:bCs w:val="1"/>
                <w:color w:val="auto"/>
              </w:rPr>
              <w:t>High</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rPr>
              <w:t>Low</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gridSpan w:val="2"/>
          </w:tcPr>
          <w:p>
            <w:pPr>
              <w:jc w:val="right"/>
              <w:ind w:right="160"/>
              <w:spacing w:after="0" w:line="98" w:lineRule="exact"/>
              <w:rPr>
                <w:sz w:val="20"/>
                <w:szCs w:val="20"/>
                <w:color w:val="auto"/>
              </w:rPr>
            </w:pPr>
            <w:r>
              <w:rPr>
                <w:rFonts w:ascii="Arial" w:cs="Arial" w:eastAsia="Arial" w:hAnsi="Arial"/>
                <w:sz w:val="10"/>
                <w:szCs w:val="10"/>
                <w:b w:val="1"/>
                <w:bCs w:val="1"/>
                <w:color w:val="auto"/>
                <w:w w:val="98"/>
              </w:rPr>
              <w:t>High</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Low</w:t>
            </w:r>
          </w:p>
        </w:tc>
        <w:tc>
          <w:tcPr>
            <w:tcW w:w="100" w:type="dxa"/>
            <w:vAlign w:val="bottom"/>
          </w:tcPr>
          <w:p>
            <w:pPr>
              <w:spacing w:after="0"/>
              <w:rPr>
                <w:sz w:val="8"/>
                <w:szCs w:val="8"/>
                <w:color w:val="auto"/>
              </w:rPr>
            </w:pPr>
          </w:p>
        </w:tc>
      </w:tr>
      <w:tr>
        <w:trPr>
          <w:trHeight w:val="29"/>
        </w:trPr>
        <w:tc>
          <w:tcPr>
            <w:tcW w:w="4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4th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37.73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42.79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32.94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34.96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28.80</w:t>
            </w: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3rd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38.37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30.91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40.49</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34.67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35.70</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26.30</w:t>
            </w: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2nd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40.52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39.98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32.22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26.75</w:t>
            </w:r>
          </w:p>
        </w:tc>
      </w:tr>
      <w:tr>
        <w:trPr>
          <w:trHeight w:val="165"/>
        </w:trPr>
        <w:tc>
          <w:tcPr>
            <w:tcW w:w="4920" w:type="dxa"/>
            <w:vAlign w:val="bottom"/>
          </w:tcPr>
          <w:p>
            <w:pPr>
              <w:spacing w:after="0"/>
              <w:rPr>
                <w:sz w:val="20"/>
                <w:szCs w:val="20"/>
                <w:color w:val="auto"/>
              </w:rPr>
            </w:pPr>
            <w:r>
              <w:rPr>
                <w:rFonts w:ascii="Arial" w:cs="Arial" w:eastAsia="Arial" w:hAnsi="Arial"/>
                <w:sz w:val="13"/>
                <w:szCs w:val="13"/>
                <w:color w:val="auto"/>
              </w:rPr>
              <w:t>1st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38.68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33.16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34.22</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26.98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27.49</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80" w:right="3900" w:hanging="143"/>
        <w:spacing w:after="0" w:line="418" w:lineRule="auto"/>
        <w:tabs>
          <w:tab w:leader="none" w:pos="1182" w:val="left"/>
        </w:tabs>
        <w:numPr>
          <w:ilvl w:val="1"/>
          <w:numId w:val="9"/>
        </w:numPr>
        <w:rPr>
          <w:rFonts w:ascii="Arial" w:cs="Arial" w:eastAsia="Arial" w:hAnsi="Arial"/>
          <w:sz w:val="13"/>
          <w:szCs w:val="13"/>
          <w:color w:val="auto"/>
        </w:rPr>
      </w:pPr>
      <w:r>
        <w:rPr>
          <w:rFonts w:ascii="Arial" w:cs="Arial" w:eastAsia="Arial" w:hAnsi="Arial"/>
          <w:sz w:val="13"/>
          <w:szCs w:val="13"/>
          <w:color w:val="auto"/>
        </w:rPr>
        <w:t>Adjusted for a two-for-one stock split in the form of a 100% stock dividend, effective December 31, 2004. There is no trading market for the Company’s Class B Voting Common Stock.</w:t>
      </w:r>
    </w:p>
    <w:p>
      <w:pPr>
        <w:spacing w:after="0" w:line="49" w:lineRule="exact"/>
        <w:rPr>
          <w:rFonts w:ascii="Arial" w:cs="Arial" w:eastAsia="Arial" w:hAnsi="Arial"/>
          <w:sz w:val="13"/>
          <w:szCs w:val="13"/>
          <w:color w:val="auto"/>
        </w:rPr>
      </w:pPr>
    </w:p>
    <w:p>
      <w:pPr>
        <w:ind w:left="1080" w:hanging="393"/>
        <w:spacing w:after="0"/>
        <w:tabs>
          <w:tab w:leader="none" w:pos="108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Holders</w:t>
      </w:r>
    </w:p>
    <w:p>
      <w:pPr>
        <w:spacing w:after="0" w:line="96"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1"/>
          <w:szCs w:val="11"/>
          <w:color w:val="auto"/>
        </w:rPr>
        <w:t>As of September 24, 2007, there were 711 Class A Common Stock shareholders of record and approximately 4,100 beneficial shareholders. There are three Class B Common Stock</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shareholders.</w:t>
      </w:r>
    </w:p>
    <w:p>
      <w:pPr>
        <w:spacing w:after="0" w:line="167" w:lineRule="exact"/>
        <w:rPr>
          <w:sz w:val="20"/>
          <w:szCs w:val="20"/>
          <w:color w:val="auto"/>
        </w:rPr>
      </w:pPr>
    </w:p>
    <w:p>
      <w:pPr>
        <w:ind w:left="1080" w:hanging="393"/>
        <w:spacing w:after="0"/>
        <w:tabs>
          <w:tab w:leader="none" w:pos="108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Issuer Purchases of Equity Securities</w:t>
      </w:r>
    </w:p>
    <w:p>
      <w:pPr>
        <w:spacing w:after="0" w:line="96"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The Company did not repurchase any of its equity securities in the fourth quarter of fiscal 2007.</w:t>
      </w:r>
    </w:p>
    <w:p>
      <w:pPr>
        <w:spacing w:after="0" w:line="174" w:lineRule="exact"/>
        <w:rPr>
          <w:rFonts w:ascii="Arial" w:cs="Arial" w:eastAsia="Arial" w:hAnsi="Arial"/>
          <w:sz w:val="13"/>
          <w:szCs w:val="13"/>
          <w:b w:val="1"/>
          <w:bCs w:val="1"/>
          <w:color w:val="auto"/>
        </w:rPr>
      </w:pPr>
    </w:p>
    <w:p>
      <w:pPr>
        <w:ind w:left="1080" w:hanging="393"/>
        <w:spacing w:after="0"/>
        <w:tabs>
          <w:tab w:leader="none" w:pos="108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Dividends</w:t>
      </w:r>
    </w:p>
    <w:p>
      <w:pPr>
        <w:spacing w:after="0" w:line="96"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The Company has followed a practice of paying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Company’s revolving credit agreement restricts the amount of certain types of payments, including dividends, that can be made annually to $50 million plus 75% of the consolidated net income for the prior fiscal year. The Company believes that based on its historic dividend practice, this restriction will not impede it in following a similar dividend practice in the future.</w:t>
      </w:r>
    </w:p>
    <w:p>
      <w:pPr>
        <w:spacing w:after="0" w:line="7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During the two most recent fiscal years and for the first quarter of fiscal 2008, the Company declared the following dividends per share on its Class A and Class B Common Stock for the years ended July 31:</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Year</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4"/>
              </w:rPr>
              <w:t>Ending</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2007</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2006</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center"/>
              <w:ind w:right="183"/>
              <w:spacing w:after="0"/>
              <w:rPr>
                <w:sz w:val="20"/>
                <w:szCs w:val="20"/>
                <w:color w:val="auto"/>
              </w:rPr>
            </w:pPr>
            <w:r>
              <w:rPr>
                <w:rFonts w:ascii="Arial" w:cs="Arial" w:eastAsia="Arial" w:hAnsi="Arial"/>
                <w:sz w:val="10"/>
                <w:szCs w:val="10"/>
                <w:b w:val="1"/>
                <w:bCs w:val="1"/>
                <w:color w:val="auto"/>
                <w:w w:val="89"/>
              </w:rPr>
              <w:t>2008</w:t>
            </w:r>
          </w:p>
        </w:tc>
        <w:tc>
          <w:tcPr>
            <w:tcW w:w="2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center"/>
              <w:ind w:right="183"/>
              <w:spacing w:after="0" w:line="98" w:lineRule="exact"/>
              <w:rPr>
                <w:sz w:val="20"/>
                <w:szCs w:val="20"/>
                <w:color w:val="auto"/>
              </w:rPr>
            </w:pPr>
            <w:r>
              <w:rPr>
                <w:rFonts w:ascii="Arial" w:cs="Arial" w:eastAsia="Arial" w:hAnsi="Arial"/>
                <w:sz w:val="10"/>
                <w:szCs w:val="10"/>
                <w:b w:val="1"/>
                <w:bCs w:val="1"/>
                <w:color w:val="auto"/>
                <w:w w:val="99"/>
              </w:rPr>
              <w:t>1st Qtr</w:t>
            </w:r>
          </w:p>
        </w:tc>
        <w:tc>
          <w:tcPr>
            <w:tcW w:w="220" w:type="dxa"/>
            <w:vAlign w:val="bottom"/>
          </w:tcPr>
          <w:p>
            <w:pPr>
              <w:spacing w:after="0"/>
              <w:rPr>
                <w:sz w:val="8"/>
                <w:szCs w:val="8"/>
                <w:color w:val="auto"/>
              </w:rPr>
            </w:pPr>
          </w:p>
        </w:tc>
        <w:tc>
          <w:tcPr>
            <w:tcW w:w="640" w:type="dxa"/>
            <w:vAlign w:val="bottom"/>
            <w:tcBorders>
              <w:bottom w:val="single" w:sz="8" w:color="auto"/>
            </w:tcBorders>
          </w:tcPr>
          <w:p>
            <w:pPr>
              <w:jc w:val="right"/>
              <w:ind w:right="99"/>
              <w:spacing w:after="0" w:line="98" w:lineRule="exact"/>
              <w:rPr>
                <w:sz w:val="20"/>
                <w:szCs w:val="20"/>
                <w:color w:val="auto"/>
              </w:rPr>
            </w:pPr>
            <w:r>
              <w:rPr>
                <w:rFonts w:ascii="Arial" w:cs="Arial" w:eastAsia="Arial" w:hAnsi="Arial"/>
                <w:sz w:val="10"/>
                <w:szCs w:val="10"/>
                <w:b w:val="1"/>
                <w:bCs w:val="1"/>
                <w:color w:val="auto"/>
              </w:rPr>
              <w:t>1st Qtr</w:t>
            </w:r>
          </w:p>
        </w:tc>
        <w:tc>
          <w:tcPr>
            <w:tcW w:w="240" w:type="dxa"/>
            <w:vAlign w:val="bottom"/>
          </w:tcPr>
          <w:p>
            <w:pPr>
              <w:spacing w:after="0"/>
              <w:rPr>
                <w:sz w:val="8"/>
                <w:szCs w:val="8"/>
                <w:color w:val="auto"/>
              </w:rPr>
            </w:pPr>
          </w:p>
        </w:tc>
        <w:tc>
          <w:tcPr>
            <w:tcW w:w="540" w:type="dxa"/>
            <w:vAlign w:val="bottom"/>
            <w:tcBorders>
              <w:bottom w:val="single" w:sz="8" w:color="auto"/>
            </w:tcBorders>
          </w:tcPr>
          <w:p>
            <w:pPr>
              <w:jc w:val="right"/>
              <w:ind w:right="8"/>
              <w:spacing w:after="0" w:line="98" w:lineRule="exact"/>
              <w:rPr>
                <w:sz w:val="20"/>
                <w:szCs w:val="20"/>
                <w:color w:val="auto"/>
              </w:rPr>
            </w:pPr>
            <w:r>
              <w:rPr>
                <w:rFonts w:ascii="Arial" w:cs="Arial" w:eastAsia="Arial" w:hAnsi="Arial"/>
                <w:sz w:val="10"/>
                <w:szCs w:val="10"/>
                <w:b w:val="1"/>
                <w:bCs w:val="1"/>
                <w:color w:val="auto"/>
              </w:rPr>
              <w:t>2nd Qtr</w:t>
            </w:r>
          </w:p>
        </w:tc>
        <w:tc>
          <w:tcPr>
            <w:tcW w:w="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auto"/>
            </w:tcBorders>
          </w:tcPr>
          <w:p>
            <w:pPr>
              <w:jc w:val="right"/>
              <w:ind w:right="68"/>
              <w:spacing w:after="0" w:line="98" w:lineRule="exact"/>
              <w:rPr>
                <w:sz w:val="20"/>
                <w:szCs w:val="20"/>
                <w:color w:val="auto"/>
              </w:rPr>
            </w:pPr>
            <w:r>
              <w:rPr>
                <w:rFonts w:ascii="Arial" w:cs="Arial" w:eastAsia="Arial" w:hAnsi="Arial"/>
                <w:sz w:val="10"/>
                <w:szCs w:val="10"/>
                <w:b w:val="1"/>
                <w:bCs w:val="1"/>
                <w:color w:val="auto"/>
              </w:rPr>
              <w:t>3rd Qtr</w:t>
            </w:r>
          </w:p>
        </w:tc>
        <w:tc>
          <w:tcPr>
            <w:tcW w:w="240" w:type="dxa"/>
            <w:vAlign w:val="bottom"/>
          </w:tcPr>
          <w:p>
            <w:pPr>
              <w:spacing w:after="0"/>
              <w:rPr>
                <w:sz w:val="8"/>
                <w:szCs w:val="8"/>
                <w:color w:val="auto"/>
              </w:rPr>
            </w:pPr>
          </w:p>
        </w:tc>
        <w:tc>
          <w:tcPr>
            <w:tcW w:w="580" w:type="dxa"/>
            <w:vAlign w:val="bottom"/>
            <w:tcBorders>
              <w:bottom w:val="single" w:sz="8" w:color="auto"/>
            </w:tcBorders>
          </w:tcPr>
          <w:p>
            <w:pPr>
              <w:jc w:val="right"/>
              <w:ind w:right="68"/>
              <w:spacing w:after="0" w:line="98" w:lineRule="exact"/>
              <w:rPr>
                <w:sz w:val="20"/>
                <w:szCs w:val="20"/>
                <w:color w:val="auto"/>
              </w:rPr>
            </w:pPr>
            <w:r>
              <w:rPr>
                <w:rFonts w:ascii="Arial" w:cs="Arial" w:eastAsia="Arial" w:hAnsi="Arial"/>
                <w:sz w:val="10"/>
                <w:szCs w:val="10"/>
                <w:b w:val="1"/>
                <w:bCs w:val="1"/>
                <w:color w:val="auto"/>
              </w:rPr>
              <w:t>4th Qtr</w:t>
            </w:r>
          </w:p>
        </w:tc>
        <w:tc>
          <w:tcPr>
            <w:tcW w:w="220" w:type="dxa"/>
            <w:vAlign w:val="bottom"/>
          </w:tcPr>
          <w:p>
            <w:pPr>
              <w:spacing w:after="0"/>
              <w:rPr>
                <w:sz w:val="8"/>
                <w:szCs w:val="8"/>
                <w:color w:val="auto"/>
              </w:rPr>
            </w:pPr>
          </w:p>
        </w:tc>
        <w:tc>
          <w:tcPr>
            <w:tcW w:w="640" w:type="dxa"/>
            <w:vAlign w:val="bottom"/>
            <w:tcBorders>
              <w:bottom w:val="single" w:sz="8" w:color="auto"/>
            </w:tcBorders>
          </w:tcPr>
          <w:p>
            <w:pPr>
              <w:jc w:val="right"/>
              <w:ind w:right="108"/>
              <w:spacing w:after="0" w:line="98" w:lineRule="exact"/>
              <w:rPr>
                <w:sz w:val="20"/>
                <w:szCs w:val="20"/>
                <w:color w:val="auto"/>
              </w:rPr>
            </w:pPr>
            <w:r>
              <w:rPr>
                <w:rFonts w:ascii="Arial" w:cs="Arial" w:eastAsia="Arial" w:hAnsi="Arial"/>
                <w:sz w:val="10"/>
                <w:szCs w:val="10"/>
                <w:b w:val="1"/>
                <w:bCs w:val="1"/>
                <w:color w:val="auto"/>
              </w:rPr>
              <w:t>1st Qtr</w:t>
            </w:r>
          </w:p>
        </w:tc>
        <w:tc>
          <w:tcPr>
            <w:tcW w:w="260" w:type="dxa"/>
            <w:vAlign w:val="bottom"/>
          </w:tcPr>
          <w:p>
            <w:pPr>
              <w:spacing w:after="0"/>
              <w:rPr>
                <w:sz w:val="8"/>
                <w:szCs w:val="8"/>
                <w:color w:val="auto"/>
              </w:rPr>
            </w:pPr>
          </w:p>
        </w:tc>
        <w:tc>
          <w:tcPr>
            <w:tcW w:w="540" w:type="dxa"/>
            <w:vAlign w:val="bottom"/>
            <w:tcBorders>
              <w:bottom w:val="single" w:sz="8" w:color="auto"/>
            </w:tcBorders>
          </w:tcPr>
          <w:p>
            <w:pPr>
              <w:jc w:val="right"/>
              <w:ind w:right="8"/>
              <w:spacing w:after="0" w:line="98" w:lineRule="exact"/>
              <w:rPr>
                <w:sz w:val="20"/>
                <w:szCs w:val="20"/>
                <w:color w:val="auto"/>
              </w:rPr>
            </w:pPr>
            <w:r>
              <w:rPr>
                <w:rFonts w:ascii="Arial" w:cs="Arial" w:eastAsia="Arial" w:hAnsi="Arial"/>
                <w:sz w:val="10"/>
                <w:szCs w:val="10"/>
                <w:b w:val="1"/>
                <w:bCs w:val="1"/>
                <w:color w:val="auto"/>
              </w:rPr>
              <w:t>2nd Qtr</w:t>
            </w:r>
          </w:p>
        </w:tc>
        <w:tc>
          <w:tcPr>
            <w:tcW w:w="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Borders>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rPr>
              <w:t>3rd Qtr</w:t>
            </w:r>
          </w:p>
        </w:tc>
        <w:tc>
          <w:tcPr>
            <w:tcW w:w="240" w:type="dxa"/>
            <w:vAlign w:val="bottom"/>
          </w:tcPr>
          <w:p>
            <w:pPr>
              <w:spacing w:after="0"/>
              <w:rPr>
                <w:sz w:val="8"/>
                <w:szCs w:val="8"/>
                <w:color w:val="auto"/>
              </w:rPr>
            </w:pPr>
          </w:p>
        </w:tc>
        <w:tc>
          <w:tcPr>
            <w:tcW w:w="580" w:type="dxa"/>
            <w:vAlign w:val="bottom"/>
            <w:tcBorders>
              <w:bottom w:val="single" w:sz="8" w:color="auto"/>
            </w:tcBorders>
          </w:tcPr>
          <w:p>
            <w:pPr>
              <w:jc w:val="right"/>
              <w:ind w:right="68"/>
              <w:spacing w:after="0" w:line="98" w:lineRule="exact"/>
              <w:rPr>
                <w:sz w:val="20"/>
                <w:szCs w:val="20"/>
                <w:color w:val="auto"/>
              </w:rPr>
            </w:pPr>
            <w:r>
              <w:rPr>
                <w:rFonts w:ascii="Arial" w:cs="Arial" w:eastAsia="Arial" w:hAnsi="Arial"/>
                <w:sz w:val="10"/>
                <w:szCs w:val="10"/>
                <w:b w:val="1"/>
                <w:bCs w:val="1"/>
                <w:color w:val="auto"/>
              </w:rPr>
              <w:t>4th Qtr</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20"/>
                <w:szCs w:val="20"/>
                <w:color w:val="auto"/>
              </w:rPr>
            </w:pPr>
            <w:r>
              <w:rPr>
                <w:rFonts w:ascii="Arial" w:cs="Arial" w:eastAsia="Arial" w:hAnsi="Arial"/>
                <w:sz w:val="13"/>
                <w:szCs w:val="13"/>
                <w:color w:val="auto"/>
              </w:rPr>
              <w:t>Class A</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83"/>
              <w:spacing w:after="0"/>
              <w:rPr>
                <w:sz w:val="20"/>
                <w:szCs w:val="20"/>
                <w:color w:val="auto"/>
              </w:rPr>
            </w:pPr>
            <w:r>
              <w:rPr>
                <w:rFonts w:ascii="Arial" w:cs="Arial" w:eastAsia="Arial" w:hAnsi="Arial"/>
                <w:sz w:val="13"/>
                <w:szCs w:val="13"/>
                <w:color w:val="auto"/>
              </w:rPr>
              <w:t>0.15</w:t>
            </w:r>
          </w:p>
        </w:tc>
        <w:tc>
          <w:tcPr>
            <w:tcW w:w="220" w:type="dxa"/>
            <w:vAlign w:val="bottom"/>
          </w:tcPr>
          <w:p>
            <w:pPr>
              <w:spacing w:after="0"/>
              <w:rPr>
                <w:sz w:val="15"/>
                <w:szCs w:val="15"/>
                <w:color w:val="auto"/>
              </w:rPr>
            </w:pPr>
          </w:p>
        </w:tc>
        <w:tc>
          <w:tcPr>
            <w:tcW w:w="640" w:type="dxa"/>
            <w:vAlign w:val="bottom"/>
          </w:tcPr>
          <w:p>
            <w:pPr>
              <w:jc w:val="right"/>
              <w:ind w:right="99"/>
              <w:spacing w:after="0"/>
              <w:rPr>
                <w:sz w:val="20"/>
                <w:szCs w:val="20"/>
                <w:color w:val="auto"/>
              </w:rPr>
            </w:pPr>
            <w:r>
              <w:rPr>
                <w:rFonts w:ascii="Arial" w:cs="Arial" w:eastAsia="Arial" w:hAnsi="Arial"/>
                <w:sz w:val="13"/>
                <w:szCs w:val="13"/>
                <w:color w:val="auto"/>
              </w:rPr>
              <w:t>$ 0.14</w:t>
            </w: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$0.14</w:t>
            </w:r>
          </w:p>
        </w:tc>
        <w:tc>
          <w:tcPr>
            <w:tcW w:w="900" w:type="dxa"/>
            <w:vAlign w:val="bottom"/>
            <w:gridSpan w:val="3"/>
          </w:tcPr>
          <w:p>
            <w:pPr>
              <w:jc w:val="right"/>
              <w:ind w:right="128"/>
              <w:spacing w:after="0"/>
              <w:rPr>
                <w:sz w:val="20"/>
                <w:szCs w:val="20"/>
                <w:color w:val="auto"/>
              </w:rPr>
            </w:pPr>
            <w:r>
              <w:rPr>
                <w:rFonts w:ascii="Arial" w:cs="Arial" w:eastAsia="Arial" w:hAnsi="Arial"/>
                <w:sz w:val="13"/>
                <w:szCs w:val="13"/>
                <w:color w:val="auto"/>
              </w:rPr>
              <w:t>$0.14</w:t>
            </w:r>
          </w:p>
        </w:tc>
        <w:tc>
          <w:tcPr>
            <w:tcW w:w="820" w:type="dxa"/>
            <w:vAlign w:val="bottom"/>
            <w:gridSpan w:val="2"/>
          </w:tcPr>
          <w:p>
            <w:pPr>
              <w:jc w:val="right"/>
              <w:ind w:right="128"/>
              <w:spacing w:after="0"/>
              <w:rPr>
                <w:sz w:val="20"/>
                <w:szCs w:val="20"/>
                <w:color w:val="auto"/>
              </w:rPr>
            </w:pPr>
            <w:r>
              <w:rPr>
                <w:rFonts w:ascii="Arial" w:cs="Arial" w:eastAsia="Arial" w:hAnsi="Arial"/>
                <w:sz w:val="13"/>
                <w:szCs w:val="13"/>
                <w:color w:val="auto"/>
              </w:rPr>
              <w:t>$0.14</w:t>
            </w:r>
          </w:p>
        </w:tc>
        <w:tc>
          <w:tcPr>
            <w:tcW w:w="860" w:type="dxa"/>
            <w:vAlign w:val="bottom"/>
            <w:gridSpan w:val="2"/>
          </w:tcPr>
          <w:p>
            <w:pPr>
              <w:jc w:val="right"/>
              <w:ind w:right="108"/>
              <w:spacing w:after="0"/>
              <w:rPr>
                <w:sz w:val="20"/>
                <w:szCs w:val="20"/>
                <w:color w:val="auto"/>
              </w:rPr>
            </w:pPr>
            <w:r>
              <w:rPr>
                <w:rFonts w:ascii="Arial" w:cs="Arial" w:eastAsia="Arial" w:hAnsi="Arial"/>
                <w:sz w:val="13"/>
                <w:szCs w:val="13"/>
                <w:color w:val="auto"/>
              </w:rPr>
              <w:t>$ 0.13</w:t>
            </w:r>
          </w:p>
        </w:tc>
        <w:tc>
          <w:tcPr>
            <w:tcW w:w="800" w:type="dxa"/>
            <w:vAlign w:val="bottom"/>
            <w:gridSpan w:val="2"/>
          </w:tcPr>
          <w:p>
            <w:pPr>
              <w:jc w:val="right"/>
              <w:ind w:right="68"/>
              <w:spacing w:after="0"/>
              <w:rPr>
                <w:sz w:val="20"/>
                <w:szCs w:val="20"/>
                <w:color w:val="auto"/>
              </w:rPr>
            </w:pPr>
            <w:r>
              <w:rPr>
                <w:rFonts w:ascii="Arial" w:cs="Arial" w:eastAsia="Arial" w:hAnsi="Arial"/>
                <w:sz w:val="13"/>
                <w:szCs w:val="13"/>
                <w:color w:val="auto"/>
              </w:rPr>
              <w:t>$0.13</w:t>
            </w:r>
          </w:p>
        </w:tc>
        <w:tc>
          <w:tcPr>
            <w:tcW w:w="920" w:type="dxa"/>
            <w:vAlign w:val="bottom"/>
            <w:gridSpan w:val="3"/>
          </w:tcPr>
          <w:p>
            <w:pPr>
              <w:jc w:val="right"/>
              <w:ind w:right="128"/>
              <w:spacing w:after="0"/>
              <w:rPr>
                <w:sz w:val="20"/>
                <w:szCs w:val="20"/>
                <w:color w:val="auto"/>
              </w:rPr>
            </w:pPr>
            <w:r>
              <w:rPr>
                <w:rFonts w:ascii="Arial" w:cs="Arial" w:eastAsia="Arial" w:hAnsi="Arial"/>
                <w:sz w:val="13"/>
                <w:szCs w:val="13"/>
                <w:color w:val="auto"/>
              </w:rPr>
              <w:t>$0.13</w:t>
            </w:r>
          </w:p>
        </w:tc>
        <w:tc>
          <w:tcPr>
            <w:tcW w:w="820" w:type="dxa"/>
            <w:vAlign w:val="bottom"/>
            <w:gridSpan w:val="2"/>
          </w:tcPr>
          <w:p>
            <w:pPr>
              <w:jc w:val="right"/>
              <w:ind w:right="108"/>
              <w:spacing w:after="0"/>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r>
        <w:trPr>
          <w:trHeight w:val="165"/>
        </w:trPr>
        <w:tc>
          <w:tcPr>
            <w:tcW w:w="2300" w:type="dxa"/>
            <w:vAlign w:val="bottom"/>
          </w:tcPr>
          <w:p>
            <w:pPr>
              <w:spacing w:after="0"/>
              <w:rPr>
                <w:sz w:val="20"/>
                <w:szCs w:val="20"/>
                <w:color w:val="auto"/>
              </w:rPr>
            </w:pPr>
            <w:r>
              <w:rPr>
                <w:rFonts w:ascii="Arial" w:cs="Arial" w:eastAsia="Arial" w:hAnsi="Arial"/>
                <w:sz w:val="13"/>
                <w:szCs w:val="13"/>
                <w:color w:val="auto"/>
              </w:rPr>
              <w:t>Class B</w:t>
            </w:r>
          </w:p>
        </w:tc>
        <w:tc>
          <w:tcPr>
            <w:tcW w:w="240" w:type="dxa"/>
            <w:vAlign w:val="bottom"/>
          </w:tcPr>
          <w:p>
            <w:pPr>
              <w:spacing w:after="0"/>
              <w:rPr>
                <w:sz w:val="14"/>
                <w:szCs w:val="14"/>
                <w:color w:val="auto"/>
              </w:rPr>
            </w:pPr>
          </w:p>
        </w:tc>
        <w:tc>
          <w:tcPr>
            <w:tcW w:w="680" w:type="dxa"/>
            <w:vAlign w:val="bottom"/>
          </w:tcPr>
          <w:p>
            <w:pPr>
              <w:jc w:val="right"/>
              <w:ind w:right="183"/>
              <w:spacing w:after="0"/>
              <w:rPr>
                <w:sz w:val="20"/>
                <w:szCs w:val="20"/>
                <w:color w:val="auto"/>
              </w:rPr>
            </w:pPr>
            <w:r>
              <w:rPr>
                <w:rFonts w:ascii="Arial" w:cs="Arial" w:eastAsia="Arial" w:hAnsi="Arial"/>
                <w:sz w:val="13"/>
                <w:szCs w:val="13"/>
                <w:color w:val="auto"/>
                <w:w w:val="89"/>
              </w:rPr>
              <w:t>0.13335</w:t>
            </w:r>
          </w:p>
        </w:tc>
        <w:tc>
          <w:tcPr>
            <w:tcW w:w="220" w:type="dxa"/>
            <w:vAlign w:val="bottom"/>
          </w:tcPr>
          <w:p>
            <w:pPr>
              <w:spacing w:after="0"/>
              <w:rPr>
                <w:sz w:val="14"/>
                <w:szCs w:val="14"/>
                <w:color w:val="auto"/>
              </w:rPr>
            </w:pPr>
          </w:p>
        </w:tc>
        <w:tc>
          <w:tcPr>
            <w:tcW w:w="640" w:type="dxa"/>
            <w:vAlign w:val="bottom"/>
          </w:tcPr>
          <w:p>
            <w:pPr>
              <w:jc w:val="right"/>
              <w:ind w:right="99"/>
              <w:spacing w:after="0"/>
              <w:rPr>
                <w:sz w:val="20"/>
                <w:szCs w:val="20"/>
                <w:color w:val="auto"/>
              </w:rPr>
            </w:pPr>
            <w:r>
              <w:rPr>
                <w:rFonts w:ascii="Arial" w:cs="Arial" w:eastAsia="Arial" w:hAnsi="Arial"/>
                <w:sz w:val="13"/>
                <w:szCs w:val="13"/>
                <w:color w:val="auto"/>
              </w:rPr>
              <w:t>0.123</w:t>
            </w: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0.14</w:t>
            </w:r>
          </w:p>
        </w:tc>
        <w:tc>
          <w:tcPr>
            <w:tcW w:w="900" w:type="dxa"/>
            <w:vAlign w:val="bottom"/>
            <w:gridSpan w:val="3"/>
          </w:tcPr>
          <w:p>
            <w:pPr>
              <w:jc w:val="right"/>
              <w:ind w:right="128"/>
              <w:spacing w:after="0"/>
              <w:rPr>
                <w:sz w:val="20"/>
                <w:szCs w:val="20"/>
                <w:color w:val="auto"/>
              </w:rPr>
            </w:pPr>
            <w:r>
              <w:rPr>
                <w:rFonts w:ascii="Arial" w:cs="Arial" w:eastAsia="Arial" w:hAnsi="Arial"/>
                <w:sz w:val="13"/>
                <w:szCs w:val="13"/>
                <w:color w:val="auto"/>
              </w:rPr>
              <w:t>0.14</w:t>
            </w:r>
          </w:p>
        </w:tc>
        <w:tc>
          <w:tcPr>
            <w:tcW w:w="820" w:type="dxa"/>
            <w:vAlign w:val="bottom"/>
            <w:gridSpan w:val="2"/>
          </w:tcPr>
          <w:p>
            <w:pPr>
              <w:jc w:val="right"/>
              <w:ind w:right="128"/>
              <w:spacing w:after="0"/>
              <w:rPr>
                <w:sz w:val="20"/>
                <w:szCs w:val="20"/>
                <w:color w:val="auto"/>
              </w:rPr>
            </w:pPr>
            <w:r>
              <w:rPr>
                <w:rFonts w:ascii="Arial" w:cs="Arial" w:eastAsia="Arial" w:hAnsi="Arial"/>
                <w:sz w:val="13"/>
                <w:szCs w:val="13"/>
                <w:color w:val="auto"/>
              </w:rPr>
              <w:t>0.14</w:t>
            </w:r>
          </w:p>
        </w:tc>
        <w:tc>
          <w:tcPr>
            <w:tcW w:w="860" w:type="dxa"/>
            <w:vAlign w:val="bottom"/>
            <w:gridSpan w:val="2"/>
          </w:tcPr>
          <w:p>
            <w:pPr>
              <w:jc w:val="right"/>
              <w:ind w:right="108"/>
              <w:spacing w:after="0"/>
              <w:rPr>
                <w:sz w:val="20"/>
                <w:szCs w:val="20"/>
                <w:color w:val="auto"/>
              </w:rPr>
            </w:pPr>
            <w:r>
              <w:rPr>
                <w:rFonts w:ascii="Arial" w:cs="Arial" w:eastAsia="Arial" w:hAnsi="Arial"/>
                <w:sz w:val="13"/>
                <w:szCs w:val="13"/>
                <w:color w:val="auto"/>
              </w:rPr>
              <w:t>0.113</w:t>
            </w:r>
          </w:p>
        </w:tc>
        <w:tc>
          <w:tcPr>
            <w:tcW w:w="800" w:type="dxa"/>
            <w:vAlign w:val="bottom"/>
            <w:gridSpan w:val="2"/>
          </w:tcPr>
          <w:p>
            <w:pPr>
              <w:jc w:val="right"/>
              <w:ind w:right="68"/>
              <w:spacing w:after="0"/>
              <w:rPr>
                <w:sz w:val="20"/>
                <w:szCs w:val="20"/>
                <w:color w:val="auto"/>
              </w:rPr>
            </w:pPr>
            <w:r>
              <w:rPr>
                <w:rFonts w:ascii="Arial" w:cs="Arial" w:eastAsia="Arial" w:hAnsi="Arial"/>
                <w:sz w:val="13"/>
                <w:szCs w:val="13"/>
                <w:color w:val="auto"/>
              </w:rPr>
              <w:t>0.13</w:t>
            </w:r>
          </w:p>
        </w:tc>
        <w:tc>
          <w:tcPr>
            <w:tcW w:w="920" w:type="dxa"/>
            <w:vAlign w:val="bottom"/>
            <w:gridSpan w:val="3"/>
          </w:tcPr>
          <w:p>
            <w:pPr>
              <w:jc w:val="right"/>
              <w:ind w:right="128"/>
              <w:spacing w:after="0"/>
              <w:rPr>
                <w:sz w:val="20"/>
                <w:szCs w:val="20"/>
                <w:color w:val="auto"/>
              </w:rPr>
            </w:pPr>
            <w:r>
              <w:rPr>
                <w:rFonts w:ascii="Arial" w:cs="Arial" w:eastAsia="Arial" w:hAnsi="Arial"/>
                <w:sz w:val="13"/>
                <w:szCs w:val="13"/>
                <w:color w:val="auto"/>
              </w:rPr>
              <w:t>0.13</w:t>
            </w:r>
          </w:p>
        </w:tc>
        <w:tc>
          <w:tcPr>
            <w:tcW w:w="820" w:type="dxa"/>
            <w:vAlign w:val="bottom"/>
            <w:gridSpan w:val="2"/>
          </w:tcPr>
          <w:p>
            <w:pPr>
              <w:jc w:val="right"/>
              <w:ind w:right="108"/>
              <w:spacing w:after="0"/>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hanging="393"/>
        <w:spacing w:after="0"/>
        <w:tabs>
          <w:tab w:leader="none" w:pos="108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Common Stock Price Performance Graph</w:t>
      </w:r>
    </w:p>
    <w:p>
      <w:pPr>
        <w:spacing w:after="0" w:line="96"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The graph below shows a comparison of the cumulative return over the last five fiscal years had $100 been invested at the close of business on July 31, 2002, in each of Brady Corporation Class A Common Stock, The Standard &amp; Poor’s (S&amp;P) 500 index, the Standard and Poor’s Small Cap 600 index, and the Russell 2000 index.</w:t>
      </w:r>
    </w:p>
    <w:p>
      <w:pPr>
        <w:spacing w:after="0" w:line="188" w:lineRule="exact"/>
        <w:rPr>
          <w:sz w:val="20"/>
          <w:szCs w:val="20"/>
          <w:color w:val="auto"/>
        </w:rPr>
      </w:pPr>
    </w:p>
    <w:p>
      <w:pPr>
        <w:jc w:val="center"/>
        <w:ind w:right="-999"/>
        <w:spacing w:after="0"/>
        <w:rPr>
          <w:sz w:val="20"/>
          <w:szCs w:val="20"/>
          <w:color w:val="auto"/>
        </w:rPr>
      </w:pPr>
      <w:r>
        <w:rPr>
          <w:rFonts w:ascii="Arial" w:cs="Arial" w:eastAsia="Arial" w:hAnsi="Arial"/>
          <w:sz w:val="13"/>
          <w:szCs w:val="13"/>
          <w:b w:val="1"/>
          <w:bCs w:val="1"/>
          <w:color w:val="auto"/>
        </w:rPr>
        <w:t>Comparison of 5 Year Cumulative Total Return*</w:t>
      </w:r>
    </w:p>
    <w:p>
      <w:pPr>
        <w:spacing w:after="0" w:line="19" w:lineRule="exact"/>
        <w:rPr>
          <w:sz w:val="20"/>
          <w:szCs w:val="20"/>
          <w:color w:val="auto"/>
        </w:rPr>
      </w:pPr>
    </w:p>
    <w:p>
      <w:pPr>
        <w:jc w:val="center"/>
        <w:ind w:right="-999"/>
        <w:spacing w:after="0"/>
        <w:rPr>
          <w:sz w:val="20"/>
          <w:szCs w:val="20"/>
          <w:color w:val="auto"/>
        </w:rPr>
      </w:pPr>
      <w:r>
        <w:rPr>
          <w:rFonts w:ascii="Arial" w:cs="Arial" w:eastAsia="Arial" w:hAnsi="Arial"/>
          <w:sz w:val="13"/>
          <w:szCs w:val="13"/>
          <w:b w:val="1"/>
          <w:bCs w:val="1"/>
          <w:color w:val="auto"/>
        </w:rPr>
        <w:t>Among Brady Corporation, The S&amp;P 500 Index,</w:t>
      </w:r>
    </w:p>
    <w:p>
      <w:pPr>
        <w:spacing w:after="0" w:line="8" w:lineRule="exact"/>
        <w:rPr>
          <w:sz w:val="20"/>
          <w:szCs w:val="20"/>
          <w:color w:val="auto"/>
        </w:rPr>
      </w:pPr>
    </w:p>
    <w:p>
      <w:pPr>
        <w:jc w:val="center"/>
        <w:ind w:right="-999"/>
        <w:spacing w:after="0"/>
        <w:rPr>
          <w:sz w:val="20"/>
          <w:szCs w:val="20"/>
          <w:color w:val="auto"/>
        </w:rPr>
      </w:pPr>
      <w:r>
        <w:rPr>
          <w:rFonts w:ascii="Arial" w:cs="Arial" w:eastAsia="Arial" w:hAnsi="Arial"/>
          <w:sz w:val="13"/>
          <w:szCs w:val="13"/>
          <w:b w:val="1"/>
          <w:bCs w:val="1"/>
          <w:color w:val="auto"/>
        </w:rPr>
        <w:t>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62230</wp:posOffset>
            </wp:positionV>
            <wp:extent cx="3701415" cy="2140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01415" cy="214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00" w:hanging="170"/>
        <w:spacing w:after="0" w:line="280" w:lineRule="auto"/>
        <w:tabs>
          <w:tab w:leader="none" w:pos="9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$100 invested on 7/31/02 in stock or index — including reinvestment of dividends. Fiscal year ended July 31. Copyright</w:t>
      </w:r>
      <w:r>
        <w:rPr>
          <w:rFonts w:ascii="Arial" w:cs="Arial" w:eastAsia="Arial" w:hAnsi="Arial"/>
          <w:sz w:val="11"/>
          <w:szCs w:val="11"/>
          <w:color w:val="auto"/>
        </w:rPr>
        <w:t>©</w:t>
      </w:r>
      <w:r>
        <w:rPr>
          <w:rFonts w:ascii="Arial" w:cs="Arial" w:eastAsia="Arial" w:hAnsi="Arial"/>
          <w:sz w:val="13"/>
          <w:szCs w:val="13"/>
          <w:color w:val="auto"/>
        </w:rPr>
        <w:t xml:space="preserve"> 2002, Standard &amp; Poor’s, a division of The McGraw-Hill Companies, Inc. All rights reserved.</w:t>
      </w: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60"/>
          </w:cols>
          <w:pgMar w:left="220" w:top="343" w:right="13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0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24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Selected Financial Data</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800" w:type="dxa"/>
            <w:vAlign w:val="bottom"/>
          </w:tcPr>
          <w:p>
            <w:pPr>
              <w:spacing w:after="0"/>
              <w:rPr>
                <w:sz w:val="24"/>
                <w:szCs w:val="24"/>
                <w:color w:val="auto"/>
              </w:rPr>
            </w:pPr>
          </w:p>
        </w:tc>
        <w:tc>
          <w:tcPr>
            <w:tcW w:w="7320" w:type="dxa"/>
            <w:vAlign w:val="bottom"/>
            <w:gridSpan w:val="11"/>
          </w:tcPr>
          <w:p>
            <w:pPr>
              <w:jc w:val="right"/>
              <w:ind w:right="640"/>
              <w:spacing w:after="0"/>
              <w:rPr>
                <w:sz w:val="20"/>
                <w:szCs w:val="20"/>
                <w:color w:val="auto"/>
              </w:rPr>
            </w:pPr>
            <w:r>
              <w:rPr>
                <w:rFonts w:ascii="Arial" w:cs="Arial" w:eastAsia="Arial" w:hAnsi="Arial"/>
                <w:sz w:val="13"/>
                <w:szCs w:val="13"/>
                <w:b w:val="1"/>
                <w:bCs w:val="1"/>
                <w:color w:val="auto"/>
              </w:rPr>
              <w:t>CONSOLIDATED STATEMENTS OF INCOME AND SELECTED FINANCIAL DATA</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840" w:type="dxa"/>
            <w:vAlign w:val="bottom"/>
            <w:gridSpan w:val="7"/>
          </w:tcPr>
          <w:p>
            <w:pPr>
              <w:jc w:val="right"/>
              <w:ind w:right="920"/>
              <w:spacing w:after="0"/>
              <w:rPr>
                <w:sz w:val="20"/>
                <w:szCs w:val="20"/>
                <w:color w:val="auto"/>
              </w:rPr>
            </w:pPr>
            <w:r>
              <w:rPr>
                <w:rFonts w:ascii="Arial" w:cs="Arial" w:eastAsia="Arial" w:hAnsi="Arial"/>
                <w:sz w:val="13"/>
                <w:szCs w:val="13"/>
                <w:b w:val="1"/>
                <w:bCs w:val="1"/>
                <w:color w:val="auto"/>
              </w:rPr>
              <w:t>Years Ended July 31, 2003 through 2007</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gridSpan w:val="6"/>
          </w:tcPr>
          <w:p>
            <w:pPr>
              <w:jc w:val="right"/>
              <w:ind w:right="51"/>
              <w:spacing w:after="0"/>
              <w:rPr>
                <w:sz w:val="20"/>
                <w:szCs w:val="20"/>
                <w:color w:val="auto"/>
              </w:rPr>
            </w:pPr>
            <w:r>
              <w:rPr>
                <w:rFonts w:ascii="Arial" w:cs="Arial" w:eastAsia="Arial" w:hAnsi="Arial"/>
                <w:sz w:val="10"/>
                <w:szCs w:val="10"/>
                <w:b w:val="1"/>
                <w:bCs w:val="1"/>
                <w:color w:val="auto"/>
              </w:rPr>
              <w:t>(In thousands, except per share amounts)</w:t>
            </w: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Data</w:t>
            </w: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20"/>
                <w:szCs w:val="20"/>
                <w:color w:val="auto"/>
              </w:rPr>
            </w:pPr>
            <w:r>
              <w:rPr>
                <w:rFonts w:ascii="Arial" w:cs="Arial" w:eastAsia="Arial" w:hAnsi="Arial"/>
                <w:sz w:val="13"/>
                <w:szCs w:val="13"/>
                <w:b w:val="1"/>
                <w:bCs w:val="1"/>
                <w:color w:val="auto"/>
              </w:rPr>
              <w:t>Net Sales(1)</w:t>
            </w:r>
          </w:p>
        </w:tc>
        <w:tc>
          <w:tcPr>
            <w:tcW w:w="2400" w:type="dxa"/>
            <w:vAlign w:val="bottom"/>
          </w:tcPr>
          <w:p>
            <w:pPr>
              <w:spacing w:after="0"/>
              <w:rPr>
                <w:sz w:val="13"/>
                <w:szCs w:val="13"/>
                <w:color w:val="auto"/>
              </w:rPr>
            </w:pPr>
          </w:p>
        </w:tc>
        <w:tc>
          <w:tcPr>
            <w:tcW w:w="15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1,362,631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1,018,436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816,447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671,219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554,866</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3"/>
              </w:rPr>
              <w:t>Gross Margin</w:t>
            </w:r>
          </w:p>
        </w:tc>
        <w:tc>
          <w:tcPr>
            <w:tcW w:w="24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657,044</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525,755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433,276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345,361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279,149</w:t>
            </w:r>
          </w:p>
        </w:tc>
        <w:tc>
          <w:tcPr>
            <w:tcW w:w="0" w:type="dxa"/>
            <w:vAlign w:val="bottom"/>
          </w:tcPr>
          <w:p>
            <w:pPr>
              <w:spacing w:after="0"/>
              <w:rPr>
                <w:sz w:val="1"/>
                <w:szCs w:val="1"/>
                <w:color w:val="auto"/>
              </w:rPr>
            </w:pP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Operating Expenses:</w:t>
            </w: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35,954</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30,443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25,078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23,028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18,873</w:t>
            </w:r>
          </w:p>
        </w:tc>
        <w:tc>
          <w:tcPr>
            <w:tcW w:w="0" w:type="dxa"/>
            <w:vAlign w:val="bottom"/>
          </w:tcPr>
          <w:p>
            <w:pPr>
              <w:spacing w:after="0"/>
              <w:rPr>
                <w:sz w:val="1"/>
                <w:szCs w:val="1"/>
                <w:color w:val="auto"/>
              </w:rPr>
            </w:pPr>
          </w:p>
        </w:tc>
      </w:tr>
      <w:tr>
        <w:trPr>
          <w:trHeight w:val="157"/>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Selling, general and administrative</w:t>
            </w: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449,103</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338,796</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285,746</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248,171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219,861</w:t>
            </w: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Restructuring charge — net</w:t>
            </w: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9,589</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ind w:left="400"/>
              <w:spacing w:after="0"/>
              <w:rPr>
                <w:sz w:val="20"/>
                <w:szCs w:val="20"/>
                <w:color w:val="auto"/>
              </w:rPr>
            </w:pPr>
            <w:r>
              <w:rPr>
                <w:rFonts w:ascii="Arial" w:cs="Arial" w:eastAsia="Arial" w:hAnsi="Arial"/>
                <w:sz w:val="13"/>
                <w:szCs w:val="13"/>
                <w:color w:val="auto"/>
              </w:rPr>
              <w:t>Total operating expenses</w:t>
            </w: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gridSpan w:val="2"/>
            <w:vMerge w:val="continue"/>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485,057</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369,239</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310,824</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274,380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248,323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171,987</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156,516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122,452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70,981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30,826</w:t>
            </w:r>
          </w:p>
        </w:tc>
        <w:tc>
          <w:tcPr>
            <w:tcW w:w="0" w:type="dxa"/>
            <w:vAlign w:val="bottom"/>
          </w:tcPr>
          <w:p>
            <w:pPr>
              <w:spacing w:after="0"/>
              <w:rPr>
                <w:sz w:val="1"/>
                <w:szCs w:val="1"/>
                <w:color w:val="auto"/>
              </w:rPr>
            </w:pP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Other (Expense) Income:</w:t>
            </w: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Investment and other income — net</w:t>
            </w: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2,875</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1,750</w:t>
            </w:r>
          </w:p>
        </w:tc>
        <w:tc>
          <w:tcPr>
            <w:tcW w:w="0" w:type="dxa"/>
            <w:vAlign w:val="bottom"/>
          </w:tcPr>
          <w:p>
            <w:pPr>
              <w:spacing w:after="0"/>
              <w:rPr>
                <w:sz w:val="1"/>
                <w:szCs w:val="1"/>
                <w:color w:val="auto"/>
              </w:rPr>
            </w:pPr>
          </w:p>
        </w:tc>
      </w:tr>
      <w:tr>
        <w:trPr>
          <w:trHeight w:val="157"/>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Interest expense</w:t>
            </w: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(22,934)</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(14,231)</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(8,403)</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(1,231)</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Net other (expense) income</w:t>
            </w: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(20,059)</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(11,828)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(7,034)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1,629</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3"/>
                <w:szCs w:val="13"/>
                <w:color w:val="auto"/>
              </w:rPr>
              <w:t>Income before income taxes</w:t>
            </w: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gridSpan w:val="2"/>
            <w:vMerge w:val="continue"/>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151,928</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144,688</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115,418</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70,327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32,455</w:t>
            </w:r>
          </w:p>
        </w:tc>
        <w:tc>
          <w:tcPr>
            <w:tcW w:w="0" w:type="dxa"/>
            <w:vAlign w:val="bottom"/>
          </w:tcPr>
          <w:p>
            <w:pPr>
              <w:spacing w:after="0"/>
              <w:rPr>
                <w:sz w:val="1"/>
                <w:szCs w:val="1"/>
                <w:color w:val="auto"/>
              </w:rPr>
            </w:pPr>
          </w:p>
        </w:tc>
      </w:tr>
      <w:tr>
        <w:trPr>
          <w:trHeight w:val="158"/>
        </w:trPr>
        <w:tc>
          <w:tcPr>
            <w:tcW w:w="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0"/>
              </w:rPr>
              <w:t>Income Taxes</w:t>
            </w:r>
          </w:p>
        </w:tc>
        <w:tc>
          <w:tcPr>
            <w:tcW w:w="24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42,540</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40,513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33,471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19,456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11,035</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3"/>
                <w:szCs w:val="13"/>
                <w:b w:val="1"/>
                <w:bCs w:val="1"/>
                <w:color w:val="auto"/>
              </w:rPr>
              <w:t>Net Income</w:t>
            </w:r>
          </w:p>
        </w:tc>
        <w:tc>
          <w:tcPr>
            <w:tcW w:w="2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vMerge w:val="continue"/>
          </w:tcPr>
          <w:p>
            <w:pPr>
              <w:spacing w:after="0"/>
              <w:rPr>
                <w:sz w:val="14"/>
                <w:szCs w:val="14"/>
                <w:color w:val="auto"/>
              </w:rPr>
            </w:pPr>
          </w:p>
        </w:tc>
        <w:tc>
          <w:tcPr>
            <w:tcW w:w="2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109,388</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104,175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81,947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50,871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21,420</w:t>
            </w:r>
          </w:p>
        </w:tc>
        <w:tc>
          <w:tcPr>
            <w:tcW w:w="0" w:type="dxa"/>
            <w:vAlign w:val="bottom"/>
          </w:tcPr>
          <w:p>
            <w:pPr>
              <w:spacing w:after="0"/>
              <w:rPr>
                <w:sz w:val="1"/>
                <w:szCs w:val="1"/>
                <w:color w:val="auto"/>
              </w:rPr>
            </w:pPr>
          </w:p>
        </w:tc>
      </w:tr>
      <w:tr>
        <w:trPr>
          <w:trHeight w:val="165"/>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Per Common Share —</w:t>
            </w:r>
          </w:p>
        </w:tc>
        <w:tc>
          <w:tcPr>
            <w:tcW w:w="1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00" w:type="dxa"/>
            <w:vAlign w:val="bottom"/>
            <w:gridSpan w:val="2"/>
          </w:tcPr>
          <w:p>
            <w:pPr>
              <w:ind w:left="280"/>
              <w:spacing w:after="0"/>
              <w:rPr>
                <w:sz w:val="20"/>
                <w:szCs w:val="20"/>
                <w:color w:val="auto"/>
              </w:rPr>
            </w:pPr>
            <w:r>
              <w:rPr>
                <w:rFonts w:ascii="Arial" w:cs="Arial" w:eastAsia="Arial" w:hAnsi="Arial"/>
                <w:sz w:val="13"/>
                <w:szCs w:val="13"/>
                <w:b w:val="1"/>
                <w:bCs w:val="1"/>
                <w:color w:val="auto"/>
              </w:rPr>
              <w:t>(Diluted):</w:t>
            </w: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Class A nonvoting</w:t>
            </w:r>
          </w:p>
        </w:tc>
        <w:tc>
          <w:tcPr>
            <w:tcW w:w="158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0.46</w:t>
            </w:r>
          </w:p>
        </w:tc>
        <w:tc>
          <w:tcPr>
            <w:tcW w:w="0" w:type="dxa"/>
            <w:vAlign w:val="bottom"/>
          </w:tcPr>
          <w:p>
            <w:pPr>
              <w:spacing w:after="0"/>
              <w:rPr>
                <w:sz w:val="1"/>
                <w:szCs w:val="1"/>
                <w:color w:val="auto"/>
              </w:rPr>
            </w:pPr>
          </w:p>
        </w:tc>
      </w:tr>
      <w:tr>
        <w:trPr>
          <w:trHeight w:val="157"/>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Class B voting</w:t>
            </w:r>
          </w:p>
        </w:tc>
        <w:tc>
          <w:tcPr>
            <w:tcW w:w="15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1.98</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2.05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1.63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0.44</w:t>
            </w: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Dividends on:</w:t>
            </w: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Class A common stock</w:t>
            </w:r>
          </w:p>
        </w:tc>
        <w:tc>
          <w:tcPr>
            <w:tcW w:w="15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0.56</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0.52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0.44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0.42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Class B common stock</w:t>
            </w:r>
          </w:p>
        </w:tc>
        <w:tc>
          <w:tcPr>
            <w:tcW w:w="158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0.54</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0.39</w:t>
            </w:r>
          </w:p>
        </w:tc>
        <w:tc>
          <w:tcPr>
            <w:tcW w:w="0" w:type="dxa"/>
            <w:vAlign w:val="bottom"/>
          </w:tcPr>
          <w:p>
            <w:pPr>
              <w:spacing w:after="0"/>
              <w:rPr>
                <w:sz w:val="1"/>
                <w:szCs w:val="1"/>
                <w:color w:val="auto"/>
              </w:rPr>
            </w:pP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Balance Sheet at July 31:</w:t>
            </w: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Working capital</w:t>
            </w:r>
          </w:p>
        </w:tc>
        <w:tc>
          <w:tcPr>
            <w:tcW w:w="158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303,359</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240,537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141,560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131,706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123,878</w:t>
            </w:r>
          </w:p>
        </w:tc>
        <w:tc>
          <w:tcPr>
            <w:tcW w:w="0" w:type="dxa"/>
            <w:vAlign w:val="bottom"/>
          </w:tcPr>
          <w:p>
            <w:pPr>
              <w:spacing w:after="0"/>
              <w:rPr>
                <w:sz w:val="1"/>
                <w:szCs w:val="1"/>
                <w:color w:val="auto"/>
              </w:rPr>
            </w:pPr>
          </w:p>
        </w:tc>
      </w:tr>
      <w:tr>
        <w:trPr>
          <w:trHeight w:val="157"/>
        </w:trPr>
        <w:tc>
          <w:tcPr>
            <w:tcW w:w="800" w:type="dxa"/>
            <w:vAlign w:val="bottom"/>
          </w:tcPr>
          <w:p>
            <w:pPr>
              <w:ind w:left="140"/>
              <w:spacing w:after="0"/>
              <w:rPr>
                <w:sz w:val="20"/>
                <w:szCs w:val="20"/>
                <w:color w:val="auto"/>
              </w:rPr>
            </w:pPr>
            <w:r>
              <w:rPr>
                <w:rFonts w:ascii="Arial" w:cs="Arial" w:eastAsia="Arial" w:hAnsi="Arial"/>
                <w:sz w:val="13"/>
                <w:szCs w:val="13"/>
                <w:color w:val="auto"/>
                <w:w w:val="91"/>
              </w:rPr>
              <w:t>Total assets</w:t>
            </w:r>
          </w:p>
        </w:tc>
        <w:tc>
          <w:tcPr>
            <w:tcW w:w="2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1,698,857</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1,365,186</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850,147</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697,900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449,519</w:t>
            </w: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Long-term obligations, less current maturities</w:t>
            </w: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478,575</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350,018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150,026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150,019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568</w:t>
            </w:r>
          </w:p>
        </w:tc>
        <w:tc>
          <w:tcPr>
            <w:tcW w:w="0" w:type="dxa"/>
            <w:vAlign w:val="bottom"/>
          </w:tcPr>
          <w:p>
            <w:pPr>
              <w:spacing w:after="0"/>
              <w:rPr>
                <w:sz w:val="1"/>
                <w:szCs w:val="1"/>
                <w:color w:val="auto"/>
              </w:rPr>
            </w:pPr>
          </w:p>
        </w:tc>
      </w:tr>
      <w:tr>
        <w:trPr>
          <w:trHeight w:val="157"/>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Stockholders’ investment</w:t>
            </w: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891,012</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746,046</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497,274</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403,315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338,961</w:t>
            </w: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 Data:</w:t>
            </w: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Net cash provided by operating activities</w:t>
            </w: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136,018</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114,896</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119,103</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87,646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57,316</w:t>
            </w: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53,856</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35,144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26,822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20,190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17,771</w:t>
            </w:r>
          </w:p>
        </w:tc>
        <w:tc>
          <w:tcPr>
            <w:tcW w:w="0" w:type="dxa"/>
            <w:vAlign w:val="bottom"/>
          </w:tcPr>
          <w:p>
            <w:pPr>
              <w:spacing w:after="0"/>
              <w:rPr>
                <w:sz w:val="1"/>
                <w:szCs w:val="1"/>
                <w:color w:val="auto"/>
              </w:rPr>
            </w:pPr>
          </w:p>
        </w:tc>
      </w:tr>
      <w:tr>
        <w:trPr>
          <w:trHeight w:val="165"/>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Capital expenditures</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(51,940)</w:t>
            </w:r>
          </w:p>
        </w:tc>
        <w:tc>
          <w:tcPr>
            <w:tcW w:w="1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(39,410)</w:t>
            </w:r>
          </w:p>
        </w:tc>
        <w:tc>
          <w:tcPr>
            <w:tcW w:w="1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(21,920)</w:t>
            </w:r>
          </w:p>
        </w:tc>
        <w:tc>
          <w:tcPr>
            <w:tcW w:w="1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(14,892)</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(14,438)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right="200" w:hanging="243"/>
        <w:spacing w:after="0" w:line="276" w:lineRule="auto"/>
        <w:tabs>
          <w:tab w:leader="none" w:pos="1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Net sales has been impacted by the acquisitive nature of the Company as seven, eleven and four acquisitions were completed in fiscal years ended July 31, 2007, 2006 and 2005, respectively. See Note 2 in Item 8 for further information on the acquisitions that were completed in each of the years.</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4620"/>
        <w:spacing w:after="0" w:line="397" w:lineRule="auto"/>
        <w:rPr>
          <w:sz w:val="20"/>
          <w:szCs w:val="20"/>
          <w:color w:val="auto"/>
        </w:rPr>
      </w:pPr>
      <w:r>
        <w:rPr>
          <w:rFonts w:ascii="Arial" w:cs="Arial" w:eastAsia="Arial" w:hAnsi="Arial"/>
          <w:sz w:val="13"/>
          <w:szCs w:val="13"/>
          <w:b w:val="1"/>
          <w:bCs w:val="1"/>
          <w:color w:val="auto"/>
        </w:rPr>
        <w:t xml:space="preserve">Item 7. </w:t>
      </w:r>
      <w:r>
        <w:rPr>
          <w:rFonts w:ascii="Arial" w:cs="Arial" w:eastAsia="Arial" w:hAnsi="Arial"/>
          <w:sz w:val="13"/>
          <w:szCs w:val="13"/>
          <w:b w:val="1"/>
          <w:bCs w:val="1"/>
          <w:i w:val="1"/>
          <w:iCs w:val="1"/>
          <w:color w:val="auto"/>
        </w:rPr>
        <w:t>Management’s Discussion and Analysis of Financial Condition and Results of Operations</w:t>
      </w:r>
      <w:r>
        <w:rPr>
          <w:rFonts w:ascii="Arial" w:cs="Arial" w:eastAsia="Arial" w:hAnsi="Arial"/>
          <w:sz w:val="13"/>
          <w:szCs w:val="13"/>
          <w:b w:val="1"/>
          <w:bCs w:val="1"/>
          <w:color w:val="auto"/>
        </w:rPr>
        <w:t xml:space="preserve"> Overview</w:t>
      </w:r>
    </w:p>
    <w:p>
      <w:pPr>
        <w:spacing w:after="0" w:line="1"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In fiscal 2007, the Company posted record sales of $1,362.6 million and record net income of $109.4 million, an increase of 33.8% and 5.0%, respectively, over fiscal 2006. During fiscal 2007, the Company completed seven acquisitions and further expansions into Mexico, Thailand, Malaysia, India, China and the Philippines, among other geographic areas.</w:t>
      </w:r>
    </w:p>
    <w:p>
      <w:pPr>
        <w:spacing w:after="0" w:line="35"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Of the 33.8% increase in sales, organic growth accounted for 4.2%, acquisitions added 25.5%, and foreign currency translation increased sales by 4.1%. Americas sales increased 22.2%, European sales rose 30.4%, and sales from the Asia-Pacific region increased 68.1%.</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Net income for fiscal 2007 rose 5.0% to $109.4 million or $2.00 per diluted share of Class A Common Stock, compared to $104.2 million, or $2.07 per diluted share of Class A Common Stock in fiscal 2006.</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In fiscal 2007, the Company continued to focus on leveraging its strengths and continued its drive to become the number one or two leader in the markets that it serves. Acquisitions were concentrated in businesses that management understands well in order to deepen market penetration or expand the Company’s global footprint. The Company also invested in expanding many of its global operations with new equipment, information systems and capacity, and adjusted operating capacities to achieve efficiencies and cost savings.</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Brady acquired seven companies in fiscal 2007 including businesses that span the globe from the Americas to Europe to Asia-Pacific. We have added strategically driven acquisitions in people identification, medical precision die-cut, direct marketing and safety and facility products in the United States, safety and facility products and wire identification in Europe, high performance labeling in South America, and people identification and safety and facility products in the Asia-Pacific region.</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Brady completed the transition to a new 50,000 square foot facility in Penang, Malaysia in fiscal 2007 after having outgrown its previous space. Other geographic expansions during the year included the start of new operations in Dongguan (China), Xiamen (China), Bangalore (India), Reynosa (Mexico), Queretaro (Mexico) and Cainta Rizal (Philippines), as well as the development of a state-of-the-art facility in Pathumthani (Thailand). Brady strives to employ the same high safety and environmental standards across the globe regardless of lesser government requirements in some areas.</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Brady remains a financially strong company, with a solid balance sheet and strong cash flows. In September 2007, the Company announced that it will be increasing its cash dividend payment for the 22nd straight year.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July 31, 2007, Compared to Year Ended July 31, 2006</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comparability of the operating results for the fiscal years ended July 31, 2007 to July 31, 2006, has been impacted by the following acquisitions completed in fiscal 2007, as well as the annualized impact of the acquisitions completed in fiscal 2006.</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080" w:type="dxa"/>
            <w:vAlign w:val="bottom"/>
          </w:tcPr>
          <w:p>
            <w:pPr>
              <w:spacing w:after="0"/>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cquisitions:</w:t>
            </w:r>
          </w:p>
        </w:tc>
        <w:tc>
          <w:tcPr>
            <w:tcW w:w="3320" w:type="dxa"/>
            <w:vAlign w:val="bottom"/>
          </w:tcPr>
          <w:p>
            <w:pPr>
              <w:ind w:left="2260"/>
              <w:spacing w:after="0"/>
              <w:rPr>
                <w:sz w:val="20"/>
                <w:szCs w:val="20"/>
                <w:color w:val="auto"/>
              </w:rPr>
            </w:pPr>
            <w:r>
              <w:rPr>
                <w:rFonts w:ascii="Arial" w:cs="Arial" w:eastAsia="Arial" w:hAnsi="Arial"/>
                <w:sz w:val="10"/>
                <w:szCs w:val="10"/>
                <w:b w:val="1"/>
                <w:bCs w:val="1"/>
                <w:color w:val="auto"/>
              </w:rPr>
              <w:t>Segment</w:t>
            </w:r>
          </w:p>
        </w:tc>
        <w:tc>
          <w:tcPr>
            <w:tcW w:w="1600" w:type="dxa"/>
            <w:vAlign w:val="bottom"/>
          </w:tcPr>
          <w:p>
            <w:pPr>
              <w:ind w:left="880"/>
              <w:spacing w:after="0"/>
              <w:rPr>
                <w:sz w:val="20"/>
                <w:szCs w:val="20"/>
                <w:color w:val="auto"/>
              </w:rPr>
            </w:pPr>
            <w:r>
              <w:rPr>
                <w:rFonts w:ascii="Arial" w:cs="Arial" w:eastAsia="Arial" w:hAnsi="Arial"/>
                <w:sz w:val="10"/>
                <w:szCs w:val="10"/>
                <w:b w:val="1"/>
                <w:bCs w:val="1"/>
                <w:color w:val="auto"/>
                <w:w w:val="91"/>
              </w:rPr>
              <w:t>Date Completed</w:t>
            </w:r>
          </w:p>
        </w:tc>
      </w:tr>
      <w:tr>
        <w:trPr>
          <w:trHeight w:val="197"/>
        </w:trPr>
        <w:tc>
          <w:tcPr>
            <w:tcW w:w="5080" w:type="dxa"/>
            <w:vAlign w:val="bottom"/>
          </w:tcPr>
          <w:p>
            <w:pPr>
              <w:spacing w:after="0"/>
              <w:rPr>
                <w:sz w:val="20"/>
                <w:szCs w:val="20"/>
                <w:color w:val="auto"/>
              </w:rPr>
            </w:pPr>
            <w:r>
              <w:rPr>
                <w:rFonts w:ascii="Arial" w:cs="Arial" w:eastAsia="Arial" w:hAnsi="Arial"/>
                <w:sz w:val="13"/>
                <w:szCs w:val="13"/>
                <w:color w:val="auto"/>
              </w:rPr>
              <w:t>Comprehensive Identification Products, Inc. (“CIPI”)</w:t>
            </w:r>
          </w:p>
        </w:tc>
        <w:tc>
          <w:tcPr>
            <w:tcW w:w="3320" w:type="dxa"/>
            <w:vAlign w:val="bottom"/>
          </w:tcPr>
          <w:p>
            <w:pPr>
              <w:jc w:val="center"/>
              <w:ind w:left="1156"/>
              <w:spacing w:after="0"/>
              <w:rPr>
                <w:sz w:val="20"/>
                <w:szCs w:val="20"/>
                <w:color w:val="auto"/>
              </w:rPr>
            </w:pPr>
            <w:r>
              <w:rPr>
                <w:rFonts w:ascii="Arial" w:cs="Arial" w:eastAsia="Arial" w:hAnsi="Arial"/>
                <w:sz w:val="13"/>
                <w:szCs w:val="13"/>
                <w:color w:val="auto"/>
                <w:w w:val="90"/>
              </w:rPr>
              <w:t>Americas, Europe</w:t>
            </w:r>
          </w:p>
        </w:tc>
        <w:tc>
          <w:tcPr>
            <w:tcW w:w="1600" w:type="dxa"/>
            <w:vAlign w:val="bottom"/>
          </w:tcPr>
          <w:p>
            <w:pPr>
              <w:jc w:val="center"/>
              <w:ind w:left="116"/>
              <w:spacing w:after="0"/>
              <w:rPr>
                <w:sz w:val="20"/>
                <w:szCs w:val="20"/>
                <w:color w:val="auto"/>
              </w:rPr>
            </w:pPr>
            <w:r>
              <w:rPr>
                <w:rFonts w:ascii="Arial" w:cs="Arial" w:eastAsia="Arial" w:hAnsi="Arial"/>
                <w:sz w:val="13"/>
                <w:szCs w:val="13"/>
                <w:color w:val="auto"/>
                <w:w w:val="90"/>
              </w:rPr>
              <w:t>August 2006</w:t>
            </w:r>
          </w:p>
        </w:tc>
      </w:tr>
      <w:tr>
        <w:trPr>
          <w:trHeight w:val="157"/>
        </w:trPr>
        <w:tc>
          <w:tcPr>
            <w:tcW w:w="5080" w:type="dxa"/>
            <w:vAlign w:val="bottom"/>
          </w:tcPr>
          <w:p>
            <w:pPr>
              <w:spacing w:after="0"/>
              <w:rPr>
                <w:sz w:val="13"/>
                <w:szCs w:val="13"/>
                <w:color w:val="auto"/>
              </w:rPr>
            </w:pPr>
          </w:p>
        </w:tc>
        <w:tc>
          <w:tcPr>
            <w:tcW w:w="3320" w:type="dxa"/>
            <w:vAlign w:val="bottom"/>
          </w:tcPr>
          <w:p>
            <w:pPr>
              <w:jc w:val="center"/>
              <w:ind w:left="1156"/>
              <w:spacing w:after="0"/>
              <w:rPr>
                <w:sz w:val="20"/>
                <w:szCs w:val="20"/>
                <w:color w:val="auto"/>
              </w:rPr>
            </w:pPr>
            <w:r>
              <w:rPr>
                <w:rFonts w:ascii="Arial" w:cs="Arial" w:eastAsia="Arial" w:hAnsi="Arial"/>
                <w:sz w:val="13"/>
                <w:szCs w:val="13"/>
                <w:color w:val="auto"/>
                <w:w w:val="97"/>
              </w:rPr>
              <w:t>Asia-Pacific</w:t>
            </w:r>
          </w:p>
        </w:tc>
        <w:tc>
          <w:tcPr>
            <w:tcW w:w="1600" w:type="dxa"/>
            <w:vAlign w:val="bottom"/>
          </w:tcPr>
          <w:p>
            <w:pPr>
              <w:spacing w:after="0"/>
              <w:rPr>
                <w:sz w:val="13"/>
                <w:szCs w:val="13"/>
                <w:color w:val="auto"/>
              </w:rPr>
            </w:pPr>
          </w:p>
        </w:tc>
      </w:tr>
      <w:tr>
        <w:trPr>
          <w:trHeight w:val="157"/>
        </w:trPr>
        <w:tc>
          <w:tcPr>
            <w:tcW w:w="5080" w:type="dxa"/>
            <w:vAlign w:val="bottom"/>
          </w:tcPr>
          <w:p>
            <w:pPr>
              <w:spacing w:after="0"/>
              <w:rPr>
                <w:sz w:val="20"/>
                <w:szCs w:val="20"/>
                <w:color w:val="auto"/>
              </w:rPr>
            </w:pPr>
            <w:r>
              <w:rPr>
                <w:rFonts w:ascii="Arial" w:cs="Arial" w:eastAsia="Arial" w:hAnsi="Arial"/>
                <w:sz w:val="13"/>
                <w:szCs w:val="13"/>
                <w:color w:val="auto"/>
              </w:rPr>
              <w:t>Precision Converters, L.P. (“Precision Converters”)</w:t>
            </w:r>
          </w:p>
        </w:tc>
        <w:tc>
          <w:tcPr>
            <w:tcW w:w="3320" w:type="dxa"/>
            <w:vAlign w:val="bottom"/>
          </w:tcPr>
          <w:p>
            <w:pPr>
              <w:jc w:val="center"/>
              <w:ind w:left="1156"/>
              <w:spacing w:after="0"/>
              <w:rPr>
                <w:sz w:val="20"/>
                <w:szCs w:val="20"/>
                <w:color w:val="auto"/>
              </w:rPr>
            </w:pPr>
            <w:r>
              <w:rPr>
                <w:rFonts w:ascii="Arial" w:cs="Arial" w:eastAsia="Arial" w:hAnsi="Arial"/>
                <w:sz w:val="13"/>
                <w:szCs w:val="13"/>
                <w:color w:val="auto"/>
                <w:w w:val="92"/>
              </w:rPr>
              <w:t>Americas</w:t>
            </w:r>
          </w:p>
        </w:tc>
        <w:tc>
          <w:tcPr>
            <w:tcW w:w="1600" w:type="dxa"/>
            <w:vAlign w:val="bottom"/>
          </w:tcPr>
          <w:p>
            <w:pPr>
              <w:jc w:val="center"/>
              <w:ind w:left="96"/>
              <w:spacing w:after="0"/>
              <w:rPr>
                <w:sz w:val="20"/>
                <w:szCs w:val="20"/>
                <w:color w:val="auto"/>
              </w:rPr>
            </w:pPr>
            <w:r>
              <w:rPr>
                <w:rFonts w:ascii="Arial" w:cs="Arial" w:eastAsia="Arial" w:hAnsi="Arial"/>
                <w:sz w:val="13"/>
                <w:szCs w:val="13"/>
                <w:color w:val="auto"/>
                <w:w w:val="91"/>
              </w:rPr>
              <w:t>October 2006</w:t>
            </w:r>
          </w:p>
        </w:tc>
      </w:tr>
      <w:tr>
        <w:trPr>
          <w:trHeight w:val="157"/>
        </w:trPr>
        <w:tc>
          <w:tcPr>
            <w:tcW w:w="5080" w:type="dxa"/>
            <w:vAlign w:val="bottom"/>
          </w:tcPr>
          <w:p>
            <w:pPr>
              <w:spacing w:after="0"/>
              <w:rPr>
                <w:sz w:val="20"/>
                <w:szCs w:val="20"/>
                <w:color w:val="auto"/>
              </w:rPr>
            </w:pPr>
            <w:r>
              <w:rPr>
                <w:rFonts w:ascii="Arial" w:cs="Arial" w:eastAsia="Arial" w:hAnsi="Arial"/>
                <w:sz w:val="13"/>
                <w:szCs w:val="13"/>
                <w:color w:val="auto"/>
              </w:rPr>
              <w:t>Scafftag, Ltd., Safetrak, Ltd. and Scafftag Pty., Ltd. (collectively</w:t>
            </w:r>
          </w:p>
        </w:tc>
        <w:tc>
          <w:tcPr>
            <w:tcW w:w="3320" w:type="dxa"/>
            <w:vAlign w:val="bottom"/>
          </w:tcPr>
          <w:p>
            <w:pPr>
              <w:jc w:val="center"/>
              <w:ind w:left="1156"/>
              <w:spacing w:after="0"/>
              <w:rPr>
                <w:sz w:val="20"/>
                <w:szCs w:val="20"/>
                <w:color w:val="auto"/>
              </w:rPr>
            </w:pPr>
            <w:r>
              <w:rPr>
                <w:rFonts w:ascii="Arial" w:cs="Arial" w:eastAsia="Arial" w:hAnsi="Arial"/>
                <w:sz w:val="13"/>
                <w:szCs w:val="13"/>
                <w:color w:val="auto"/>
                <w:w w:val="91"/>
              </w:rPr>
              <w:t>Americas, Europe and</w:t>
            </w:r>
          </w:p>
        </w:tc>
        <w:tc>
          <w:tcPr>
            <w:tcW w:w="1600" w:type="dxa"/>
            <w:vAlign w:val="bottom"/>
          </w:tcPr>
          <w:p>
            <w:pPr>
              <w:jc w:val="center"/>
              <w:ind w:left="116"/>
              <w:spacing w:after="0"/>
              <w:rPr>
                <w:sz w:val="20"/>
                <w:szCs w:val="20"/>
                <w:color w:val="auto"/>
              </w:rPr>
            </w:pPr>
            <w:r>
              <w:rPr>
                <w:rFonts w:ascii="Arial" w:cs="Arial" w:eastAsia="Arial" w:hAnsi="Arial"/>
                <w:sz w:val="13"/>
                <w:szCs w:val="13"/>
                <w:color w:val="auto"/>
                <w:w w:val="88"/>
              </w:rPr>
              <w:t>December 2006</w:t>
            </w:r>
          </w:p>
        </w:tc>
      </w:tr>
      <w:tr>
        <w:trPr>
          <w:trHeight w:val="157"/>
        </w:trPr>
        <w:tc>
          <w:tcPr>
            <w:tcW w:w="5080" w:type="dxa"/>
            <w:vAlign w:val="bottom"/>
          </w:tcPr>
          <w:p>
            <w:pPr>
              <w:ind w:left="140"/>
              <w:spacing w:after="0"/>
              <w:rPr>
                <w:sz w:val="20"/>
                <w:szCs w:val="20"/>
                <w:color w:val="auto"/>
              </w:rPr>
            </w:pPr>
            <w:r>
              <w:rPr>
                <w:rFonts w:ascii="Arial" w:cs="Arial" w:eastAsia="Arial" w:hAnsi="Arial"/>
                <w:sz w:val="13"/>
                <w:szCs w:val="13"/>
                <w:color w:val="auto"/>
              </w:rPr>
              <w:t>“Scafftag”)</w:t>
            </w:r>
          </w:p>
        </w:tc>
        <w:tc>
          <w:tcPr>
            <w:tcW w:w="3320" w:type="dxa"/>
            <w:vAlign w:val="bottom"/>
          </w:tcPr>
          <w:p>
            <w:pPr>
              <w:jc w:val="center"/>
              <w:ind w:left="1156"/>
              <w:spacing w:after="0"/>
              <w:rPr>
                <w:sz w:val="20"/>
                <w:szCs w:val="20"/>
                <w:color w:val="auto"/>
              </w:rPr>
            </w:pPr>
            <w:r>
              <w:rPr>
                <w:rFonts w:ascii="Arial" w:cs="Arial" w:eastAsia="Arial" w:hAnsi="Arial"/>
                <w:sz w:val="13"/>
                <w:szCs w:val="13"/>
                <w:color w:val="auto"/>
                <w:w w:val="97"/>
              </w:rPr>
              <w:t>Asia-Pacific</w:t>
            </w:r>
          </w:p>
        </w:tc>
        <w:tc>
          <w:tcPr>
            <w:tcW w:w="1600" w:type="dxa"/>
            <w:vAlign w:val="bottom"/>
          </w:tcPr>
          <w:p>
            <w:pPr>
              <w:spacing w:after="0"/>
              <w:rPr>
                <w:sz w:val="13"/>
                <w:szCs w:val="13"/>
                <w:color w:val="auto"/>
              </w:rPr>
            </w:pPr>
          </w:p>
        </w:tc>
      </w:tr>
      <w:tr>
        <w:trPr>
          <w:trHeight w:val="157"/>
        </w:trPr>
        <w:tc>
          <w:tcPr>
            <w:tcW w:w="5080" w:type="dxa"/>
            <w:vAlign w:val="bottom"/>
          </w:tcPr>
          <w:p>
            <w:pPr>
              <w:spacing w:after="0"/>
              <w:rPr>
                <w:sz w:val="20"/>
                <w:szCs w:val="20"/>
                <w:color w:val="auto"/>
              </w:rPr>
            </w:pPr>
            <w:r>
              <w:rPr>
                <w:rFonts w:ascii="Arial" w:cs="Arial" w:eastAsia="Arial" w:hAnsi="Arial"/>
                <w:sz w:val="13"/>
                <w:szCs w:val="13"/>
                <w:color w:val="auto"/>
              </w:rPr>
              <w:t>Asterisco Artes Graficas Ltda. (“Asterisco”)</w:t>
            </w:r>
          </w:p>
        </w:tc>
        <w:tc>
          <w:tcPr>
            <w:tcW w:w="3320" w:type="dxa"/>
            <w:vAlign w:val="bottom"/>
          </w:tcPr>
          <w:p>
            <w:pPr>
              <w:jc w:val="center"/>
              <w:ind w:left="1156"/>
              <w:spacing w:after="0"/>
              <w:rPr>
                <w:sz w:val="20"/>
                <w:szCs w:val="20"/>
                <w:color w:val="auto"/>
              </w:rPr>
            </w:pPr>
            <w:r>
              <w:rPr>
                <w:rFonts w:ascii="Arial" w:cs="Arial" w:eastAsia="Arial" w:hAnsi="Arial"/>
                <w:sz w:val="13"/>
                <w:szCs w:val="13"/>
                <w:color w:val="auto"/>
                <w:w w:val="92"/>
              </w:rPr>
              <w:t>Americas</w:t>
            </w:r>
          </w:p>
        </w:tc>
        <w:tc>
          <w:tcPr>
            <w:tcW w:w="1600" w:type="dxa"/>
            <w:vAlign w:val="bottom"/>
          </w:tcPr>
          <w:p>
            <w:pPr>
              <w:jc w:val="center"/>
              <w:ind w:left="116"/>
              <w:spacing w:after="0"/>
              <w:rPr>
                <w:sz w:val="20"/>
                <w:szCs w:val="20"/>
                <w:color w:val="auto"/>
              </w:rPr>
            </w:pPr>
            <w:r>
              <w:rPr>
                <w:rFonts w:ascii="Arial" w:cs="Arial" w:eastAsia="Arial" w:hAnsi="Arial"/>
                <w:sz w:val="13"/>
                <w:szCs w:val="13"/>
                <w:color w:val="auto"/>
                <w:w w:val="88"/>
              </w:rPr>
              <w:t>December 2006</w:t>
            </w:r>
          </w:p>
        </w:tc>
      </w:tr>
      <w:tr>
        <w:trPr>
          <w:trHeight w:val="157"/>
        </w:trPr>
        <w:tc>
          <w:tcPr>
            <w:tcW w:w="5080" w:type="dxa"/>
            <w:vAlign w:val="bottom"/>
          </w:tcPr>
          <w:p>
            <w:pPr>
              <w:spacing w:after="0"/>
              <w:rPr>
                <w:sz w:val="20"/>
                <w:szCs w:val="20"/>
                <w:color w:val="auto"/>
              </w:rPr>
            </w:pPr>
            <w:r>
              <w:rPr>
                <w:rFonts w:ascii="Arial" w:cs="Arial" w:eastAsia="Arial" w:hAnsi="Arial"/>
                <w:sz w:val="13"/>
                <w:szCs w:val="13"/>
                <w:color w:val="auto"/>
              </w:rPr>
              <w:t>Modernotecnica SpA (“Moderno”)</w:t>
            </w:r>
          </w:p>
        </w:tc>
        <w:tc>
          <w:tcPr>
            <w:tcW w:w="3320" w:type="dxa"/>
            <w:vAlign w:val="bottom"/>
          </w:tcPr>
          <w:p>
            <w:pPr>
              <w:jc w:val="center"/>
              <w:ind w:left="1156"/>
              <w:spacing w:after="0"/>
              <w:rPr>
                <w:sz w:val="20"/>
                <w:szCs w:val="20"/>
                <w:color w:val="auto"/>
              </w:rPr>
            </w:pPr>
            <w:r>
              <w:rPr>
                <w:rFonts w:ascii="Arial" w:cs="Arial" w:eastAsia="Arial" w:hAnsi="Arial"/>
                <w:sz w:val="13"/>
                <w:szCs w:val="13"/>
                <w:color w:val="auto"/>
                <w:w w:val="90"/>
              </w:rPr>
              <w:t>Europe</w:t>
            </w:r>
          </w:p>
        </w:tc>
        <w:tc>
          <w:tcPr>
            <w:tcW w:w="1600" w:type="dxa"/>
            <w:vAlign w:val="bottom"/>
          </w:tcPr>
          <w:p>
            <w:pPr>
              <w:jc w:val="center"/>
              <w:ind w:left="116"/>
              <w:spacing w:after="0"/>
              <w:rPr>
                <w:sz w:val="20"/>
                <w:szCs w:val="20"/>
                <w:color w:val="auto"/>
              </w:rPr>
            </w:pPr>
            <w:r>
              <w:rPr>
                <w:rFonts w:ascii="Arial" w:cs="Arial" w:eastAsia="Arial" w:hAnsi="Arial"/>
                <w:sz w:val="13"/>
                <w:szCs w:val="13"/>
                <w:color w:val="auto"/>
                <w:w w:val="88"/>
              </w:rPr>
              <w:t>December 2006</w:t>
            </w:r>
          </w:p>
        </w:tc>
      </w:tr>
      <w:tr>
        <w:trPr>
          <w:trHeight w:val="157"/>
        </w:trPr>
        <w:tc>
          <w:tcPr>
            <w:tcW w:w="5080" w:type="dxa"/>
            <w:vAlign w:val="bottom"/>
          </w:tcPr>
          <w:p>
            <w:pPr>
              <w:spacing w:after="0"/>
              <w:rPr>
                <w:sz w:val="20"/>
                <w:szCs w:val="20"/>
                <w:color w:val="auto"/>
              </w:rPr>
            </w:pPr>
            <w:r>
              <w:rPr>
                <w:rFonts w:ascii="Arial" w:cs="Arial" w:eastAsia="Arial" w:hAnsi="Arial"/>
                <w:sz w:val="13"/>
                <w:szCs w:val="13"/>
                <w:color w:val="auto"/>
              </w:rPr>
              <w:t>Clement Communications, Inc. (“Clement”)</w:t>
            </w:r>
          </w:p>
        </w:tc>
        <w:tc>
          <w:tcPr>
            <w:tcW w:w="3320" w:type="dxa"/>
            <w:vAlign w:val="bottom"/>
          </w:tcPr>
          <w:p>
            <w:pPr>
              <w:jc w:val="center"/>
              <w:ind w:left="1156"/>
              <w:spacing w:after="0"/>
              <w:rPr>
                <w:sz w:val="20"/>
                <w:szCs w:val="20"/>
                <w:color w:val="auto"/>
              </w:rPr>
            </w:pPr>
            <w:r>
              <w:rPr>
                <w:rFonts w:ascii="Arial" w:cs="Arial" w:eastAsia="Arial" w:hAnsi="Arial"/>
                <w:sz w:val="13"/>
                <w:szCs w:val="13"/>
                <w:color w:val="auto"/>
                <w:w w:val="92"/>
              </w:rPr>
              <w:t>Americas</w:t>
            </w:r>
          </w:p>
        </w:tc>
        <w:tc>
          <w:tcPr>
            <w:tcW w:w="1600" w:type="dxa"/>
            <w:vAlign w:val="bottom"/>
          </w:tcPr>
          <w:p>
            <w:pPr>
              <w:jc w:val="center"/>
              <w:ind w:left="116"/>
              <w:spacing w:after="0"/>
              <w:rPr>
                <w:sz w:val="20"/>
                <w:szCs w:val="20"/>
                <w:color w:val="auto"/>
              </w:rPr>
            </w:pPr>
            <w:r>
              <w:rPr>
                <w:rFonts w:ascii="Arial" w:cs="Arial" w:eastAsia="Arial" w:hAnsi="Arial"/>
                <w:sz w:val="13"/>
                <w:szCs w:val="13"/>
                <w:color w:val="auto"/>
                <w:w w:val="92"/>
              </w:rPr>
              <w:t>February 2007</w:t>
            </w:r>
          </w:p>
        </w:tc>
      </w:tr>
      <w:tr>
        <w:trPr>
          <w:trHeight w:val="157"/>
        </w:trPr>
        <w:tc>
          <w:tcPr>
            <w:tcW w:w="5080" w:type="dxa"/>
            <w:vAlign w:val="bottom"/>
          </w:tcPr>
          <w:p>
            <w:pPr>
              <w:spacing w:after="0"/>
              <w:rPr>
                <w:sz w:val="20"/>
                <w:szCs w:val="20"/>
                <w:color w:val="auto"/>
              </w:rPr>
            </w:pPr>
            <w:r>
              <w:rPr>
                <w:rFonts w:ascii="Arial" w:cs="Arial" w:eastAsia="Arial" w:hAnsi="Arial"/>
                <w:sz w:val="13"/>
                <w:szCs w:val="13"/>
                <w:color w:val="auto"/>
              </w:rPr>
              <w:t>Sorbent Products Co., Inc. (“SPC”)</w:t>
            </w:r>
          </w:p>
        </w:tc>
        <w:tc>
          <w:tcPr>
            <w:tcW w:w="3320" w:type="dxa"/>
            <w:vAlign w:val="bottom"/>
          </w:tcPr>
          <w:p>
            <w:pPr>
              <w:jc w:val="center"/>
              <w:ind w:left="1156"/>
              <w:spacing w:after="0"/>
              <w:rPr>
                <w:sz w:val="20"/>
                <w:szCs w:val="20"/>
                <w:color w:val="auto"/>
              </w:rPr>
            </w:pPr>
            <w:r>
              <w:rPr>
                <w:rFonts w:ascii="Arial" w:cs="Arial" w:eastAsia="Arial" w:hAnsi="Arial"/>
                <w:sz w:val="13"/>
                <w:szCs w:val="13"/>
                <w:color w:val="auto"/>
                <w:w w:val="91"/>
              </w:rPr>
              <w:t>Americas, Europe and</w:t>
            </w:r>
          </w:p>
        </w:tc>
        <w:tc>
          <w:tcPr>
            <w:tcW w:w="1600" w:type="dxa"/>
            <w:vAlign w:val="bottom"/>
          </w:tcPr>
          <w:p>
            <w:pPr>
              <w:jc w:val="center"/>
              <w:ind w:left="116"/>
              <w:spacing w:after="0"/>
              <w:rPr>
                <w:sz w:val="20"/>
                <w:szCs w:val="20"/>
                <w:color w:val="auto"/>
              </w:rPr>
            </w:pPr>
            <w:r>
              <w:rPr>
                <w:rFonts w:ascii="Arial" w:cs="Arial" w:eastAsia="Arial" w:hAnsi="Arial"/>
                <w:sz w:val="13"/>
                <w:szCs w:val="13"/>
                <w:color w:val="auto"/>
                <w:w w:val="99"/>
              </w:rPr>
              <w:t>April 2007</w:t>
            </w:r>
          </w:p>
        </w:tc>
      </w:tr>
      <w:tr>
        <w:trPr>
          <w:trHeight w:val="165"/>
        </w:trPr>
        <w:tc>
          <w:tcPr>
            <w:tcW w:w="5080" w:type="dxa"/>
            <w:vAlign w:val="bottom"/>
          </w:tcPr>
          <w:p>
            <w:pPr>
              <w:spacing w:after="0"/>
              <w:rPr>
                <w:sz w:val="14"/>
                <w:szCs w:val="14"/>
                <w:color w:val="auto"/>
              </w:rPr>
            </w:pPr>
          </w:p>
        </w:tc>
        <w:tc>
          <w:tcPr>
            <w:tcW w:w="3320" w:type="dxa"/>
            <w:vAlign w:val="bottom"/>
          </w:tcPr>
          <w:p>
            <w:pPr>
              <w:jc w:val="center"/>
              <w:ind w:left="1156"/>
              <w:spacing w:after="0"/>
              <w:rPr>
                <w:sz w:val="20"/>
                <w:szCs w:val="20"/>
                <w:color w:val="auto"/>
              </w:rPr>
            </w:pPr>
            <w:r>
              <w:rPr>
                <w:rFonts w:ascii="Arial" w:cs="Arial" w:eastAsia="Arial" w:hAnsi="Arial"/>
                <w:sz w:val="13"/>
                <w:szCs w:val="13"/>
                <w:color w:val="auto"/>
                <w:w w:val="97"/>
              </w:rPr>
              <w:t>Asia-Pacific</w:t>
            </w:r>
          </w:p>
        </w:tc>
        <w:tc>
          <w:tcPr>
            <w:tcW w:w="16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5092065</wp:posOffset>
            </wp:positionH>
            <wp:positionV relativeFrom="paragraph">
              <wp:posOffset>-1028700</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6322060</wp:posOffset>
            </wp:positionH>
            <wp:positionV relativeFrom="paragraph">
              <wp:posOffset>-1028700</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Sales for fiscal 2007 increased by $344.2 million, or 33.8% from fiscal 2006. Organic sales, defined as sales in the Company’s existing core businesses and regions (exclusive of acquisitions and foreign currency effects), increased $42.3 million or 4.2% for the same period. The acquisitions listed above and the annualized impact of the fiscal 2006 acquisitions increased sales by $260.2 million or 25.5% in fiscal 2007 compared to fiscal 2006. Fluctuations in the exchange rates used to translate financial results into the United States Dollar resulted in a sales increase of $41.7 million or 4.1% for the year.</w:t>
      </w:r>
    </w:p>
    <w:p>
      <w:pPr>
        <w:spacing w:after="0" w:line="70" w:lineRule="exact"/>
        <w:rPr>
          <w:sz w:val="20"/>
          <w:szCs w:val="20"/>
          <w:color w:val="auto"/>
        </w:rPr>
      </w:pPr>
    </w:p>
    <w:p>
      <w:pPr>
        <w:ind w:left="680" w:right="320" w:firstLine="399"/>
        <w:spacing w:after="0" w:line="296" w:lineRule="auto"/>
        <w:rPr>
          <w:sz w:val="20"/>
          <w:szCs w:val="20"/>
          <w:color w:val="auto"/>
        </w:rPr>
      </w:pPr>
      <w:r>
        <w:rPr>
          <w:rFonts w:ascii="Arial" w:cs="Arial" w:eastAsia="Arial" w:hAnsi="Arial"/>
          <w:sz w:val="12"/>
          <w:szCs w:val="12"/>
          <w:color w:val="auto"/>
        </w:rPr>
        <w:t>The gross margin as a percentage of sales decreased from 51.6% in fiscal 2006 to 48.2% in fiscal 2007. This decline was driven by the results in our OEM electronics business, primarily in the mobile handset business in Asia-Pacific. The decline was also driven by the acquisitions that Brady completed in the last 12 months, which were more heavily weighted towards OEM electronics, which is generally characterized by lower gross margins and lower selling, general and administrative (“SG&amp;A”) expenses.</w:t>
      </w:r>
    </w:p>
    <w:p>
      <w:pPr>
        <w:spacing w:after="0" w:line="5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Research and development expenses grew to $36.0 million in fiscal 2007 from $30.4 million in fiscal 2006, but decreased as a percentage of sales from 3.0% in fiscal 2006 to 2.6% in fiscal 2007. Brady continues to expand its investment in new product development.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SG&amp;A expenses of $449.1 million in fiscal 2007, as compared to $338.8 million in fiscal 2006, decreased as a percentage of sales from 33.3% in fiscal 2006 to 33.0% in fiscal 2007.</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decrease was due to changes in the Company’s sales mix towards the OEM electronics business, which typically has lower SG&amp;A expense.</w:t>
      </w:r>
    </w:p>
    <w:p>
      <w:pPr>
        <w:spacing w:after="0" w:line="8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recorded expenses of $11.4 million in fiscal year 2007 for cost reduction actions, which are primarily recorded in SG&amp;A expenses in the consolidated statements of income. These actions consisted of $9.2 million for severance and other employee termination costs, $1.8 million for asset write-offs and $0.4 million for facility closure costs. Pre-tax savings from these actions, and the exit activity charges for planned integration activities of acquisitions completed in the last 12 months that increased goodwill by $8.8 million, are expected to be approximately $14 million in fiscal 2008.</w:t>
      </w:r>
    </w:p>
    <w:p>
      <w:pPr>
        <w:spacing w:after="0" w:line="70"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Investment and other income increased $0.5 million in fiscal 2007 from the prior year. The income recorded in fiscal 2007 was primarily due to interest income earned on cash and marketable securities investments, while the income recorded in fiscal 2006 was primarily due to a gain of approximately $1.5 million on a currency option that the Company purchased to hedge against increases in the purchase price in U.S. dollar terms of Tradex Converting AB as the transaction was denominated in Swedish Krona.</w:t>
      </w:r>
    </w:p>
    <w:p>
      <w:pPr>
        <w:spacing w:after="0" w:line="50" w:lineRule="exact"/>
        <w:rPr>
          <w:sz w:val="20"/>
          <w:szCs w:val="20"/>
          <w:color w:val="auto"/>
        </w:rPr>
      </w:pPr>
    </w:p>
    <w:p>
      <w:pPr>
        <w:jc w:val="both"/>
        <w:ind w:left="680" w:right="180" w:firstLine="399"/>
        <w:spacing w:after="0" w:line="276" w:lineRule="auto"/>
        <w:rPr>
          <w:sz w:val="20"/>
          <w:szCs w:val="20"/>
          <w:color w:val="auto"/>
        </w:rPr>
      </w:pPr>
      <w:r>
        <w:rPr>
          <w:rFonts w:ascii="Arial" w:cs="Arial" w:eastAsia="Arial" w:hAnsi="Arial"/>
          <w:sz w:val="13"/>
          <w:szCs w:val="13"/>
          <w:color w:val="auto"/>
        </w:rPr>
        <w:t>Interest expense increased $8.7 million in fiscal 2007 due to interest on the $150 million private placement of senior notes that the Company completed in the third quarter of fiscal 2007 and the $200 million private placement</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80"/>
          </w:cols>
          <w:pgMar w:left="220" w:top="343" w:right="99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senior notes that the Company completed in second quarter of fiscal 2006, as well as interest on the borrowings under our revolving credit facility in fiscal 2007.</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effective tax rate was 28.0% in both fiscal 2007 and 2006.</w:t>
      </w:r>
    </w:p>
    <w:p>
      <w:pPr>
        <w:spacing w:after="0" w:line="96"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Net income for the fiscal year ended July 31, 2007, increased 5.0% to $109.4 million, compared to $104.2 million for fiscal year ended July 31, 2006, as a result of the factors noted above. Diluted net income per share comparisons between fiscal 2007 of $2.00 per share and 2006 of $2.07 per share were also affected by the greater number of shares outstanding in fiscal 2007 as a result of the Company’s July 2006 sale of an additional 4.6 million shares of Class A Nonvoting Common Stock in a public offering.</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July 31, 2006, Compared to Year Ended July 31, 2005</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comparability of the operating results for the fiscal years ended July 31, 2006 to July 31, 2005 was impacted by the following acquisitions completed in fiscal 2006, as well as the annualized impact of the acquisitions completed in fiscal 2005.</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620" w:type="dxa"/>
            <w:vAlign w:val="bottom"/>
            <w:gridSpan w:val="2"/>
          </w:tcPr>
          <w:p>
            <w:pPr>
              <w:spacing w:after="0"/>
              <w:rPr>
                <w:sz w:val="20"/>
                <w:szCs w:val="20"/>
                <w:color w:val="auto"/>
              </w:rPr>
            </w:pPr>
            <w:r>
              <w:rPr>
                <w:rFonts w:ascii="Arial" w:cs="Arial" w:eastAsia="Arial" w:hAnsi="Arial"/>
                <w:sz w:val="10"/>
                <w:szCs w:val="10"/>
                <w:b w:val="1"/>
                <w:bCs w:val="1"/>
                <w:color w:val="auto"/>
              </w:rPr>
              <w:t>Acquisitions:</w:t>
            </w:r>
          </w:p>
        </w:tc>
        <w:tc>
          <w:tcPr>
            <w:tcW w:w="3620" w:type="dxa"/>
            <w:vAlign w:val="bottom"/>
          </w:tcPr>
          <w:p>
            <w:pPr>
              <w:ind w:left="2880"/>
              <w:spacing w:after="0"/>
              <w:rPr>
                <w:sz w:val="20"/>
                <w:szCs w:val="20"/>
                <w:color w:val="auto"/>
              </w:rPr>
            </w:pPr>
            <w:r>
              <w:rPr>
                <w:rFonts w:ascii="Arial" w:cs="Arial" w:eastAsia="Arial" w:hAnsi="Arial"/>
                <w:sz w:val="10"/>
                <w:szCs w:val="10"/>
                <w:b w:val="1"/>
                <w:bCs w:val="1"/>
                <w:color w:val="auto"/>
              </w:rPr>
              <w:t>Segment</w:t>
            </w:r>
          </w:p>
        </w:tc>
        <w:tc>
          <w:tcPr>
            <w:tcW w:w="1760" w:type="dxa"/>
            <w:vAlign w:val="bottom"/>
          </w:tcPr>
          <w:p>
            <w:pPr>
              <w:ind w:left="1040"/>
              <w:spacing w:after="0"/>
              <w:rPr>
                <w:sz w:val="20"/>
                <w:szCs w:val="20"/>
                <w:color w:val="auto"/>
              </w:rPr>
            </w:pPr>
            <w:r>
              <w:rPr>
                <w:rFonts w:ascii="Arial" w:cs="Arial" w:eastAsia="Arial" w:hAnsi="Arial"/>
                <w:sz w:val="10"/>
                <w:szCs w:val="10"/>
                <w:b w:val="1"/>
                <w:bCs w:val="1"/>
                <w:color w:val="auto"/>
                <w:w w:val="91"/>
              </w:rPr>
              <w:t>Date Completed</w:t>
            </w:r>
          </w:p>
        </w:tc>
      </w:tr>
      <w:tr>
        <w:trPr>
          <w:trHeight w:val="20"/>
        </w:trPr>
        <w:tc>
          <w:tcPr>
            <w:tcW w:w="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78"/>
        </w:trPr>
        <w:tc>
          <w:tcPr>
            <w:tcW w:w="4620" w:type="dxa"/>
            <w:vAlign w:val="bottom"/>
            <w:gridSpan w:val="2"/>
          </w:tcPr>
          <w:p>
            <w:pPr>
              <w:spacing w:after="0"/>
              <w:rPr>
                <w:sz w:val="20"/>
                <w:szCs w:val="20"/>
                <w:color w:val="auto"/>
              </w:rPr>
            </w:pPr>
            <w:r>
              <w:rPr>
                <w:rFonts w:ascii="Arial" w:cs="Arial" w:eastAsia="Arial" w:hAnsi="Arial"/>
                <w:sz w:val="13"/>
                <w:szCs w:val="13"/>
                <w:color w:val="auto"/>
              </w:rPr>
              <w:t>STOPware, Inc. (“Stopware”)</w:t>
            </w:r>
          </w:p>
        </w:tc>
        <w:tc>
          <w:tcPr>
            <w:tcW w:w="3620" w:type="dxa"/>
            <w:vAlign w:val="bottom"/>
          </w:tcPr>
          <w:p>
            <w:pPr>
              <w:ind w:left="2080"/>
              <w:spacing w:after="0"/>
              <w:rPr>
                <w:sz w:val="20"/>
                <w:szCs w:val="20"/>
                <w:color w:val="auto"/>
              </w:rPr>
            </w:pPr>
            <w:r>
              <w:rPr>
                <w:rFonts w:ascii="Arial" w:cs="Arial" w:eastAsia="Arial" w:hAnsi="Arial"/>
                <w:sz w:val="13"/>
                <w:szCs w:val="13"/>
                <w:color w:val="auto"/>
              </w:rPr>
              <w:t>Americas</w:t>
            </w:r>
          </w:p>
        </w:tc>
        <w:tc>
          <w:tcPr>
            <w:tcW w:w="1760" w:type="dxa"/>
            <w:vAlign w:val="bottom"/>
          </w:tcPr>
          <w:p>
            <w:pPr>
              <w:ind w:left="340"/>
              <w:spacing w:after="0"/>
              <w:rPr>
                <w:sz w:val="20"/>
                <w:szCs w:val="20"/>
                <w:color w:val="auto"/>
              </w:rPr>
            </w:pPr>
            <w:r>
              <w:rPr>
                <w:rFonts w:ascii="Arial" w:cs="Arial" w:eastAsia="Arial" w:hAnsi="Arial"/>
                <w:sz w:val="13"/>
                <w:szCs w:val="13"/>
                <w:color w:val="auto"/>
              </w:rPr>
              <w:t>August 2005</w:t>
            </w: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Texit Danmark AS and Texit Norge AS</w:t>
            </w:r>
          </w:p>
        </w:tc>
        <w:tc>
          <w:tcPr>
            <w:tcW w:w="3620" w:type="dxa"/>
            <w:vAlign w:val="bottom"/>
          </w:tcPr>
          <w:p>
            <w:pPr>
              <w:ind w:left="2080"/>
              <w:spacing w:after="0"/>
              <w:rPr>
                <w:sz w:val="20"/>
                <w:szCs w:val="20"/>
                <w:color w:val="auto"/>
              </w:rPr>
            </w:pPr>
            <w:r>
              <w:rPr>
                <w:rFonts w:ascii="Arial" w:cs="Arial" w:eastAsia="Arial" w:hAnsi="Arial"/>
                <w:sz w:val="13"/>
                <w:szCs w:val="13"/>
                <w:color w:val="auto"/>
              </w:rPr>
              <w:t>Europe</w:t>
            </w:r>
          </w:p>
        </w:tc>
        <w:tc>
          <w:tcPr>
            <w:tcW w:w="1760" w:type="dxa"/>
            <w:vAlign w:val="bottom"/>
          </w:tcPr>
          <w:p>
            <w:pPr>
              <w:ind w:left="340"/>
              <w:spacing w:after="0"/>
              <w:rPr>
                <w:sz w:val="20"/>
                <w:szCs w:val="20"/>
                <w:color w:val="auto"/>
              </w:rPr>
            </w:pPr>
            <w:r>
              <w:rPr>
                <w:rFonts w:ascii="Arial" w:cs="Arial" w:eastAsia="Arial" w:hAnsi="Arial"/>
                <w:sz w:val="13"/>
                <w:szCs w:val="13"/>
                <w:color w:val="auto"/>
              </w:rPr>
              <w:t>September 2005</w:t>
            </w:r>
          </w:p>
        </w:tc>
      </w:tr>
      <w:tr>
        <w:trPr>
          <w:trHeight w:val="157"/>
        </w:trPr>
        <w:tc>
          <w:tcPr>
            <w:tcW w:w="80" w:type="dxa"/>
            <w:vAlign w:val="bottom"/>
          </w:tcPr>
          <w:p>
            <w:pPr>
              <w:spacing w:after="0"/>
              <w:rPr>
                <w:sz w:val="13"/>
                <w:szCs w:val="13"/>
                <w:color w:val="auto"/>
              </w:rPr>
            </w:pPr>
          </w:p>
        </w:tc>
        <w:tc>
          <w:tcPr>
            <w:tcW w:w="4540" w:type="dxa"/>
            <w:vAlign w:val="bottom"/>
          </w:tcPr>
          <w:p>
            <w:pPr>
              <w:ind w:left="60"/>
              <w:spacing w:after="0"/>
              <w:rPr>
                <w:sz w:val="20"/>
                <w:szCs w:val="20"/>
                <w:color w:val="auto"/>
              </w:rPr>
            </w:pPr>
            <w:r>
              <w:rPr>
                <w:rFonts w:ascii="Arial" w:cs="Arial" w:eastAsia="Arial" w:hAnsi="Arial"/>
                <w:sz w:val="13"/>
                <w:szCs w:val="13"/>
                <w:color w:val="auto"/>
              </w:rPr>
              <w:t>(collectively “Texit”)</w:t>
            </w:r>
          </w:p>
        </w:tc>
        <w:tc>
          <w:tcPr>
            <w:tcW w:w="3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TruMed Technologies, Inc. (“TruMed”)</w:t>
            </w:r>
          </w:p>
        </w:tc>
        <w:tc>
          <w:tcPr>
            <w:tcW w:w="3620" w:type="dxa"/>
            <w:vAlign w:val="bottom"/>
          </w:tcPr>
          <w:p>
            <w:pPr>
              <w:ind w:left="2080"/>
              <w:spacing w:after="0"/>
              <w:rPr>
                <w:sz w:val="20"/>
                <w:szCs w:val="20"/>
                <w:color w:val="auto"/>
              </w:rPr>
            </w:pPr>
            <w:r>
              <w:rPr>
                <w:rFonts w:ascii="Arial" w:cs="Arial" w:eastAsia="Arial" w:hAnsi="Arial"/>
                <w:sz w:val="13"/>
                <w:szCs w:val="13"/>
                <w:color w:val="auto"/>
              </w:rPr>
              <w:t>Americas</w:t>
            </w:r>
          </w:p>
        </w:tc>
        <w:tc>
          <w:tcPr>
            <w:tcW w:w="1760" w:type="dxa"/>
            <w:vAlign w:val="bottom"/>
          </w:tcPr>
          <w:p>
            <w:pPr>
              <w:ind w:left="340"/>
              <w:spacing w:after="0"/>
              <w:rPr>
                <w:sz w:val="20"/>
                <w:szCs w:val="20"/>
                <w:color w:val="auto"/>
              </w:rPr>
            </w:pPr>
            <w:r>
              <w:rPr>
                <w:rFonts w:ascii="Arial" w:cs="Arial" w:eastAsia="Arial" w:hAnsi="Arial"/>
                <w:sz w:val="13"/>
                <w:szCs w:val="13"/>
                <w:color w:val="auto"/>
              </w:rPr>
              <w:t>October 2005</w:t>
            </w: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QDP Thailand Co., Ltd (“QDPT”)</w:t>
            </w:r>
          </w:p>
        </w:tc>
        <w:tc>
          <w:tcPr>
            <w:tcW w:w="3620" w:type="dxa"/>
            <w:vAlign w:val="bottom"/>
          </w:tcPr>
          <w:p>
            <w:pPr>
              <w:ind w:left="2080"/>
              <w:spacing w:after="0"/>
              <w:rPr>
                <w:sz w:val="20"/>
                <w:szCs w:val="20"/>
                <w:color w:val="auto"/>
              </w:rPr>
            </w:pPr>
            <w:r>
              <w:rPr>
                <w:rFonts w:ascii="Arial" w:cs="Arial" w:eastAsia="Arial" w:hAnsi="Arial"/>
                <w:sz w:val="13"/>
                <w:szCs w:val="13"/>
                <w:color w:val="auto"/>
              </w:rPr>
              <w:t>Asia-Pacific</w:t>
            </w:r>
          </w:p>
        </w:tc>
        <w:tc>
          <w:tcPr>
            <w:tcW w:w="1760" w:type="dxa"/>
            <w:vAlign w:val="bottom"/>
          </w:tcPr>
          <w:p>
            <w:pPr>
              <w:ind w:left="340"/>
              <w:spacing w:after="0"/>
              <w:rPr>
                <w:sz w:val="20"/>
                <w:szCs w:val="20"/>
                <w:color w:val="auto"/>
              </w:rPr>
            </w:pPr>
            <w:r>
              <w:rPr>
                <w:rFonts w:ascii="Arial" w:cs="Arial" w:eastAsia="Arial" w:hAnsi="Arial"/>
                <w:sz w:val="13"/>
                <w:szCs w:val="13"/>
                <w:color w:val="auto"/>
              </w:rPr>
              <w:t>October 2005</w:t>
            </w: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J.A.M. Plastics Inc. (“J.A.M.”)</w:t>
            </w:r>
          </w:p>
        </w:tc>
        <w:tc>
          <w:tcPr>
            <w:tcW w:w="3620" w:type="dxa"/>
            <w:vAlign w:val="bottom"/>
          </w:tcPr>
          <w:p>
            <w:pPr>
              <w:ind w:left="2080"/>
              <w:spacing w:after="0"/>
              <w:rPr>
                <w:sz w:val="20"/>
                <w:szCs w:val="20"/>
                <w:color w:val="auto"/>
              </w:rPr>
            </w:pPr>
            <w:r>
              <w:rPr>
                <w:rFonts w:ascii="Arial" w:cs="Arial" w:eastAsia="Arial" w:hAnsi="Arial"/>
                <w:sz w:val="13"/>
                <w:szCs w:val="13"/>
                <w:color w:val="auto"/>
              </w:rPr>
              <w:t>Americas</w:t>
            </w:r>
          </w:p>
        </w:tc>
        <w:tc>
          <w:tcPr>
            <w:tcW w:w="1760" w:type="dxa"/>
            <w:vAlign w:val="bottom"/>
          </w:tcPr>
          <w:p>
            <w:pPr>
              <w:ind w:left="340"/>
              <w:spacing w:after="0"/>
              <w:rPr>
                <w:sz w:val="20"/>
                <w:szCs w:val="20"/>
                <w:color w:val="auto"/>
              </w:rPr>
            </w:pPr>
            <w:r>
              <w:rPr>
                <w:rFonts w:ascii="Arial" w:cs="Arial" w:eastAsia="Arial" w:hAnsi="Arial"/>
                <w:sz w:val="13"/>
                <w:szCs w:val="13"/>
                <w:color w:val="auto"/>
              </w:rPr>
              <w:t>December 2005</w:t>
            </w: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Personnel Concepts</w:t>
            </w:r>
          </w:p>
        </w:tc>
        <w:tc>
          <w:tcPr>
            <w:tcW w:w="3620" w:type="dxa"/>
            <w:vAlign w:val="bottom"/>
          </w:tcPr>
          <w:p>
            <w:pPr>
              <w:ind w:left="2080"/>
              <w:spacing w:after="0"/>
              <w:rPr>
                <w:sz w:val="20"/>
                <w:szCs w:val="20"/>
                <w:color w:val="auto"/>
              </w:rPr>
            </w:pPr>
            <w:r>
              <w:rPr>
                <w:rFonts w:ascii="Arial" w:cs="Arial" w:eastAsia="Arial" w:hAnsi="Arial"/>
                <w:sz w:val="13"/>
                <w:szCs w:val="13"/>
                <w:color w:val="auto"/>
              </w:rPr>
              <w:t>Americas</w:t>
            </w:r>
          </w:p>
        </w:tc>
        <w:tc>
          <w:tcPr>
            <w:tcW w:w="1760" w:type="dxa"/>
            <w:vAlign w:val="bottom"/>
          </w:tcPr>
          <w:p>
            <w:pPr>
              <w:ind w:left="340"/>
              <w:spacing w:after="0"/>
              <w:rPr>
                <w:sz w:val="20"/>
                <w:szCs w:val="20"/>
                <w:color w:val="auto"/>
              </w:rPr>
            </w:pPr>
            <w:r>
              <w:rPr>
                <w:rFonts w:ascii="Arial" w:cs="Arial" w:eastAsia="Arial" w:hAnsi="Arial"/>
                <w:sz w:val="13"/>
                <w:szCs w:val="13"/>
                <w:color w:val="auto"/>
              </w:rPr>
              <w:t>January 2006</w:t>
            </w: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IDenticard Systems, Inc. and Identicam Systems</w:t>
            </w:r>
          </w:p>
        </w:tc>
        <w:tc>
          <w:tcPr>
            <w:tcW w:w="3620" w:type="dxa"/>
            <w:vAlign w:val="bottom"/>
          </w:tcPr>
          <w:p>
            <w:pPr>
              <w:ind w:left="2080"/>
              <w:spacing w:after="0"/>
              <w:rPr>
                <w:sz w:val="20"/>
                <w:szCs w:val="20"/>
                <w:color w:val="auto"/>
              </w:rPr>
            </w:pPr>
            <w:r>
              <w:rPr>
                <w:rFonts w:ascii="Arial" w:cs="Arial" w:eastAsia="Arial" w:hAnsi="Arial"/>
                <w:sz w:val="13"/>
                <w:szCs w:val="13"/>
                <w:color w:val="auto"/>
              </w:rPr>
              <w:t>Americas</w:t>
            </w:r>
          </w:p>
        </w:tc>
        <w:tc>
          <w:tcPr>
            <w:tcW w:w="1760" w:type="dxa"/>
            <w:vAlign w:val="bottom"/>
          </w:tcPr>
          <w:p>
            <w:pPr>
              <w:ind w:left="340"/>
              <w:spacing w:after="0"/>
              <w:rPr>
                <w:sz w:val="20"/>
                <w:szCs w:val="20"/>
                <w:color w:val="auto"/>
              </w:rPr>
            </w:pPr>
            <w:r>
              <w:rPr>
                <w:rFonts w:ascii="Arial" w:cs="Arial" w:eastAsia="Arial" w:hAnsi="Arial"/>
                <w:sz w:val="13"/>
                <w:szCs w:val="13"/>
                <w:color w:val="auto"/>
              </w:rPr>
              <w:t>February 2006</w:t>
            </w:r>
          </w:p>
        </w:tc>
      </w:tr>
      <w:tr>
        <w:trPr>
          <w:trHeight w:val="157"/>
        </w:trPr>
        <w:tc>
          <w:tcPr>
            <w:tcW w:w="80" w:type="dxa"/>
            <w:vAlign w:val="bottom"/>
          </w:tcPr>
          <w:p>
            <w:pPr>
              <w:spacing w:after="0"/>
              <w:rPr>
                <w:sz w:val="13"/>
                <w:szCs w:val="13"/>
                <w:color w:val="auto"/>
              </w:rPr>
            </w:pPr>
          </w:p>
        </w:tc>
        <w:tc>
          <w:tcPr>
            <w:tcW w:w="4540" w:type="dxa"/>
            <w:vAlign w:val="bottom"/>
          </w:tcPr>
          <w:p>
            <w:pPr>
              <w:ind w:left="60"/>
              <w:spacing w:after="0"/>
              <w:rPr>
                <w:sz w:val="20"/>
                <w:szCs w:val="20"/>
                <w:color w:val="auto"/>
              </w:rPr>
            </w:pPr>
            <w:r>
              <w:rPr>
                <w:rFonts w:ascii="Arial" w:cs="Arial" w:eastAsia="Arial" w:hAnsi="Arial"/>
                <w:sz w:val="13"/>
                <w:szCs w:val="13"/>
                <w:color w:val="auto"/>
              </w:rPr>
              <w:t>(collectively “Identicard”)</w:t>
            </w:r>
          </w:p>
        </w:tc>
        <w:tc>
          <w:tcPr>
            <w:tcW w:w="3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Accidental Health &amp; Safety Pty. Ltd and</w:t>
            </w:r>
          </w:p>
        </w:tc>
        <w:tc>
          <w:tcPr>
            <w:tcW w:w="3620" w:type="dxa"/>
            <w:vAlign w:val="bottom"/>
          </w:tcPr>
          <w:p>
            <w:pPr>
              <w:ind w:left="2080"/>
              <w:spacing w:after="0"/>
              <w:rPr>
                <w:sz w:val="20"/>
                <w:szCs w:val="20"/>
                <w:color w:val="auto"/>
              </w:rPr>
            </w:pPr>
            <w:r>
              <w:rPr>
                <w:rFonts w:ascii="Arial" w:cs="Arial" w:eastAsia="Arial" w:hAnsi="Arial"/>
                <w:sz w:val="13"/>
                <w:szCs w:val="13"/>
                <w:color w:val="auto"/>
              </w:rPr>
              <w:t>Asia-Pacific</w:t>
            </w:r>
          </w:p>
        </w:tc>
        <w:tc>
          <w:tcPr>
            <w:tcW w:w="1760" w:type="dxa"/>
            <w:vAlign w:val="bottom"/>
          </w:tcPr>
          <w:p>
            <w:pPr>
              <w:ind w:left="340"/>
              <w:spacing w:after="0"/>
              <w:rPr>
                <w:sz w:val="20"/>
                <w:szCs w:val="20"/>
                <w:color w:val="auto"/>
              </w:rPr>
            </w:pPr>
            <w:r>
              <w:rPr>
                <w:rFonts w:ascii="Arial" w:cs="Arial" w:eastAsia="Arial" w:hAnsi="Arial"/>
                <w:sz w:val="13"/>
                <w:szCs w:val="13"/>
                <w:color w:val="auto"/>
              </w:rPr>
              <w:t>March 2006</w:t>
            </w:r>
          </w:p>
        </w:tc>
      </w:tr>
      <w:tr>
        <w:trPr>
          <w:trHeight w:val="157"/>
        </w:trPr>
        <w:tc>
          <w:tcPr>
            <w:tcW w:w="80" w:type="dxa"/>
            <w:vAlign w:val="bottom"/>
          </w:tcPr>
          <w:p>
            <w:pPr>
              <w:spacing w:after="0"/>
              <w:rPr>
                <w:sz w:val="13"/>
                <w:szCs w:val="13"/>
                <w:color w:val="auto"/>
              </w:rPr>
            </w:pPr>
          </w:p>
        </w:tc>
        <w:tc>
          <w:tcPr>
            <w:tcW w:w="4540" w:type="dxa"/>
            <w:vAlign w:val="bottom"/>
          </w:tcPr>
          <w:p>
            <w:pPr>
              <w:ind w:left="60"/>
              <w:spacing w:after="0"/>
              <w:rPr>
                <w:sz w:val="20"/>
                <w:szCs w:val="20"/>
                <w:color w:val="auto"/>
              </w:rPr>
            </w:pPr>
            <w:r>
              <w:rPr>
                <w:rFonts w:ascii="Arial" w:cs="Arial" w:eastAsia="Arial" w:hAnsi="Arial"/>
                <w:sz w:val="13"/>
                <w:szCs w:val="13"/>
                <w:color w:val="auto"/>
              </w:rPr>
              <w:t>Trafalgar First Aid Pty. Ltd.</w:t>
            </w:r>
          </w:p>
        </w:tc>
        <w:tc>
          <w:tcPr>
            <w:tcW w:w="3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7"/>
        </w:trPr>
        <w:tc>
          <w:tcPr>
            <w:tcW w:w="80" w:type="dxa"/>
            <w:vAlign w:val="bottom"/>
          </w:tcPr>
          <w:p>
            <w:pPr>
              <w:spacing w:after="0"/>
              <w:rPr>
                <w:sz w:val="13"/>
                <w:szCs w:val="13"/>
                <w:color w:val="auto"/>
              </w:rPr>
            </w:pPr>
          </w:p>
        </w:tc>
        <w:tc>
          <w:tcPr>
            <w:tcW w:w="4540" w:type="dxa"/>
            <w:vAlign w:val="bottom"/>
          </w:tcPr>
          <w:p>
            <w:pPr>
              <w:ind w:left="60"/>
              <w:spacing w:after="0"/>
              <w:rPr>
                <w:sz w:val="20"/>
                <w:szCs w:val="20"/>
                <w:color w:val="auto"/>
              </w:rPr>
            </w:pPr>
            <w:r>
              <w:rPr>
                <w:rFonts w:ascii="Arial" w:cs="Arial" w:eastAsia="Arial" w:hAnsi="Arial"/>
                <w:sz w:val="13"/>
                <w:szCs w:val="13"/>
                <w:color w:val="auto"/>
              </w:rPr>
              <w:t>(collectively “Accidental Health”)</w:t>
            </w:r>
          </w:p>
        </w:tc>
        <w:tc>
          <w:tcPr>
            <w:tcW w:w="3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Tradex Converting AB (“Tradex”)</w:t>
            </w:r>
          </w:p>
        </w:tc>
        <w:tc>
          <w:tcPr>
            <w:tcW w:w="3620" w:type="dxa"/>
            <w:vAlign w:val="bottom"/>
          </w:tcPr>
          <w:p>
            <w:pPr>
              <w:ind w:left="2080"/>
              <w:spacing w:after="0"/>
              <w:rPr>
                <w:sz w:val="20"/>
                <w:szCs w:val="20"/>
                <w:color w:val="auto"/>
              </w:rPr>
            </w:pPr>
            <w:r>
              <w:rPr>
                <w:rFonts w:ascii="Arial" w:cs="Arial" w:eastAsia="Arial" w:hAnsi="Arial"/>
                <w:sz w:val="13"/>
                <w:szCs w:val="13"/>
                <w:color w:val="auto"/>
              </w:rPr>
              <w:t>Americas, Europe</w:t>
            </w:r>
          </w:p>
        </w:tc>
        <w:tc>
          <w:tcPr>
            <w:tcW w:w="1760" w:type="dxa"/>
            <w:vAlign w:val="bottom"/>
          </w:tcPr>
          <w:p>
            <w:pPr>
              <w:ind w:left="340"/>
              <w:spacing w:after="0"/>
              <w:rPr>
                <w:sz w:val="20"/>
                <w:szCs w:val="20"/>
                <w:color w:val="auto"/>
              </w:rPr>
            </w:pPr>
            <w:r>
              <w:rPr>
                <w:rFonts w:ascii="Arial" w:cs="Arial" w:eastAsia="Arial" w:hAnsi="Arial"/>
                <w:sz w:val="13"/>
                <w:szCs w:val="13"/>
                <w:color w:val="auto"/>
              </w:rPr>
              <w:t>May 2006</w:t>
            </w:r>
          </w:p>
        </w:tc>
      </w:tr>
      <w:tr>
        <w:trPr>
          <w:trHeight w:val="157"/>
        </w:trPr>
        <w:tc>
          <w:tcPr>
            <w:tcW w:w="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620" w:type="dxa"/>
            <w:vAlign w:val="bottom"/>
          </w:tcPr>
          <w:p>
            <w:pPr>
              <w:ind w:left="2080"/>
              <w:spacing w:after="0"/>
              <w:rPr>
                <w:sz w:val="20"/>
                <w:szCs w:val="20"/>
                <w:color w:val="auto"/>
              </w:rPr>
            </w:pPr>
            <w:r>
              <w:rPr>
                <w:rFonts w:ascii="Arial" w:cs="Arial" w:eastAsia="Arial" w:hAnsi="Arial"/>
                <w:sz w:val="13"/>
                <w:szCs w:val="13"/>
                <w:color w:val="auto"/>
              </w:rPr>
              <w:t>and Asia-Pacific</w:t>
            </w:r>
          </w:p>
        </w:tc>
        <w:tc>
          <w:tcPr>
            <w:tcW w:w="1760" w:type="dxa"/>
            <w:vAlign w:val="bottom"/>
          </w:tcPr>
          <w:p>
            <w:pPr>
              <w:spacing w:after="0"/>
              <w:rPr>
                <w:sz w:val="13"/>
                <w:szCs w:val="13"/>
                <w:color w:val="auto"/>
              </w:rPr>
            </w:pP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Carroll Australasia Pty. Ltd. (“Carroll”)</w:t>
            </w:r>
          </w:p>
        </w:tc>
        <w:tc>
          <w:tcPr>
            <w:tcW w:w="3620" w:type="dxa"/>
            <w:vAlign w:val="bottom"/>
          </w:tcPr>
          <w:p>
            <w:pPr>
              <w:ind w:left="2080"/>
              <w:spacing w:after="0"/>
              <w:rPr>
                <w:sz w:val="20"/>
                <w:szCs w:val="20"/>
                <w:color w:val="auto"/>
              </w:rPr>
            </w:pPr>
            <w:r>
              <w:rPr>
                <w:rFonts w:ascii="Arial" w:cs="Arial" w:eastAsia="Arial" w:hAnsi="Arial"/>
                <w:sz w:val="13"/>
                <w:szCs w:val="13"/>
                <w:color w:val="auto"/>
              </w:rPr>
              <w:t>Asia-Pacific</w:t>
            </w:r>
          </w:p>
        </w:tc>
        <w:tc>
          <w:tcPr>
            <w:tcW w:w="1760" w:type="dxa"/>
            <w:vAlign w:val="bottom"/>
          </w:tcPr>
          <w:p>
            <w:pPr>
              <w:ind w:left="340"/>
              <w:spacing w:after="0"/>
              <w:rPr>
                <w:sz w:val="20"/>
                <w:szCs w:val="20"/>
                <w:color w:val="auto"/>
              </w:rPr>
            </w:pPr>
            <w:r>
              <w:rPr>
                <w:rFonts w:ascii="Arial" w:cs="Arial" w:eastAsia="Arial" w:hAnsi="Arial"/>
                <w:sz w:val="13"/>
                <w:szCs w:val="13"/>
                <w:color w:val="auto"/>
              </w:rPr>
              <w:t>June 2006</w:t>
            </w:r>
          </w:p>
        </w:tc>
      </w:tr>
      <w:tr>
        <w:trPr>
          <w:trHeight w:val="165"/>
        </w:trPr>
        <w:tc>
          <w:tcPr>
            <w:tcW w:w="4620" w:type="dxa"/>
            <w:vAlign w:val="bottom"/>
            <w:gridSpan w:val="2"/>
          </w:tcPr>
          <w:p>
            <w:pPr>
              <w:spacing w:after="0"/>
              <w:rPr>
                <w:sz w:val="20"/>
                <w:szCs w:val="20"/>
                <w:color w:val="auto"/>
              </w:rPr>
            </w:pPr>
            <w:r>
              <w:rPr>
                <w:rFonts w:ascii="Arial" w:cs="Arial" w:eastAsia="Arial" w:hAnsi="Arial"/>
                <w:sz w:val="13"/>
                <w:szCs w:val="13"/>
                <w:color w:val="auto"/>
              </w:rPr>
              <w:t>Daewon Industry Corporation (“Daewon”)</w:t>
            </w:r>
          </w:p>
        </w:tc>
        <w:tc>
          <w:tcPr>
            <w:tcW w:w="3620" w:type="dxa"/>
            <w:vAlign w:val="bottom"/>
          </w:tcPr>
          <w:p>
            <w:pPr>
              <w:ind w:left="2080"/>
              <w:spacing w:after="0"/>
              <w:rPr>
                <w:sz w:val="20"/>
                <w:szCs w:val="20"/>
                <w:color w:val="auto"/>
              </w:rPr>
            </w:pPr>
            <w:r>
              <w:rPr>
                <w:rFonts w:ascii="Arial" w:cs="Arial" w:eastAsia="Arial" w:hAnsi="Arial"/>
                <w:sz w:val="13"/>
                <w:szCs w:val="13"/>
                <w:color w:val="auto"/>
              </w:rPr>
              <w:t>Asia-Pacific</w:t>
            </w:r>
          </w:p>
        </w:tc>
        <w:tc>
          <w:tcPr>
            <w:tcW w:w="1760" w:type="dxa"/>
            <w:vAlign w:val="bottom"/>
          </w:tcPr>
          <w:p>
            <w:pPr>
              <w:ind w:left="340"/>
              <w:spacing w:after="0"/>
              <w:rPr>
                <w:sz w:val="20"/>
                <w:szCs w:val="20"/>
                <w:color w:val="auto"/>
              </w:rPr>
            </w:pPr>
            <w:r>
              <w:rPr>
                <w:rFonts w:ascii="Arial" w:cs="Arial" w:eastAsia="Arial" w:hAnsi="Arial"/>
                <w:sz w:val="13"/>
                <w:szCs w:val="13"/>
                <w:color w:val="auto"/>
              </w:rPr>
              <w:t>July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-1627505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6322060</wp:posOffset>
            </wp:positionH>
            <wp:positionV relativeFrom="paragraph">
              <wp:posOffset>-1627505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ind w:left="680" w:right="320" w:firstLine="399"/>
        <w:spacing w:after="0" w:line="260" w:lineRule="auto"/>
        <w:rPr>
          <w:sz w:val="20"/>
          <w:szCs w:val="20"/>
          <w:color w:val="auto"/>
        </w:rPr>
      </w:pPr>
      <w:r>
        <w:rPr>
          <w:rFonts w:ascii="Arial" w:cs="Arial" w:eastAsia="Arial" w:hAnsi="Arial"/>
          <w:sz w:val="13"/>
          <w:szCs w:val="13"/>
          <w:color w:val="auto"/>
        </w:rPr>
        <w:t>Sales for fiscal 2006 increased by $202.0 million, or 24.7% from fiscal 2005. Organic sales, defined as sales in the Company’s existing core businesses and regions (exclusive of acquisitions and foreign currency effects), increased $75.4 million or 9.2% for the same period. The acquisitions listed above and the annualized impact of the fiscal 2005 acquisitions increased sales by $130.3 million or 16.0% in fiscal 2006 compared to fiscal 2005. Fluctuations in the exchange rates used to translate financial results into the United States Dollar decreased sales by $3.7 million or 0.5% for the year.</w:t>
      </w:r>
    </w:p>
    <w:p>
      <w:pPr>
        <w:spacing w:after="0" w:line="7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gross margin as a percentage of sales decreased from 53.1% in fiscal 2005 to 51.6% in fiscal 2006. The decrease was primarily due to a decline in Asia-Pacific attributable to acquisition mix, a shift in the product mix towards OEM electronics and cost pressures not offset by sales price increases, and a decline in Europe due to acquisition mix, partially offset by an increase in the Americas due to sales price increases, cost reductions and acquisition mix.</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Research and development expenses grew to $30.4 million in fiscal 2006 from $25.1 million in fiscal 2005, but fell slightly as a percentage of sales from 3.1% in fiscal 2005 to 3.0% in fiscal 2006. Research and development spending increases of 21.4% were slightly less than the 24.7% increase in sales in fiscal 2006.</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SG&amp;A expenses of $338.8 million decreased as a percentage of sales from 35.0% in fiscal 2005 to 33.3% in fiscal 2006. The decrease was due primarily to cost efficiencies gained in the existing businesses in all regions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80"/>
          </w:cols>
          <w:pgMar w:left="220" w:top="343" w:right="99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driven by organic sales growth and cost control and a change in our business mix, partially offset by higher SG&amp;A expenses from the acquisitions completed in fiscal 2006.</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Investment and other income increased $1.0 million in fiscal 2006 from the prior year, primarily due to a gain of approximately $1.5 million on a currency option that the Company purchased to hedge against increases in the purchase price in U.S. dollar terms of Tradex as the transaction was denominated in Swedish Krona.</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Interest expense increased $5.8 million in fiscal 2006 due to the interest on the $200 million private placement that was completed in the third quarter of fiscal 2006.</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The Company’s effective tax rate decreased from 29.0% for fiscal 2005 to 28.0% for fiscal 2006. The decrease in the effective tax rate was due to a continuing shift to a higher percentage of the Company’s pre-tax income coming from lower tax rate countries.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Segment Operating Results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Management of the Company evaluates results based on the following geographic regions: Americas, Europe, and Asia-Pacific.</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3080" w:type="dxa"/>
            <w:vAlign w:val="bottom"/>
            <w:vMerge w:val="restart"/>
          </w:tcPr>
          <w:p>
            <w:pPr>
              <w:jc w:val="center"/>
              <w:ind w:right="2057"/>
              <w:spacing w:after="0"/>
              <w:rPr>
                <w:sz w:val="20"/>
                <w:szCs w:val="20"/>
                <w:color w:val="auto"/>
              </w:rPr>
            </w:pPr>
            <w:r>
              <w:rPr>
                <w:rFonts w:ascii="Arial" w:cs="Arial" w:eastAsia="Arial" w:hAnsi="Arial"/>
                <w:sz w:val="10"/>
                <w:szCs w:val="10"/>
                <w:i w:val="1"/>
                <w:iCs w:val="1"/>
                <w:u w:val="single" w:color="auto"/>
                <w:color w:val="auto"/>
                <w:w w:val="98"/>
              </w:rPr>
              <w:t>(</w:t>
            </w:r>
            <w:r>
              <w:rPr>
                <w:rFonts w:ascii="Arial" w:cs="Arial" w:eastAsia="Arial" w:hAnsi="Arial"/>
                <w:sz w:val="10"/>
                <w:szCs w:val="10"/>
                <w:i w:val="1"/>
                <w:iCs w:val="1"/>
                <w:color w:val="auto"/>
                <w:w w:val="98"/>
              </w:rPr>
              <w:t>Dollars in thousands)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Corporate and</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7"/>
              </w:rPr>
              <w:t>Americas</w:t>
            </w:r>
          </w:p>
        </w:tc>
        <w:tc>
          <w:tcPr>
            <w:tcW w:w="12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Arial" w:cs="Arial" w:eastAsia="Arial" w:hAnsi="Arial"/>
                <w:sz w:val="10"/>
                <w:szCs w:val="10"/>
                <w:b w:val="1"/>
                <w:bCs w:val="1"/>
                <w:color w:val="auto"/>
              </w:rPr>
              <w:t>Europe</w:t>
            </w:r>
          </w:p>
        </w:tc>
        <w:tc>
          <w:tcPr>
            <w:tcW w:w="60" w:type="dxa"/>
            <w:vAlign w:val="bottom"/>
          </w:tcPr>
          <w:p>
            <w:pPr>
              <w:spacing w:after="0"/>
              <w:rPr>
                <w:sz w:val="10"/>
                <w:szCs w:val="1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1"/>
              </w:rPr>
              <w:t>Asia-Pacific</w:t>
            </w:r>
          </w:p>
        </w:tc>
        <w:tc>
          <w:tcPr>
            <w:tcW w:w="140" w:type="dxa"/>
            <w:vAlign w:val="bottom"/>
          </w:tcPr>
          <w:p>
            <w:pPr>
              <w:spacing w:after="0"/>
              <w:rPr>
                <w:sz w:val="10"/>
                <w:szCs w:val="10"/>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Subtotals</w:t>
            </w:r>
          </w:p>
        </w:tc>
        <w:tc>
          <w:tcPr>
            <w:tcW w:w="136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4"/>
              </w:rPr>
              <w:t>Eliminations</w:t>
            </w:r>
          </w:p>
        </w:tc>
        <w:tc>
          <w:tcPr>
            <w:tcW w:w="180" w:type="dxa"/>
            <w:vAlign w:val="bottom"/>
          </w:tcPr>
          <w:p>
            <w:pPr>
              <w:spacing w:after="0"/>
              <w:rPr>
                <w:sz w:val="10"/>
                <w:szCs w:val="10"/>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30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SALES TO EXTERNAL CUSTOMERS</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tcPr>
          <w:p>
            <w:pPr>
              <w:spacing w:after="0"/>
              <w:rPr>
                <w:sz w:val="20"/>
                <w:szCs w:val="20"/>
                <w:color w:val="auto"/>
              </w:rPr>
            </w:pPr>
            <w:r>
              <w:rPr>
                <w:rFonts w:ascii="Arial" w:cs="Arial" w:eastAsia="Arial" w:hAnsi="Arial"/>
                <w:sz w:val="13"/>
                <w:szCs w:val="13"/>
                <w:color w:val="auto"/>
              </w:rPr>
              <w:t>Years ended: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jc w:val="center"/>
              <w:ind w:right="2037"/>
              <w:spacing w:after="0"/>
              <w:rPr>
                <w:sz w:val="20"/>
                <w:szCs w:val="20"/>
                <w:color w:val="auto"/>
              </w:rPr>
            </w:pPr>
            <w:r>
              <w:rPr>
                <w:rFonts w:ascii="Arial" w:cs="Arial" w:eastAsia="Arial" w:hAnsi="Arial"/>
                <w:sz w:val="13"/>
                <w:szCs w:val="13"/>
                <w:color w:val="auto"/>
                <w:w w:val="90"/>
              </w:rPr>
              <w:t>July 31, 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609,855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416,514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336,262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1,362,631</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1,362,631</w:t>
            </w:r>
          </w:p>
        </w:tc>
        <w:tc>
          <w:tcPr>
            <w:tcW w:w="0" w:type="dxa"/>
            <w:vAlign w:val="bottom"/>
          </w:tcPr>
          <w:p>
            <w:pPr>
              <w:spacing w:after="0"/>
              <w:rPr>
                <w:sz w:val="1"/>
                <w:szCs w:val="1"/>
                <w:color w:val="auto"/>
              </w:rPr>
            </w:pPr>
          </w:p>
        </w:tc>
      </w:tr>
      <w:tr>
        <w:trPr>
          <w:trHeight w:val="157"/>
        </w:trPr>
        <w:tc>
          <w:tcPr>
            <w:tcW w:w="3080" w:type="dxa"/>
            <w:vAlign w:val="bottom"/>
          </w:tcPr>
          <w:p>
            <w:pPr>
              <w:jc w:val="center"/>
              <w:ind w:right="2037"/>
              <w:spacing w:after="0"/>
              <w:rPr>
                <w:sz w:val="20"/>
                <w:szCs w:val="20"/>
                <w:color w:val="auto"/>
              </w:rPr>
            </w:pPr>
            <w:r>
              <w:rPr>
                <w:rFonts w:ascii="Arial" w:cs="Arial" w:eastAsia="Arial" w:hAnsi="Arial"/>
                <w:sz w:val="13"/>
                <w:szCs w:val="13"/>
                <w:color w:val="auto"/>
                <w:w w:val="90"/>
              </w:rPr>
              <w:t>July 31, 2006</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498,916</w:t>
            </w:r>
          </w:p>
        </w:tc>
        <w:tc>
          <w:tcPr>
            <w:tcW w:w="120" w:type="dxa"/>
            <w:vAlign w:val="bottom"/>
          </w:tcPr>
          <w:p>
            <w:pPr>
              <w:spacing w:after="0"/>
              <w:rPr>
                <w:sz w:val="13"/>
                <w:szCs w:val="13"/>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3"/>
                <w:szCs w:val="13"/>
                <w:color w:val="auto"/>
              </w:rPr>
              <w:t>319,432</w:t>
            </w:r>
          </w:p>
        </w:tc>
        <w:tc>
          <w:tcPr>
            <w:tcW w:w="6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color w:val="auto"/>
              </w:rPr>
              <w:t>200,088</w:t>
            </w:r>
          </w:p>
        </w:tc>
        <w:tc>
          <w:tcPr>
            <w:tcW w:w="140" w:type="dxa"/>
            <w:vAlign w:val="bottom"/>
          </w:tcPr>
          <w:p>
            <w:pPr>
              <w:spacing w:after="0"/>
              <w:rPr>
                <w:sz w:val="13"/>
                <w:szCs w:val="13"/>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color w:val="auto"/>
              </w:rPr>
              <w:t>1,018,436</w:t>
            </w:r>
          </w:p>
        </w:tc>
        <w:tc>
          <w:tcPr>
            <w:tcW w:w="136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1,018,436</w:t>
            </w: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jc w:val="center"/>
              <w:ind w:right="2037"/>
              <w:spacing w:after="0"/>
              <w:rPr>
                <w:sz w:val="20"/>
                <w:szCs w:val="20"/>
                <w:color w:val="auto"/>
              </w:rPr>
            </w:pPr>
            <w:r>
              <w:rPr>
                <w:rFonts w:ascii="Arial" w:cs="Arial" w:eastAsia="Arial" w:hAnsi="Arial"/>
                <w:sz w:val="13"/>
                <w:szCs w:val="13"/>
                <w:color w:val="auto"/>
                <w:w w:val="90"/>
              </w:rPr>
              <w:t>July 31, 2005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417,780</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274,691</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123,976</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816,447</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816,447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080" w:type="dxa"/>
            <w:vAlign w:val="bottom"/>
          </w:tcPr>
          <w:p>
            <w:pPr>
              <w:spacing w:after="0"/>
              <w:rPr>
                <w:sz w:val="20"/>
                <w:szCs w:val="20"/>
                <w:color w:val="auto"/>
              </w:rPr>
            </w:pPr>
            <w:r>
              <w:rPr>
                <w:rFonts w:ascii="Arial" w:cs="Arial" w:eastAsia="Arial" w:hAnsi="Arial"/>
                <w:sz w:val="13"/>
                <w:szCs w:val="13"/>
                <w:b w:val="1"/>
                <w:bCs w:val="1"/>
                <w:color w:val="auto"/>
              </w:rPr>
              <w:t>SALES GROWTH INFORMATION</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Year ended July 31, 2007:</w:t>
            </w: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tcPr>
          <w:p>
            <w:pPr>
              <w:ind w:left="140"/>
              <w:spacing w:after="0"/>
              <w:rPr>
                <w:sz w:val="20"/>
                <w:szCs w:val="20"/>
                <w:color w:val="auto"/>
              </w:rPr>
            </w:pPr>
            <w:r>
              <w:rPr>
                <w:rFonts w:ascii="Arial" w:cs="Arial" w:eastAsia="Arial" w:hAnsi="Arial"/>
                <w:sz w:val="13"/>
                <w:szCs w:val="13"/>
                <w:color w:val="auto"/>
              </w:rPr>
              <w:t>Organic</w:t>
            </w: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3.3%</w:t>
            </w: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auto"/>
              </w:rPr>
              <w:t>8.3%</w:t>
            </w: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(0.4)%</w:t>
            </w:r>
          </w:p>
        </w:tc>
        <w:tc>
          <w:tcPr>
            <w:tcW w:w="1240" w:type="dxa"/>
            <w:vAlign w:val="bottom"/>
            <w:gridSpan w:val="2"/>
          </w:tcPr>
          <w:p>
            <w:pPr>
              <w:jc w:val="right"/>
              <w:ind w:right="320"/>
              <w:spacing w:after="0"/>
              <w:rPr>
                <w:sz w:val="20"/>
                <w:szCs w:val="20"/>
                <w:color w:val="auto"/>
              </w:rPr>
            </w:pPr>
            <w:r>
              <w:rPr>
                <w:rFonts w:ascii="Arial" w:cs="Arial" w:eastAsia="Arial" w:hAnsi="Arial"/>
                <w:sz w:val="13"/>
                <w:szCs w:val="13"/>
                <w:color w:val="auto"/>
              </w:rPr>
              <w:t>4.2%</w:t>
            </w:r>
          </w:p>
        </w:tc>
        <w:tc>
          <w:tcPr>
            <w:tcW w:w="136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Currency</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0.5%</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5.2%</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4.1%</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7"/>
        </w:trPr>
        <w:tc>
          <w:tcPr>
            <w:tcW w:w="3080" w:type="dxa"/>
            <w:vAlign w:val="bottom"/>
          </w:tcPr>
          <w:p>
            <w:pPr>
              <w:ind w:left="140"/>
              <w:spacing w:after="0"/>
              <w:rPr>
                <w:sz w:val="20"/>
                <w:szCs w:val="20"/>
                <w:color w:val="auto"/>
              </w:rPr>
            </w:pPr>
            <w:r>
              <w:rPr>
                <w:rFonts w:ascii="Arial" w:cs="Arial" w:eastAsia="Arial" w:hAnsi="Arial"/>
                <w:sz w:val="13"/>
                <w:szCs w:val="13"/>
                <w:color w:val="auto"/>
              </w:rPr>
              <w:t>Acquisitions</w:t>
            </w: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18.4%</w:t>
            </w: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auto"/>
              </w:rPr>
              <w:t>13.1%</w:t>
            </w:r>
          </w:p>
        </w:tc>
        <w:tc>
          <w:tcPr>
            <w:tcW w:w="1120" w:type="dxa"/>
            <w:vAlign w:val="bottom"/>
            <w:gridSpan w:val="2"/>
          </w:tcPr>
          <w:p>
            <w:pPr>
              <w:jc w:val="right"/>
              <w:ind w:right="320"/>
              <w:spacing w:after="0"/>
              <w:rPr>
                <w:sz w:val="20"/>
                <w:szCs w:val="20"/>
                <w:color w:val="auto"/>
              </w:rPr>
            </w:pPr>
            <w:r>
              <w:rPr>
                <w:rFonts w:ascii="Arial" w:cs="Arial" w:eastAsia="Arial" w:hAnsi="Arial"/>
                <w:sz w:val="13"/>
                <w:szCs w:val="13"/>
                <w:color w:val="auto"/>
              </w:rPr>
              <w:t>63.3%</w:t>
            </w:r>
          </w:p>
        </w:tc>
        <w:tc>
          <w:tcPr>
            <w:tcW w:w="1240" w:type="dxa"/>
            <w:vAlign w:val="bottom"/>
            <w:gridSpan w:val="2"/>
          </w:tcPr>
          <w:p>
            <w:pPr>
              <w:jc w:val="right"/>
              <w:ind w:right="320"/>
              <w:spacing w:after="0"/>
              <w:rPr>
                <w:sz w:val="20"/>
                <w:szCs w:val="20"/>
                <w:color w:val="auto"/>
              </w:rPr>
            </w:pPr>
            <w:r>
              <w:rPr>
                <w:rFonts w:ascii="Arial" w:cs="Arial" w:eastAsia="Arial" w:hAnsi="Arial"/>
                <w:sz w:val="13"/>
                <w:szCs w:val="13"/>
                <w:color w:val="auto"/>
              </w:rPr>
              <w:t>25.5%</w:t>
            </w:r>
          </w:p>
        </w:tc>
        <w:tc>
          <w:tcPr>
            <w:tcW w:w="136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22.2%</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30.4%</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68.1%</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33.8%</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57"/>
        </w:trPr>
        <w:tc>
          <w:tcPr>
            <w:tcW w:w="3080" w:type="dxa"/>
            <w:vAlign w:val="bottom"/>
          </w:tcPr>
          <w:p>
            <w:pPr>
              <w:spacing w:after="0"/>
              <w:rPr>
                <w:sz w:val="20"/>
                <w:szCs w:val="20"/>
                <w:color w:val="auto"/>
              </w:rPr>
            </w:pPr>
            <w:r>
              <w:rPr>
                <w:rFonts w:ascii="Arial" w:cs="Arial" w:eastAsia="Arial" w:hAnsi="Arial"/>
                <w:sz w:val="13"/>
                <w:szCs w:val="13"/>
                <w:color w:val="auto"/>
              </w:rPr>
              <w:t>Year ended July 31, 2006:</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Organic</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4.2%</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34.7%</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9.2%</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57"/>
        </w:trPr>
        <w:tc>
          <w:tcPr>
            <w:tcW w:w="3080" w:type="dxa"/>
            <w:vAlign w:val="bottom"/>
          </w:tcPr>
          <w:p>
            <w:pPr>
              <w:ind w:left="140"/>
              <w:spacing w:after="0"/>
              <w:rPr>
                <w:sz w:val="20"/>
                <w:szCs w:val="20"/>
                <w:color w:val="auto"/>
              </w:rPr>
            </w:pPr>
            <w:r>
              <w:rPr>
                <w:rFonts w:ascii="Arial" w:cs="Arial" w:eastAsia="Arial" w:hAnsi="Arial"/>
                <w:sz w:val="13"/>
                <w:szCs w:val="13"/>
                <w:color w:val="auto"/>
              </w:rPr>
              <w:t>Currency</w:t>
            </w: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1.5%</w:t>
            </w:r>
          </w:p>
        </w:tc>
        <w:tc>
          <w:tcPr>
            <w:tcW w:w="1140" w:type="dxa"/>
            <w:vAlign w:val="bottom"/>
            <w:gridSpan w:val="2"/>
          </w:tcPr>
          <w:p>
            <w:pPr>
              <w:jc w:val="right"/>
              <w:ind w:right="300"/>
              <w:spacing w:after="0"/>
              <w:rPr>
                <w:sz w:val="20"/>
                <w:szCs w:val="20"/>
                <w:color w:val="auto"/>
              </w:rPr>
            </w:pPr>
            <w:r>
              <w:rPr>
                <w:rFonts w:ascii="Arial" w:cs="Arial" w:eastAsia="Arial" w:hAnsi="Arial"/>
                <w:sz w:val="13"/>
                <w:szCs w:val="13"/>
                <w:color w:val="auto"/>
              </w:rPr>
              <w:t>(4.3)%</w:t>
            </w:r>
          </w:p>
        </w:tc>
        <w:tc>
          <w:tcPr>
            <w:tcW w:w="1120" w:type="dxa"/>
            <w:vAlign w:val="bottom"/>
            <w:gridSpan w:val="2"/>
          </w:tcPr>
          <w:p>
            <w:pPr>
              <w:jc w:val="right"/>
              <w:ind w:right="320"/>
              <w:spacing w:after="0"/>
              <w:rPr>
                <w:sz w:val="20"/>
                <w:szCs w:val="20"/>
                <w:color w:val="auto"/>
              </w:rPr>
            </w:pPr>
            <w:r>
              <w:rPr>
                <w:rFonts w:ascii="Arial" w:cs="Arial" w:eastAsia="Arial" w:hAnsi="Arial"/>
                <w:sz w:val="13"/>
                <w:szCs w:val="13"/>
                <w:color w:val="auto"/>
              </w:rPr>
              <w:t>1.6%</w:t>
            </w: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(0.5)%</w:t>
            </w:r>
          </w:p>
        </w:tc>
        <w:tc>
          <w:tcPr>
            <w:tcW w:w="136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12.9%</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16.4%</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25.1%</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16.0%</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vMerge w:val="continue"/>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19.4%</w:t>
            </w: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auto"/>
              </w:rPr>
              <w:t>16.3%</w:t>
            </w:r>
          </w:p>
        </w:tc>
        <w:tc>
          <w:tcPr>
            <w:tcW w:w="1120" w:type="dxa"/>
            <w:vAlign w:val="bottom"/>
            <w:gridSpan w:val="2"/>
          </w:tcPr>
          <w:p>
            <w:pPr>
              <w:jc w:val="right"/>
              <w:ind w:right="320"/>
              <w:spacing w:after="0"/>
              <w:rPr>
                <w:sz w:val="20"/>
                <w:szCs w:val="20"/>
                <w:color w:val="auto"/>
              </w:rPr>
            </w:pPr>
            <w:r>
              <w:rPr>
                <w:rFonts w:ascii="Arial" w:cs="Arial" w:eastAsia="Arial" w:hAnsi="Arial"/>
                <w:sz w:val="13"/>
                <w:szCs w:val="13"/>
                <w:color w:val="auto"/>
              </w:rPr>
              <w:t>61.4%</w:t>
            </w:r>
          </w:p>
        </w:tc>
        <w:tc>
          <w:tcPr>
            <w:tcW w:w="1240" w:type="dxa"/>
            <w:vAlign w:val="bottom"/>
            <w:gridSpan w:val="2"/>
          </w:tcPr>
          <w:p>
            <w:pPr>
              <w:jc w:val="right"/>
              <w:ind w:right="320"/>
              <w:spacing w:after="0"/>
              <w:rPr>
                <w:sz w:val="20"/>
                <w:szCs w:val="20"/>
                <w:color w:val="auto"/>
              </w:rPr>
            </w:pPr>
            <w:r>
              <w:rPr>
                <w:rFonts w:ascii="Arial" w:cs="Arial" w:eastAsia="Arial" w:hAnsi="Arial"/>
                <w:sz w:val="13"/>
                <w:szCs w:val="13"/>
                <w:color w:val="auto"/>
              </w:rPr>
              <w:t>24.7%</w:t>
            </w:r>
          </w:p>
        </w:tc>
        <w:tc>
          <w:tcPr>
            <w:tcW w:w="136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2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SEGMENT PROFIT (LOSS)</w:t>
            </w:r>
          </w:p>
        </w:tc>
        <w:tc>
          <w:tcPr>
            <w:tcW w:w="16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7"/>
        </w:trPr>
        <w:tc>
          <w:tcPr>
            <w:tcW w:w="2360" w:type="dxa"/>
            <w:vAlign w:val="bottom"/>
          </w:tcPr>
          <w:p>
            <w:pPr>
              <w:spacing w:after="0"/>
              <w:rPr>
                <w:sz w:val="20"/>
                <w:szCs w:val="20"/>
                <w:color w:val="auto"/>
              </w:rPr>
            </w:pPr>
            <w:r>
              <w:rPr>
                <w:rFonts w:ascii="Arial" w:cs="Arial" w:eastAsia="Arial" w:hAnsi="Arial"/>
                <w:sz w:val="13"/>
                <w:szCs w:val="13"/>
                <w:color w:val="auto"/>
              </w:rPr>
              <w:t>Years ended:</w:t>
            </w: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7"/>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July 31, 2007</w:t>
            </w:r>
          </w:p>
        </w:tc>
        <w:tc>
          <w:tcPr>
            <w:tcW w:w="16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   142,306</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   107,552</w:t>
            </w:r>
          </w:p>
        </w:tc>
        <w:tc>
          <w:tcPr>
            <w:tcW w:w="4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57,236</w:t>
            </w:r>
          </w:p>
        </w:tc>
        <w:tc>
          <w:tcPr>
            <w:tcW w:w="4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307,094</w:t>
            </w:r>
          </w:p>
        </w:tc>
        <w:tc>
          <w:tcPr>
            <w:tcW w:w="5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(8,208)</w:t>
            </w:r>
          </w:p>
        </w:tc>
        <w:tc>
          <w:tcPr>
            <w:tcW w:w="3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298,886</w:t>
            </w:r>
          </w:p>
        </w:tc>
      </w:tr>
      <w:tr>
        <w:trPr>
          <w:trHeight w:val="157"/>
        </w:trPr>
        <w:tc>
          <w:tcPr>
            <w:tcW w:w="2360" w:type="dxa"/>
            <w:vAlign w:val="bottom"/>
          </w:tcPr>
          <w:p>
            <w:pPr>
              <w:ind w:left="140"/>
              <w:spacing w:after="0"/>
              <w:rPr>
                <w:sz w:val="20"/>
                <w:szCs w:val="20"/>
                <w:color w:val="auto"/>
              </w:rPr>
            </w:pPr>
            <w:r>
              <w:rPr>
                <w:rFonts w:ascii="Arial" w:cs="Arial" w:eastAsia="Arial" w:hAnsi="Arial"/>
                <w:sz w:val="13"/>
                <w:szCs w:val="13"/>
                <w:color w:val="auto"/>
              </w:rPr>
              <w:t>July 31, 2006</w:t>
            </w:r>
          </w:p>
        </w:tc>
        <w:tc>
          <w:tcPr>
            <w:tcW w:w="1600" w:type="dxa"/>
            <w:vAlign w:val="bottom"/>
          </w:tcPr>
          <w:p>
            <w:pPr>
              <w:jc w:val="right"/>
              <w:ind w:right="134"/>
              <w:spacing w:after="0"/>
              <w:rPr>
                <w:sz w:val="20"/>
                <w:szCs w:val="20"/>
                <w:color w:val="auto"/>
              </w:rPr>
            </w:pPr>
            <w:r>
              <w:rPr>
                <w:rFonts w:ascii="Arial" w:cs="Arial" w:eastAsia="Arial" w:hAnsi="Arial"/>
                <w:sz w:val="13"/>
                <w:szCs w:val="13"/>
                <w:color w:val="auto"/>
              </w:rPr>
              <w:t>122,525</w:t>
            </w:r>
          </w:p>
        </w:tc>
        <w:tc>
          <w:tcPr>
            <w:tcW w:w="1120" w:type="dxa"/>
            <w:vAlign w:val="bottom"/>
          </w:tcPr>
          <w:p>
            <w:pPr>
              <w:jc w:val="right"/>
              <w:ind w:right="154"/>
              <w:spacing w:after="0"/>
              <w:rPr>
                <w:sz w:val="20"/>
                <w:szCs w:val="20"/>
                <w:color w:val="auto"/>
              </w:rPr>
            </w:pPr>
            <w:r>
              <w:rPr>
                <w:rFonts w:ascii="Arial" w:cs="Arial" w:eastAsia="Arial" w:hAnsi="Arial"/>
                <w:sz w:val="13"/>
                <w:szCs w:val="13"/>
                <w:color w:val="auto"/>
              </w:rPr>
              <w:t>83,970</w:t>
            </w:r>
          </w:p>
        </w:tc>
        <w:tc>
          <w:tcPr>
            <w:tcW w:w="420" w:type="dxa"/>
            <w:vAlign w:val="bottom"/>
          </w:tcPr>
          <w:p>
            <w:pPr>
              <w:spacing w:after="0"/>
              <w:rPr>
                <w:sz w:val="13"/>
                <w:szCs w:val="13"/>
                <w:color w:val="auto"/>
              </w:rPr>
            </w:pPr>
          </w:p>
        </w:tc>
        <w:tc>
          <w:tcPr>
            <w:tcW w:w="700" w:type="dxa"/>
            <w:vAlign w:val="bottom"/>
          </w:tcPr>
          <w:p>
            <w:pPr>
              <w:jc w:val="right"/>
              <w:ind w:right="154"/>
              <w:spacing w:after="0"/>
              <w:rPr>
                <w:sz w:val="20"/>
                <w:szCs w:val="20"/>
                <w:color w:val="auto"/>
              </w:rPr>
            </w:pPr>
            <w:r>
              <w:rPr>
                <w:rFonts w:ascii="Arial" w:cs="Arial" w:eastAsia="Arial" w:hAnsi="Arial"/>
                <w:sz w:val="13"/>
                <w:szCs w:val="13"/>
                <w:color w:val="auto"/>
              </w:rPr>
              <w:t>49,316</w:t>
            </w:r>
          </w:p>
        </w:tc>
        <w:tc>
          <w:tcPr>
            <w:tcW w:w="440" w:type="dxa"/>
            <w:vAlign w:val="bottom"/>
          </w:tcPr>
          <w:p>
            <w:pPr>
              <w:spacing w:after="0"/>
              <w:rPr>
                <w:sz w:val="13"/>
                <w:szCs w:val="13"/>
                <w:color w:val="auto"/>
              </w:rPr>
            </w:pPr>
          </w:p>
        </w:tc>
        <w:tc>
          <w:tcPr>
            <w:tcW w:w="800" w:type="dxa"/>
            <w:vAlign w:val="bottom"/>
          </w:tcPr>
          <w:p>
            <w:pPr>
              <w:jc w:val="right"/>
              <w:ind w:right="154"/>
              <w:spacing w:after="0"/>
              <w:rPr>
                <w:sz w:val="20"/>
                <w:szCs w:val="20"/>
                <w:color w:val="auto"/>
              </w:rPr>
            </w:pPr>
            <w:r>
              <w:rPr>
                <w:rFonts w:ascii="Arial" w:cs="Arial" w:eastAsia="Arial" w:hAnsi="Arial"/>
                <w:sz w:val="13"/>
                <w:szCs w:val="13"/>
                <w:color w:val="auto"/>
              </w:rPr>
              <w:t>255,811</w:t>
            </w:r>
          </w:p>
        </w:tc>
        <w:tc>
          <w:tcPr>
            <w:tcW w:w="540" w:type="dxa"/>
            <w:vAlign w:val="bottom"/>
          </w:tcPr>
          <w:p>
            <w:pPr>
              <w:spacing w:after="0"/>
              <w:rPr>
                <w:sz w:val="13"/>
                <w:szCs w:val="13"/>
                <w:color w:val="auto"/>
              </w:rPr>
            </w:pP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(10,633)</w:t>
            </w:r>
          </w:p>
        </w:tc>
        <w:tc>
          <w:tcPr>
            <w:tcW w:w="380" w:type="dxa"/>
            <w:vAlign w:val="bottom"/>
          </w:tcPr>
          <w:p>
            <w:pPr>
              <w:spacing w:after="0"/>
              <w:rPr>
                <w:sz w:val="13"/>
                <w:szCs w:val="13"/>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245,178</w:t>
            </w:r>
          </w:p>
        </w:tc>
      </w:tr>
      <w:tr>
        <w:trPr>
          <w:trHeight w:val="157"/>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July 31, 2005</w:t>
            </w:r>
          </w:p>
        </w:tc>
        <w:tc>
          <w:tcPr>
            <w:tcW w:w="16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98,193</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79,792</w:t>
            </w: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34,228</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212,213</w:t>
            </w: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(4,845)</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207,368</w:t>
            </w:r>
          </w:p>
        </w:tc>
      </w:tr>
    </w:tbl>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INCOME RECONCILIATION</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0"/>
                <w:szCs w:val="10"/>
                <w:b w:val="1"/>
                <w:bCs w:val="1"/>
                <w:color w:val="auto"/>
                <w:w w:val="92"/>
              </w:rPr>
              <w:t>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right"/>
              <w:ind w:right="580"/>
              <w:spacing w:after="0" w:line="81" w:lineRule="exact"/>
              <w:rPr>
                <w:sz w:val="20"/>
                <w:szCs w:val="20"/>
                <w:color w:val="auto"/>
              </w:rPr>
            </w:pPr>
            <w:r>
              <w:rPr>
                <w:rFonts w:ascii="Arial" w:cs="Arial" w:eastAsia="Arial" w:hAnsi="Arial"/>
                <w:sz w:val="9"/>
                <w:szCs w:val="9"/>
                <w:b w:val="1"/>
                <w:bCs w:val="1"/>
                <w:color w:val="auto"/>
              </w:rPr>
              <w:t>July 31,</w:t>
            </w:r>
          </w:p>
        </w:tc>
        <w:tc>
          <w:tcPr>
            <w:tcW w:w="120" w:type="dxa"/>
            <w:vAlign w:val="bottom"/>
          </w:tcPr>
          <w:p>
            <w:pPr>
              <w:spacing w:after="0"/>
              <w:rPr>
                <w:sz w:val="7"/>
                <w:szCs w:val="7"/>
                <w:color w:val="auto"/>
              </w:rPr>
            </w:pPr>
          </w:p>
        </w:tc>
        <w:tc>
          <w:tcPr>
            <w:tcW w:w="9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July 31,</w:t>
            </w:r>
          </w:p>
        </w:tc>
        <w:tc>
          <w:tcPr>
            <w:tcW w:w="120" w:type="dxa"/>
            <w:vAlign w:val="bottom"/>
          </w:tcPr>
          <w:p>
            <w:pPr>
              <w:spacing w:after="0"/>
              <w:rPr>
                <w:sz w:val="7"/>
                <w:szCs w:val="7"/>
                <w:color w:val="auto"/>
              </w:rPr>
            </w:pPr>
          </w:p>
        </w:tc>
        <w:tc>
          <w:tcPr>
            <w:tcW w:w="560" w:type="dxa"/>
            <w:vAlign w:val="bottom"/>
          </w:tcPr>
          <w:p>
            <w:pPr>
              <w:jc w:val="center"/>
              <w:ind w:right="58"/>
              <w:spacing w:after="0" w:line="81" w:lineRule="exact"/>
              <w:rPr>
                <w:sz w:val="20"/>
                <w:szCs w:val="20"/>
                <w:color w:val="auto"/>
              </w:rPr>
            </w:pPr>
            <w:r>
              <w:rPr>
                <w:rFonts w:ascii="Arial" w:cs="Arial" w:eastAsia="Arial" w:hAnsi="Arial"/>
                <w:sz w:val="9"/>
                <w:szCs w:val="9"/>
                <w:b w:val="1"/>
                <w:bCs w:val="1"/>
                <w:color w:val="auto"/>
              </w:rPr>
              <w:t>July 31,</w:t>
            </w:r>
          </w:p>
        </w:tc>
        <w:tc>
          <w:tcPr>
            <w:tcW w:w="100" w:type="dxa"/>
            <w:vAlign w:val="bottom"/>
          </w:tcPr>
          <w:p>
            <w:pPr>
              <w:spacing w:after="0"/>
              <w:rPr>
                <w:sz w:val="7"/>
                <w:szCs w:val="7"/>
                <w:color w:val="auto"/>
              </w:rPr>
            </w:pPr>
          </w:p>
        </w:tc>
      </w:tr>
      <w:tr>
        <w:trPr>
          <w:trHeight w:val="125"/>
        </w:trPr>
        <w:tc>
          <w:tcPr>
            <w:tcW w:w="7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29"/>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Total profit for reportable segments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307,094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255,811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212,213</w:t>
            </w: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Corporate and eliminations</w:t>
            </w:r>
          </w:p>
        </w:tc>
        <w:tc>
          <w:tcPr>
            <w:tcW w:w="12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(8,208)</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(10,633)</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(4,845)</w:t>
            </w: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amounts: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Administrative costs</w:t>
            </w:r>
          </w:p>
        </w:tc>
        <w:tc>
          <w:tcPr>
            <w:tcW w:w="12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(126,899)</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(88,662)</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(84,916)</w:t>
            </w: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 and other income — net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2,875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1,369</w:t>
            </w: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(22,934)</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(14,231)</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(8,403)</w:t>
            </w:r>
          </w:p>
        </w:tc>
      </w:tr>
      <w:tr>
        <w:trPr>
          <w:trHeight w:val="20"/>
        </w:trPr>
        <w:tc>
          <w:tcPr>
            <w:tcW w:w="7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151,928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144,688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115,418</w:t>
            </w:r>
          </w:p>
        </w:tc>
      </w:tr>
      <w:tr>
        <w:trPr>
          <w:trHeight w:val="157"/>
        </w:trPr>
        <w:tc>
          <w:tcPr>
            <w:tcW w:w="7000" w:type="dxa"/>
            <w:vAlign w:val="bottom"/>
          </w:tcPr>
          <w:p>
            <w:pPr>
              <w:ind w:left="400"/>
              <w:spacing w:after="0"/>
              <w:rPr>
                <w:sz w:val="20"/>
                <w:szCs w:val="20"/>
                <w:color w:val="auto"/>
              </w:rPr>
            </w:pPr>
            <w:r>
              <w:rPr>
                <w:rFonts w:ascii="Arial" w:cs="Arial" w:eastAsia="Arial" w:hAnsi="Arial"/>
                <w:sz w:val="13"/>
                <w:szCs w:val="13"/>
                <w:color w:val="auto"/>
              </w:rPr>
              <w:t>Income taxes</w:t>
            </w:r>
          </w:p>
        </w:tc>
        <w:tc>
          <w:tcPr>
            <w:tcW w:w="12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(42,540)</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(40,513)</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(33,471)</w:t>
            </w:r>
          </w:p>
        </w:tc>
      </w:tr>
      <w:tr>
        <w:trPr>
          <w:trHeight w:val="20"/>
        </w:trPr>
        <w:tc>
          <w:tcPr>
            <w:tcW w:w="7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109,388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104,175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81,947</w:t>
            </w:r>
          </w:p>
        </w:tc>
      </w:tr>
      <w:tr>
        <w:trPr>
          <w:trHeight w:val="29"/>
        </w:trPr>
        <w:tc>
          <w:tcPr>
            <w:tcW w:w="7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160" w:firstLine="399"/>
        <w:spacing w:after="0" w:line="296" w:lineRule="auto"/>
        <w:rPr>
          <w:sz w:val="20"/>
          <w:szCs w:val="20"/>
          <w:color w:val="auto"/>
        </w:rPr>
      </w:pPr>
      <w:r>
        <w:rPr>
          <w:rFonts w:ascii="Arial" w:cs="Arial" w:eastAsia="Arial" w:hAnsi="Arial"/>
          <w:sz w:val="12"/>
          <w:szCs w:val="12"/>
          <w:color w:val="auto"/>
        </w:rPr>
        <w:t>The Company evaluates regional performance using sales and segment profit. Segment profit or loss does not include certain administrative costs, such as the cost of finance, stock options, information technology and human resources, which are managed as global functions. Interest, investment and other income and income taxes are also excluded when evaluating regional performance. The increased administrative costs in fiscal 2007 include $11.4 million of expenses associated with cost reduction charges.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Americas</w:t>
      </w:r>
    </w:p>
    <w:p>
      <w:pPr>
        <w:spacing w:after="0" w:line="100" w:lineRule="exact"/>
        <w:rPr>
          <w:sz w:val="20"/>
          <w:szCs w:val="20"/>
          <w:color w:val="auto"/>
        </w:rPr>
      </w:pPr>
    </w:p>
    <w:p>
      <w:pPr>
        <w:ind w:left="680" w:right="60" w:firstLine="399"/>
        <w:spacing w:after="0" w:line="308" w:lineRule="auto"/>
        <w:rPr>
          <w:sz w:val="20"/>
          <w:szCs w:val="20"/>
          <w:color w:val="auto"/>
        </w:rPr>
      </w:pPr>
      <w:r>
        <w:rPr>
          <w:rFonts w:ascii="Arial" w:cs="Arial" w:eastAsia="Arial" w:hAnsi="Arial"/>
          <w:sz w:val="11"/>
          <w:szCs w:val="11"/>
          <w:color w:val="auto"/>
        </w:rPr>
        <w:t>Sales in the Americas region increased 22.2% from fiscal 2006 to fiscal 2007, and 19.4% from fiscal 2005 to fiscal 2006. Organic growth accounted for 3.3% in 2007 and 5.0% in 2006. The organic growth in fiscal 2007 was due to strong growth in the United States in both the Brady and direct marketing brands, with strong results from the electrical and wire identification products. The growth was partially offset by the planned transfer of die cut business to Asia-Pacific in the early part of the year. Canada and Brazil also experienced year-over-year growth. The organic growth in fiscal 2006 was due to strong growth in the United States in our safety, electrical, and industrial markets. Our operations in Canada, Mexico and Brazil also provided year-over-year organic sales growth in 2006 in the Brady brand business. Within the direct marketing business, base sales increased in 2006 over the prior year as well. The acquisitions of TruMed, J.A.M., Personnel Concepts and Identicard in fiscal 2006 and CIPI, Precision Converters, Scafftag, Asterisco, Clement and SPC in fiscal 2007 added 18.4% to fiscal 2007 sales. The acquisitions of Electromark in fiscal 2005 and Stopware, TruMed, J.A.M., Personnel Concepts and Identicard in fiscal 2006 added 12.9% to fiscal 2006 sales. The positive effect of fluctuations in the exchange rates used to translate financial results into U.S. currency increased sales in the region by 0.5% and 1.5% in fiscal 2007 and 2006, respectively.</w:t>
      </w:r>
    </w:p>
    <w:p>
      <w:pPr>
        <w:spacing w:after="0" w:line="4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the Americas region, segment profit as a percentage of sales decreased from 24.6% in 2006 to 23.3% in 2007. This decrease was due to the effect of the recent acquisitions. As expected, the segment’s recent acquisitions have produced an initial rate of profit that is below the average rate of profit of the segment. As the businesses are integrated and synergies are achieved, the profit percentages are expected to increase. Comparing fiscal 2006 to 2005, segment profit as a percentage of sales increased from 23.5% to 24.6%, due to the increase in sales volume and sales prices, partially offset by increases in many of the segment’s material and utility costs. Also, as expected, the acquisitions completed in 2006 reported an initial rate of profit that was below the average of the region.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Europe</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Sales in the European region increased 30.4% in fiscal 2007 from fiscal 2006 and 16.3% in fiscal 2006 from fiscal 2005. Organic growth accounted for 8.3% in fiscal 2007 and 4.2% in fiscal 2006. The organic growth reported in fiscal 2007 was due to growth in the majority of the businesses and countries as the European economy continued to strengthen. Business in the region has benefited from recent “No Smoking” legislation enacted in France and in the United Kingdom, which stimulated demand for certain of our product lines. The increase in the organic growth in fiscal 2006 was due to modest growth in the direct marketing business as a result of continuing to add new customers and expand product offerings and growth from expansion into newer geographies for the Brady brand</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96" w:lineRule="auto"/>
        <w:rPr>
          <w:sz w:val="20"/>
          <w:szCs w:val="20"/>
          <w:color w:val="auto"/>
        </w:rPr>
      </w:pPr>
      <w:r>
        <w:rPr>
          <w:rFonts w:ascii="Arial" w:cs="Arial" w:eastAsia="Arial" w:hAnsi="Arial"/>
          <w:sz w:val="12"/>
          <w:szCs w:val="12"/>
          <w:color w:val="auto"/>
        </w:rPr>
        <w:t>business, primarily from the expansion into Slovakia, Turkey and the Nordic region. Foreign currency translation increased the region’s sales by 9.0% from fiscal 2006 to 2007 compared to a decrease in the region’s sales of 4.3% from fiscal 2005 to 2006. The acquisitions of Texit and Tradex in fiscal 2006 and CIPI, Scafftag, Moderno and SPC in fiscal 2007 added 13.1% to the region’s sales in fiscal 2007 and the acquisitions of Texit and Tradex in fiscal 2006 and Signs and Labels in fiscal 2005 added 16.4% to the region’s sales in fiscal 2006.</w:t>
      </w:r>
    </w:p>
    <w:p>
      <w:pPr>
        <w:spacing w:after="0" w:line="5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Segment profit as a percentage of sales decreased to 25.8% in fiscal 2007 from 26.3% in fiscal 2006 and decreased from 29.0% in fiscal 2005 to 26.3% in fiscal 2006. The decrease experienced in fiscal 2007 from 2006 was due to the global headquarter costs of Tradex, partially offset by the strong performance of the direct marketing businesses in the region. The decrease experienced in fiscal 2006 from 2005 was due to the impact of a stronger U.S. dollar, the profit dilution caused by the start-up of business in Slovakia and the integration and acquisition-related costs from the June 2005 acquisition of Signs and Labels and the May 2006 acquisition of Tradex. As Tradex’s headquarters are in Sweden, all of the headquarter costs are reflected in the Europe segment in 2006.</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Asia-Pacific</w:t>
      </w:r>
    </w:p>
    <w:p>
      <w:pPr>
        <w:spacing w:after="0" w:line="100"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Asia-Pacific sales increased 68.1% in fiscal 2007 from fiscal 2006 and 61.4% in fiscal 2006 from fiscal 2005. Organic sales declined 0.4% in fiscal 2007 and increased 34.7% in fiscal 2006. The decline in organic sales in fiscal 2007 was due to a slowdown in our OEM electronics business, led by the loss of certain programs in the hard disk drive business related to industry consolidation and a slowdown in high performance labeling. The increase in organic sales for fiscal 2006 was due to the high demand for consumer electronics and strong growth in the Australian direct marketing and safety businesses. Of the 34.7% increase in organic growth in fiscal 2006, a significant portion was driven by growth in China as the Asian economy strengthened. Foreign currency translation increased the region’s sales by 5.2% from fiscal 2006 to 2007 compared to an increase of 1.6% from fiscal 2005 to 2006. The acquisitions of QDPT, Accidental Health, Tradex, Carroll and Daewon in fiscal 2006 and CIPI, Scafftag and SPC in fiscal 2007 added 63.3% to the region’s sales in fiscal 2007, whereas the acquisitions of Technology Print Supply and Technology Supply Media in fiscal 2005 and QDPT, Accidental Health, Tradex, Carroll and Daewon in fiscal 2006 added 25.1% to the region’s sales in fiscal 2006.</w:t>
      </w:r>
    </w:p>
    <w:p>
      <w:pPr>
        <w:spacing w:after="0" w:line="7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Segment profit as a percentage of sales decreased to 17.0% in fiscal 2007 from 24.7% in fiscal 2006 and to 24.7% in fiscal 2006 from 27.6% in fiscal 2005. The decrease in fiscal 2007 was due to the slowdown in our OEM electronics business, excess capacity at our facilities and lower margins from acquisitions. By the end of fiscal 2007, we had nearly completed the capacity and footprint changes that were necessary to reduce our cost structure and be closer to our customers’ facilities. These changes are expected to result in a reduced cost base for the upcoming year, but we should still be able to support sudden spikes in customer demand. The decrease experienced in fiscal 2006 was due to the continued shift of business mix towards the die cut business, which experiences lower margins, combined with pricing pressures from our OEM customers, and the lower initial rate of profit produced by the companies acquired in the region.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Cash and cash equivalents were $142.8 million at July 31, 2007, compared to $113.0 million at July 31, 2006. Additionally, short-term investments, consisting of investments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auction rate securities, were $19.2 million at July 31, 2007, compared to $11.5 million at July 31, 2006. Working capital increased $62.9 million during fiscal 2007 to $303.4 million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increased $98.9 million during fiscal 2006 to $240.5 million. Accounts receivable balances increased $51.7 million from July 31, 2006 to July 31, 2007. The increase in accounts receivable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was due primarily to increased sales volume, foreign currency translation and accounts receivable balances added from acquisitions completed during fiscal 2007. Inventories increased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$29.9 million from July 31, 2006 to July 31, 2007 due to foreign currency translation, inventory of acquired companies, and increased inventory levels to support the launch of new products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to maintain adequate service levels for our customers. Current liabilities increased $61.4 million due to the inclusion of principal debt payments that are due for payment in the fourth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quarter of fiscal 2008 which were included in long-term obligations in the prior year, an increase in accounts payable from the fiscal 2007 acquisitions, and an increase in other current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liabilities as a result of our cost reduction activities.</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Company has maintained significant cash balances due in large part to its strong operating cash flow, which totaled $136.0 million for fiscal 2007, $114.9 million for fiscal 2006 and $119.1 million for fiscal 2005. The increase from fiscal 2006 to fiscal 2007 was the result of a $5.2 million increase in net income and an $18.7 million increase in depreciation and amortization primarily due to the tangible and intangible assets acquired in fiscal 2006 and 2007, partially offset by cash requirements for changes in operating assets and liabilities. In accordance with the adoption of SFAS No. 123(R), “Share Based Payment” on August 1, 2005, the Company has classified the income tax benefit from the exercise of stock options subsequent to adoption as a financing cash inflow. Prior to adoption, this tax benefit was recorded in cash flows from operations and totaled $5.4 million for the fiscal year ended July 31, 2005.</w:t>
      </w:r>
    </w:p>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acquisitions of businesses used $159.5 million in fiscal 2007, $351.3 million in fiscal 2006, and $79.9 million in fiscal 2005. Contingent consideration payments of $10.9 million were paid during fiscal 2007 to satisfy the $6.5 million holdback requirement of the ID Technologies acquisition completed in fiscal 2005, the $1.0 million earnout liability of the Stopware acquisition completed in fiscal 2006, the $1.8 million purchase price adjustment of the Daewon acquisition completed in fiscal 2006 and the $1.6 million earnout liability of the QDPT acquisition completed in fiscal 2006.</w:t>
      </w:r>
    </w:p>
    <w:p>
      <w:pPr>
        <w:spacing w:after="0" w:line="7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Capital expenditures were $51.9 million in fiscal 2007, $39.4 million in fiscal 2006 and $21.9 million in fiscal 2005. $9.8 million was spent during fiscal 2007 on implementing SAP in 16 of Brady’s global operations and ultimately bringing the number of users up from approximately 2,300 to approximately 6,700 in the next three years. The remainder of the increase in capital expenditures in fiscal 2007 was due to expansions in China, Canada, India, Mexico, the Philippines, Slovakia and other locations. Capital expenditures in 2006 were driven by the completion of the central distribution warehouse in Milwaukee, Wisconsin, continued expansion in Asia, new facilities in Slovakia and in Canada and by upgrading existing plant and machinery. Capital expenditures in 2005 included plant expansions in China and the start of the addition of the central distribution warehouse in Milwaukee.</w:t>
      </w:r>
    </w:p>
    <w:p>
      <w:pPr>
        <w:spacing w:after="0" w:line="55"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Financing activities provided $129.4 million of cash in fiscal 2007, provided $319.0 million in fiscal 2006 and used $9.7 million in fiscal 2005. In fiscal 2006, the Company completed a secondary public offering of 4.6 million shares of its Class A nonvoting common stock and received proceeds of $157.7 million. Cash used for dividends to shareholders was $30.1 million in fiscal 2007, $26.1 million in fiscal 2006 and $21.3 million in fiscal 2005. Cash received from the exercise of stock options was $6.8 million in fiscal 2007, $8.9 million in fiscal 2006 and $15.7 million in fiscal 2005. The Company did not purchase treasury stock in fiscal 2007, but purchased treasury stock of $24.7 million in fiscal 2006 and $1.6 million in fiscal 2005. In fiscal 2006, a stock repurchase plan was implemented by purchasing shares on the open market or in privately negotiated transactions, with repurchased shares available for use in connection with the Company’s stock option plan and for other corporate purposes. The Company completed the repurchase of 800,000 shares of its Class A Common Stock for $26.5 million in fiscal 2006.</w:t>
      </w:r>
    </w:p>
    <w:p>
      <w:pPr>
        <w:spacing w:after="0" w:line="73"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On October 5, 2006, the Company entered into a $200 million multi-currency revolving loan agreement with a group of five banks that replaced the Company’s previous credit facility that had been entered into on March 31, 2004 and amended on January 19, 2006. At the Company’s option, and subject to certain standard conditions, the available amount under the new credit facility may be increased from $200 million up to $300 million. Under the new 5-year agreement, which has a final maturity date of October 5, 2011,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July 31, 2007, the Company was in compliance with the covenants of the agreement.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During fiscal 2007 and 2006, the Company borrowed and repaid $109.3 million and $415.7 million, respectively. As of July 31, 2007, there were no outstanding borrowings under the credit facility.</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On March 23, 2007, the Company completed the private placement of $150 million in ten-year fixed notes at 5.33% interest to institutional investors. The notes will be amortized in equal installments over seven years, beginning in 2011 with interest payable on the notes semiannually on September 23 and March 23, beginning in September 2007. The notes have been fully and unconditionally guaranteed on an unsecured basis by the Company’s domestic subsidiaries. The Company used the net proceeds of the offering to reduce outstanding indebtedness under the Company’s revolving loan agreement and fund its ongoing strategic growth plan.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July 31, 2007, the Company was in compliance with this covenant.</w:t>
      </w:r>
    </w:p>
    <w:p>
      <w:pPr>
        <w:spacing w:after="0" w:line="58"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On February 14, 2006, the Company completed the private placement of $200 million in ten-year fixed notes at 5.3% interest to institutional investors. The notes will be amortized in equal installments over seven years, beginning in 2010 with interest payable on the notes semiannually on August 14 and February 14, beginning in August 2006. The notes have been fully and unconditionally guaranteed on an unsecured basis by the Company’s domestic subsidiaries. The Company used the net proceeds of the offering to finance acquisitions completed in fiscal 2006 and 2007 and for general corporate purposes.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July 31, 2007, the Company was in compliance with this covenant.</w:t>
      </w:r>
    </w:p>
    <w:p>
      <w:pPr>
        <w:spacing w:after="0" w:line="73"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On June 30, 2004, the Company finalized a debt offering of $150 million of 5.14% unsecured senior notes due in 2014 in an offering exempt from the registration requirements of the Securities Act of 1933. The debt offering was in conjunction with the Company’s acquisition of EMED. The notes will be amortized over seven years beginning in 2008, with interest payable on the notes being due semiannually on June 28 and December 28, beginning in December 2004. The Company used the proceeds of the offering to reduce outstanding indebtedness under the Company’s revolving credit facilities used to initially fund the EMED acquisition. The debt has certain prepayment penalties for repaying the debt prior to its maturity date. The agreement also requires the Company to maintain a financial covenant. As of July 31, 2007, the Company was in compliance with this covenant.</w:t>
      </w:r>
    </w:p>
    <w:p>
      <w:pPr>
        <w:spacing w:after="0" w:line="55"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Long-term obligations as a percentage of long-term obligations plus stockholders’ investment were 34.9% at July 31, 2007, and 31.9% at July 31, 2006. Long-term obligations increased by $128.6 million from July 31, 2006 to July 31, 2007 due to the private placement that was completed during the year, partially offset by the portion of long-term obligations that is due for payment in fiscal 2008 that is recorded in current liabilities, and stockholders’ investment increased $145.0 million during this period due to net earnings for fiscal 2007 and changes in accumulated other comprehensive income.</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intends to fund its short-term and long-term operating cash requirements, including its fiscal 2008 dividend payments, primarily through net cash provided by operating activities.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believes that its continued strong cash flows from operations, existing borrowing capacity and continued access to capital markets will enable it to execute its long-term strategic plan. This strategic plan includes investments, which expand its current market share, open new markets and geographies, develop new products and distribution channels and continue to improve our processes. This strategic plan also includes executing key acquisitions.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Subsequent Events Affecting Liquidity and Capital Resources</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On September 11, 2007, the Board of Directors announced an increase in the quarterly dividend to shareholders of the Company’s Class A Common Stock, from $0.14 to $0.15 per share. The dividend will be paid on October 31, 2007, to shareholders of record at the close of business on October 10, 2007. This dividend represents an increase of 7% and is the 22nd consecutive annual increase in dividends since the Company went public in 1984.</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does not have material off-balance sheet arrangements or related party transactions. The Company is not aware of factors that are reasonably likely to adversely affect liquidity trends, other than the risks discussed in this filing and presented in other Company filings. However, the following additional information is provided to assist financial statement users.</w:t>
      </w:r>
    </w:p>
    <w:p>
      <w:pPr>
        <w:spacing w:after="0" w:line="67"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i w:val="1"/>
          <w:iCs w:val="1"/>
          <w:color w:val="auto"/>
        </w:rPr>
        <w:t xml:space="preserve">Operating Leases </w:t>
      </w:r>
      <w:r>
        <w:rPr>
          <w:rFonts w:ascii="Arial" w:cs="Arial" w:eastAsia="Arial" w:hAnsi="Arial"/>
          <w:sz w:val="13"/>
          <w:szCs w:val="13"/>
          <w:color w:val="auto"/>
        </w:rPr>
        <w:t>— These leases generally are entered into for investments in facilities such as manufacturing facilities, warehouses and office space, computer equipment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vehicles, when the economic profile is favorable.</w:t>
      </w:r>
    </w:p>
    <w:p>
      <w:pPr>
        <w:spacing w:after="0" w:line="59"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Purchase Commitments </w:t>
      </w:r>
      <w:r>
        <w:rPr>
          <w:rFonts w:ascii="Arial" w:cs="Arial" w:eastAsia="Arial" w:hAnsi="Arial"/>
          <w:sz w:val="13"/>
          <w:szCs w:val="13"/>
          <w:color w:val="auto"/>
        </w:rPr>
        <w:t>— The Company has purchase commitments for materials, supplies, services, and property, plant and equipment entered into in the ordinary course of</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Such commitments are not in excess of current market prices.</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Other Contractual Obligations </w:t>
      </w:r>
      <w:r>
        <w:rPr>
          <w:rFonts w:ascii="Arial" w:cs="Arial" w:eastAsia="Arial" w:hAnsi="Arial"/>
          <w:sz w:val="13"/>
          <w:szCs w:val="13"/>
          <w:color w:val="auto"/>
        </w:rPr>
        <w:t>— The Company does not have material financial guarantees or other contractual commitments that are reasonably likely to adversely affect liquidity</w:t>
      </w:r>
      <w:r>
        <w:rPr>
          <w:rFonts w:ascii="Arial" w:cs="Arial" w:eastAsia="Arial" w:hAnsi="Arial"/>
          <w:sz w:val="13"/>
          <w:szCs w:val="13"/>
          <w:i w:val="1"/>
          <w:iCs w:val="1"/>
          <w:color w:val="auto"/>
        </w:rPr>
        <w:t xml:space="preserve"> </w:t>
      </w:r>
      <w:r>
        <w:rPr>
          <w:rFonts w:ascii="Arial" w:cs="Arial" w:eastAsia="Arial" w:hAnsi="Arial"/>
          <w:sz w:val="13"/>
          <w:szCs w:val="13"/>
          <w:color w:val="auto"/>
        </w:rPr>
        <w:t>other than those discussed below under “Payments Due Under Contractual Obligations.”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Related Party Transactions </w:t>
      </w:r>
      <w:r>
        <w:rPr>
          <w:rFonts w:ascii="Arial" w:cs="Arial" w:eastAsia="Arial" w:hAnsi="Arial"/>
          <w:sz w:val="13"/>
          <w:szCs w:val="13"/>
          <w:color w:val="auto"/>
        </w:rPr>
        <w:t>— The Company does not have material related party transactions that affect the results of operations, cash flow or financial condition.</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Payments Due Under Contractual Obligations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Company’s future commitments at July 31, 2007, for long-term debt, operating lease obligations, purchase obligations, interest obligations and other obligations are as follows (dollars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0"/>
                <w:szCs w:val="10"/>
                <w:b w:val="1"/>
                <w:bCs w:val="1"/>
                <w:color w:val="auto"/>
                <w:w w:val="98"/>
              </w:rPr>
              <w:t>Payments Due by Period</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8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ontractual Obligations</w:t>
            </w: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center"/>
              <w:ind w:right="180"/>
              <w:spacing w:after="0" w:line="91" w:lineRule="exact"/>
              <w:rPr>
                <w:sz w:val="20"/>
                <w:szCs w:val="20"/>
                <w:color w:val="auto"/>
              </w:rPr>
            </w:pPr>
            <w:r>
              <w:rPr>
                <w:rFonts w:ascii="Arial" w:cs="Arial" w:eastAsia="Arial" w:hAnsi="Arial"/>
                <w:sz w:val="10"/>
                <w:szCs w:val="10"/>
                <w:b w:val="1"/>
                <w:bCs w:val="1"/>
                <w:color w:val="auto"/>
                <w:w w:val="94"/>
              </w:rPr>
              <w:t>Less than</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198"/>
              <w:spacing w:after="0" w:line="91" w:lineRule="exact"/>
              <w:rPr>
                <w:sz w:val="20"/>
                <w:szCs w:val="20"/>
                <w:color w:val="auto"/>
              </w:rPr>
            </w:pPr>
            <w:r>
              <w:rPr>
                <w:rFonts w:ascii="Arial" w:cs="Arial" w:eastAsia="Arial" w:hAnsi="Arial"/>
                <w:sz w:val="10"/>
                <w:szCs w:val="10"/>
                <w:b w:val="1"/>
                <w:bCs w:val="1"/>
                <w:color w:val="auto"/>
              </w:rPr>
              <w:t>1-3</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198"/>
              <w:spacing w:after="0" w:line="91" w:lineRule="exact"/>
              <w:rPr>
                <w:sz w:val="20"/>
                <w:szCs w:val="20"/>
                <w:color w:val="auto"/>
              </w:rPr>
            </w:pPr>
            <w:r>
              <w:rPr>
                <w:rFonts w:ascii="Arial" w:cs="Arial" w:eastAsia="Arial" w:hAnsi="Arial"/>
                <w:sz w:val="10"/>
                <w:szCs w:val="10"/>
                <w:b w:val="1"/>
                <w:bCs w:val="1"/>
                <w:color w:val="auto"/>
              </w:rPr>
              <w:t>3-5</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38"/>
              <w:spacing w:after="0" w:line="91" w:lineRule="exact"/>
              <w:rPr>
                <w:sz w:val="20"/>
                <w:szCs w:val="20"/>
                <w:color w:val="auto"/>
              </w:rPr>
            </w:pPr>
            <w:r>
              <w:rPr>
                <w:rFonts w:ascii="Arial" w:cs="Arial" w:eastAsia="Arial" w:hAnsi="Arial"/>
                <w:sz w:val="10"/>
                <w:szCs w:val="10"/>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1 Year</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87"/>
              </w:rPr>
              <w:t>Years</w:t>
            </w:r>
          </w:p>
        </w:tc>
        <w:tc>
          <w:tcPr>
            <w:tcW w:w="140" w:type="dxa"/>
            <w:vAlign w:val="bottom"/>
          </w:tcPr>
          <w:p>
            <w:pPr>
              <w:spacing w:after="0"/>
              <w:rPr>
                <w:sz w:val="10"/>
                <w:szCs w:val="10"/>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87"/>
              </w:rPr>
              <w:t>Years</w:t>
            </w:r>
          </w:p>
        </w:tc>
        <w:tc>
          <w:tcPr>
            <w:tcW w:w="80" w:type="dxa"/>
            <w:vAlign w:val="bottom"/>
          </w:tcPr>
          <w:p>
            <w:pPr>
              <w:spacing w:after="0"/>
              <w:rPr>
                <w:sz w:val="10"/>
                <w:szCs w:val="1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5 Years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Obligations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500,019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21,444</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71,433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142,856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264,286</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Operating Lease Obligations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71,842</w:t>
            </w:r>
          </w:p>
        </w:tc>
        <w:tc>
          <w:tcPr>
            <w:tcW w:w="1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23,097</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32,540</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10,625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5,580</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Obligations(1)</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30,331</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30,194</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Interest Obligations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150,405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26,305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49,306</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39,215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35,579</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Obligations(2)</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6,735</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800" w:type="dxa"/>
            <w:vAlign w:val="bottom"/>
            <w:gridSpan w:val="2"/>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763,114</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101,615</w:t>
            </w:r>
          </w:p>
        </w:tc>
        <w:tc>
          <w:tcPr>
            <w:tcW w:w="8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154,819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194,500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312,180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243"/>
        <w:spacing w:after="0"/>
        <w:tabs>
          <w:tab w:leader="none" w:pos="1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Purchase obligations include all open purchase orders as of July 31, 2007.</w:t>
      </w:r>
    </w:p>
    <w:p>
      <w:pPr>
        <w:spacing w:after="0" w:line="47" w:lineRule="exact"/>
        <w:rPr>
          <w:rFonts w:ascii="Arial" w:cs="Arial" w:eastAsia="Arial" w:hAnsi="Arial"/>
          <w:sz w:val="13"/>
          <w:szCs w:val="13"/>
          <w:color w:val="auto"/>
        </w:rPr>
      </w:pPr>
    </w:p>
    <w:p>
      <w:pPr>
        <w:ind w:left="1180" w:hanging="243"/>
        <w:spacing w:after="0" w:line="276" w:lineRule="auto"/>
        <w:tabs>
          <w:tab w:leader="none" w:pos="1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Other obligations represent expected payments under the Company’s postretirement medical, dental, and vision plans as disclosed in Note 3 to the consolidated financial statements, under Item 8 of this report.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Inflation and Changing Prices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virtually impossible to accurately define the impact of inflation on profit margins.</w:t>
      </w: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Estimates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2"/>
          <w:szCs w:val="12"/>
          <w:color w:val="auto"/>
        </w:rPr>
        <w:t>The Company accounts for income taxes in accordance with Statement of Financial Accounting Standards (“SFAS”) No. 109,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Changes in existing regulatory tax laws and rates may affect the Company’s ability to manage successfully regulatory matters around the world, and future business results may affect the amount of deferred tax liabilities or the valuation of deferred tax assets over time. The Company’s accounting for deferred tax consequences represents management’s best estimate of future events that can appropriately be reflected in the accounting estimates. Although the Company’s current estimates may be subject to change in the future, management does not believe such changes would result in a material period-to-period impact on the results of operations or the financial condition of the Company.</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Intangible Assets</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SFAS No. 142, “Goodwill and Other Intangible Assets,” requires that goodwill and other indefinite-lived intangible assets be tested annually for impairment. Changes in management’s estimates or judgments could result in an impairment charge, and such a charge could have an adverse effect on the Company’s financial condition and results of operations. To aid in establishing the value of goodwill and other intangible assets at the time of acquisition, Company policy requires that all acquisitions with a purchase price above $5 million must be evaluated by a professional appraisal company.</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Reserves and Allowances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has recorded reserves or allowances for inventory obsolescence, uncollectible accounts receivable, returns, credit memos, incurred but not reported medical claims, and income tax contingencies. These reserves require the use of estimates and judgment. The Company bases its estimates on historical experience and on various other assumptions that are believed to be reasonable under the circumstances. The Company believes that such estimates are made with consistent and appropriate methods. Actual results may differ from these estimates under different assumptions or conditions.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Standards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information required by this Item is provided in Note 1 of the Notes to Consolidated Financial Statements contained in Item 8 — Financial Statements and Supplementary Data.</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Brady believes that certain statements in this Form 10-K are “forward-looking statements” within the meaning of the Private Securities Litigation Reform Act of 1995. All statements related to future, not past, events included in this Form 10-K,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10-K, words such as “may,” “will,” “expect,” “intend,” “estimate,” “anticipate,” “believe,” “should,” “project” or “plan” or similar terminology are generally intended to identify forward-looking statements. These forward-looking</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7" w:lineRule="auto"/>
        <w:rPr>
          <w:sz w:val="20"/>
          <w:szCs w:val="20"/>
          <w:color w:val="auto"/>
        </w:rPr>
      </w:pPr>
      <w:r>
        <w:rPr>
          <w:rFonts w:ascii="Arial" w:cs="Arial" w:eastAsia="Arial" w:hAnsi="Arial"/>
          <w:sz w:val="12"/>
          <w:szCs w:val="12"/>
          <w:color w:val="auto"/>
        </w:rPr>
        <w:t>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this Form 10-K. These uncertainties may cause Brady’s actual future results to be materially different than those expressed in its forward-looking statements. Brady does not undertake to update its forward-looking statements.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Please see the information contained in Item 1A — Risk Factors.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foreign-currency exchange risk management is to minimize the impact of currency movements on intercompany transactions and foreign raw-material imports. To achieve this objective, we hedge a portion of known exposures using forward contracts. Main exposures are related to transactions denominated in the British Pound, the Euro, Canadian Dollar, Australian Dollar, Swedish Krona and Chinese Yuan currency. In the third quarter of fiscal 2006, we purchased a currency option to hedge against increases in the purchase price in U.S. dollar terms of Tradex, as the transaction was denominated in the Swedish Krona. A gain of approximately $1.5 million was recorded in fiscal 2006 due to this option.</w:t>
      </w:r>
    </w:p>
    <w:p>
      <w:pPr>
        <w:spacing w:after="0" w:line="59" w:lineRule="exact"/>
        <w:rPr>
          <w:sz w:val="20"/>
          <w:szCs w:val="20"/>
          <w:color w:val="auto"/>
        </w:rPr>
      </w:pPr>
    </w:p>
    <w:p>
      <w:pPr>
        <w:jc w:val="both"/>
        <w:ind w:left="680" w:right="120" w:firstLine="399"/>
        <w:spacing w:after="0" w:line="334" w:lineRule="auto"/>
        <w:rPr>
          <w:sz w:val="20"/>
          <w:szCs w:val="20"/>
          <w:color w:val="auto"/>
        </w:rPr>
      </w:pPr>
      <w:r>
        <w:rPr>
          <w:rFonts w:ascii="Arial" w:cs="Arial" w:eastAsia="Arial" w:hAnsi="Arial"/>
          <w:sz w:val="11"/>
          <w:szCs w:val="11"/>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2007, the Company had no interest rate derivatives.</w:t>
      </w: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3"/>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3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92"/>
        </w:trPr>
        <w:tc>
          <w:tcPr>
            <w:tcW w:w="1280" w:type="dxa"/>
            <w:vAlign w:val="bottom"/>
            <w:gridSpan w:val="4"/>
          </w:tcPr>
          <w:p>
            <w:pPr>
              <w:ind w:left="680"/>
              <w:spacing w:after="0"/>
              <w:rPr>
                <w:sz w:val="20"/>
                <w:szCs w:val="20"/>
                <w:color w:val="auto"/>
              </w:rPr>
            </w:pPr>
            <w:r>
              <w:rPr>
                <w:rFonts w:ascii="Arial" w:cs="Arial" w:eastAsia="Arial" w:hAnsi="Arial"/>
                <w:sz w:val="13"/>
                <w:szCs w:val="13"/>
                <w:b w:val="1"/>
                <w:bCs w:val="1"/>
                <w:color w:val="auto"/>
              </w:rPr>
              <w:t>Item 8.</w:t>
            </w:r>
          </w:p>
        </w:tc>
        <w:tc>
          <w:tcPr>
            <w:tcW w:w="9000" w:type="dxa"/>
            <w:vAlign w:val="bottom"/>
            <w:gridSpan w:val="6"/>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3"/>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520" w:type="dxa"/>
            <w:vAlign w:val="bottom"/>
            <w:gridSpan w:val="5"/>
          </w:tcPr>
          <w:p>
            <w:pPr>
              <w:jc w:val="center"/>
              <w:ind w:right="2700"/>
              <w:spacing w:after="0"/>
              <w:rPr>
                <w:sz w:val="20"/>
                <w:szCs w:val="20"/>
                <w:color w:val="auto"/>
              </w:rPr>
            </w:pPr>
            <w:r>
              <w:rPr>
                <w:rFonts w:ascii="Arial" w:cs="Arial" w:eastAsia="Arial" w:hAnsi="Arial"/>
                <w:sz w:val="13"/>
                <w:szCs w:val="13"/>
                <w:b w:val="1"/>
                <w:bCs w:val="1"/>
                <w:color w:val="auto"/>
              </w:rPr>
              <w:t>BRADY CORPORATION &amp; SUBSIDIARIES</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6520" w:type="dxa"/>
            <w:vAlign w:val="bottom"/>
            <w:gridSpan w:val="5"/>
          </w:tcPr>
          <w:p>
            <w:pPr>
              <w:jc w:val="center"/>
              <w:ind w:right="2680"/>
              <w:spacing w:after="0"/>
              <w:rPr>
                <w:sz w:val="20"/>
                <w:szCs w:val="20"/>
                <w:color w:val="auto"/>
              </w:rPr>
            </w:pPr>
            <w:r>
              <w:rPr>
                <w:rFonts w:ascii="Arial" w:cs="Arial" w:eastAsia="Arial" w:hAnsi="Arial"/>
                <w:sz w:val="13"/>
                <w:szCs w:val="13"/>
                <w:b w:val="1"/>
                <w:bCs w:val="1"/>
                <w:color w:val="auto"/>
              </w:rPr>
              <w:t>INDEX TO FINANCIAL STATEMENTS</w:t>
            </w: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4"/>
          </w:tcPr>
          <w:p>
            <w:pPr>
              <w:spacing w:after="0"/>
              <w:rPr>
                <w:rFonts w:ascii="Arial" w:cs="Arial" w:eastAsia="Arial" w:hAnsi="Arial"/>
                <w:sz w:val="13"/>
                <w:szCs w:val="13"/>
                <w:color w:val="0000EE"/>
                <w:w w:val="92"/>
              </w:rPr>
            </w:pPr>
            <w:hyperlink w:anchor="page32">
              <w:r>
                <w:rPr>
                  <w:rFonts w:ascii="Arial" w:cs="Arial" w:eastAsia="Arial" w:hAnsi="Arial"/>
                  <w:sz w:val="13"/>
                  <w:szCs w:val="13"/>
                  <w:color w:val="0000EE"/>
                  <w:w w:val="92"/>
                </w:rPr>
                <w:t>Report of Independent Registered Public Accounting Firm</w:t>
              </w:r>
            </w:hyperlink>
          </w:p>
        </w:tc>
        <w:tc>
          <w:tcPr>
            <w:tcW w:w="6520" w:type="dxa"/>
            <w:vAlign w:val="bottom"/>
            <w:gridSpan w:val="5"/>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w w:val="92"/>
              </w:rPr>
              <w:t>II-16</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9600" w:type="dxa"/>
            <w:vAlign w:val="bottom"/>
            <w:gridSpan w:val="9"/>
          </w:tcPr>
          <w:p>
            <w:pPr>
              <w:spacing w:after="0"/>
              <w:rPr>
                <w:sz w:val="20"/>
                <w:szCs w:val="20"/>
                <w:color w:val="auto"/>
              </w:rPr>
            </w:pPr>
            <w:r>
              <w:rPr>
                <w:rFonts w:ascii="Arial" w:cs="Arial" w:eastAsia="Arial" w:hAnsi="Arial"/>
                <w:sz w:val="13"/>
                <w:szCs w:val="13"/>
                <w:color w:val="auto"/>
              </w:rPr>
              <w:t>Financial Statements:</w:t>
            </w: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60" w:type="dxa"/>
            <w:vAlign w:val="bottom"/>
            <w:gridSpan w:val="8"/>
          </w:tcPr>
          <w:p>
            <w:pPr>
              <w:spacing w:after="0" w:line="137" w:lineRule="exact"/>
              <w:rPr>
                <w:rFonts w:ascii="Arial" w:cs="Arial" w:eastAsia="Arial" w:hAnsi="Arial"/>
                <w:sz w:val="13"/>
                <w:szCs w:val="13"/>
                <w:color w:val="0000EE"/>
              </w:rPr>
            </w:pPr>
            <w:hyperlink w:anchor="page33">
              <w:r>
                <w:rPr>
                  <w:rFonts w:ascii="Arial" w:cs="Arial" w:eastAsia="Arial" w:hAnsi="Arial"/>
                  <w:sz w:val="13"/>
                  <w:szCs w:val="13"/>
                  <w:color w:val="0000EE"/>
                </w:rPr>
                <w:t>Consolidated Balance Sheets — July 31, 2007 and 2006</w:t>
              </w:r>
            </w:hyperlink>
          </w:p>
        </w:tc>
        <w:tc>
          <w:tcPr>
            <w:tcW w:w="380" w:type="dxa"/>
            <w:vAlign w:val="bottom"/>
          </w:tcPr>
          <w:p>
            <w:pPr>
              <w:ind w:left="120"/>
              <w:spacing w:after="0" w:line="137" w:lineRule="exact"/>
              <w:rPr>
                <w:sz w:val="20"/>
                <w:szCs w:val="20"/>
                <w:color w:val="auto"/>
              </w:rPr>
            </w:pPr>
            <w:r>
              <w:rPr>
                <w:rFonts w:ascii="Arial" w:cs="Arial" w:eastAsia="Arial" w:hAnsi="Arial"/>
                <w:sz w:val="13"/>
                <w:szCs w:val="13"/>
                <w:color w:val="auto"/>
                <w:w w:val="92"/>
              </w:rPr>
              <w:t>II-17</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60" w:type="dxa"/>
            <w:vAlign w:val="bottom"/>
            <w:gridSpan w:val="8"/>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Consolidated Statements of Income — Years Ended July 31, 2007, 2006 and 2005</w:t>
              </w:r>
            </w:hyperlink>
          </w:p>
        </w:tc>
        <w:tc>
          <w:tcPr>
            <w:tcW w:w="380" w:type="dxa"/>
            <w:vAlign w:val="bottom"/>
          </w:tcPr>
          <w:p>
            <w:pPr>
              <w:ind w:left="120"/>
              <w:spacing w:after="0" w:line="138" w:lineRule="exact"/>
              <w:rPr>
                <w:sz w:val="20"/>
                <w:szCs w:val="20"/>
                <w:color w:val="auto"/>
              </w:rPr>
            </w:pPr>
            <w:r>
              <w:rPr>
                <w:rFonts w:ascii="Arial" w:cs="Arial" w:eastAsia="Arial" w:hAnsi="Arial"/>
                <w:sz w:val="13"/>
                <w:szCs w:val="13"/>
                <w:color w:val="auto"/>
                <w:w w:val="92"/>
              </w:rPr>
              <w:t>II-18</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60" w:type="dxa"/>
            <w:vAlign w:val="bottom"/>
            <w:tcBorders>
              <w:bottom w:val="single" w:sz="8" w:color="0000EE"/>
            </w:tcBorders>
            <w:gridSpan w:val="7"/>
          </w:tcPr>
          <w:p>
            <w:pPr>
              <w:spacing w:after="0" w:line="138" w:lineRule="exact"/>
              <w:rPr>
                <w:rFonts w:ascii="Arial" w:cs="Arial" w:eastAsia="Arial" w:hAnsi="Arial"/>
                <w:sz w:val="13"/>
                <w:szCs w:val="13"/>
                <w:color w:val="0000EE"/>
                <w:w w:val="90"/>
              </w:rPr>
            </w:pPr>
            <w:hyperlink w:anchor="page35">
              <w:r>
                <w:rPr>
                  <w:rFonts w:ascii="Arial" w:cs="Arial" w:eastAsia="Arial" w:hAnsi="Arial"/>
                  <w:sz w:val="13"/>
                  <w:szCs w:val="13"/>
                  <w:color w:val="0000EE"/>
                  <w:w w:val="90"/>
                </w:rPr>
                <w:t>Consolidated Statements of Stockholders’ Investment — Years Ended July 31, 2007, 2006 and 2005</w:t>
              </w:r>
            </w:hyperlink>
          </w:p>
        </w:tc>
        <w:tc>
          <w:tcPr>
            <w:tcW w:w="4200" w:type="dxa"/>
            <w:vAlign w:val="bottom"/>
          </w:tcPr>
          <w:p>
            <w:pPr>
              <w:spacing w:after="0"/>
              <w:rPr>
                <w:sz w:val="11"/>
                <w:szCs w:val="11"/>
                <w:color w:val="auto"/>
              </w:rPr>
            </w:pPr>
          </w:p>
        </w:tc>
        <w:tc>
          <w:tcPr>
            <w:tcW w:w="380" w:type="dxa"/>
            <w:vAlign w:val="bottom"/>
          </w:tcPr>
          <w:p>
            <w:pPr>
              <w:ind w:left="120"/>
              <w:spacing w:after="0" w:line="138" w:lineRule="exact"/>
              <w:rPr>
                <w:sz w:val="20"/>
                <w:szCs w:val="20"/>
                <w:color w:val="auto"/>
              </w:rPr>
            </w:pPr>
            <w:r>
              <w:rPr>
                <w:rFonts w:ascii="Arial" w:cs="Arial" w:eastAsia="Arial" w:hAnsi="Arial"/>
                <w:sz w:val="13"/>
                <w:szCs w:val="13"/>
                <w:color w:val="auto"/>
                <w:w w:val="92"/>
              </w:rPr>
              <w:t>II-19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40" w:type="dxa"/>
            <w:vAlign w:val="bottom"/>
            <w:tcBorders>
              <w:bottom w:val="single" w:sz="8" w:color="0000EE"/>
            </w:tcBorders>
            <w:gridSpan w:val="5"/>
          </w:tcPr>
          <w:p>
            <w:pPr>
              <w:spacing w:after="0" w:line="138" w:lineRule="exact"/>
              <w:rPr>
                <w:rFonts w:ascii="Arial" w:cs="Arial" w:eastAsia="Arial" w:hAnsi="Arial"/>
                <w:sz w:val="13"/>
                <w:szCs w:val="13"/>
                <w:color w:val="0000EE"/>
                <w:w w:val="90"/>
              </w:rPr>
            </w:pPr>
            <w:hyperlink w:anchor="page36">
              <w:r>
                <w:rPr>
                  <w:rFonts w:ascii="Arial" w:cs="Arial" w:eastAsia="Arial" w:hAnsi="Arial"/>
                  <w:sz w:val="13"/>
                  <w:szCs w:val="13"/>
                  <w:color w:val="0000EE"/>
                  <w:w w:val="90"/>
                </w:rPr>
                <w:t>Consolidated Statements of Cash Flows — Years Ended July 31, 2007, 2006 and 2005</w:t>
              </w:r>
            </w:hyperlink>
          </w:p>
        </w:tc>
        <w:tc>
          <w:tcPr>
            <w:tcW w:w="4920" w:type="dxa"/>
            <w:vAlign w:val="bottom"/>
            <w:gridSpan w:val="3"/>
          </w:tcPr>
          <w:p>
            <w:pPr>
              <w:spacing w:after="0"/>
              <w:rPr>
                <w:sz w:val="11"/>
                <w:szCs w:val="11"/>
                <w:color w:val="auto"/>
              </w:rPr>
            </w:pPr>
          </w:p>
        </w:tc>
        <w:tc>
          <w:tcPr>
            <w:tcW w:w="380" w:type="dxa"/>
            <w:vAlign w:val="bottom"/>
          </w:tcPr>
          <w:p>
            <w:pPr>
              <w:ind w:left="120"/>
              <w:spacing w:after="0" w:line="138" w:lineRule="exact"/>
              <w:rPr>
                <w:sz w:val="20"/>
                <w:szCs w:val="20"/>
                <w:color w:val="auto"/>
              </w:rPr>
            </w:pPr>
            <w:r>
              <w:rPr>
                <w:rFonts w:ascii="Arial" w:cs="Arial" w:eastAsia="Arial" w:hAnsi="Arial"/>
                <w:sz w:val="13"/>
                <w:szCs w:val="13"/>
                <w:color w:val="auto"/>
                <w:w w:val="92"/>
              </w:rPr>
              <w:t>II-20</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74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37">
              <w:r>
                <w:rPr>
                  <w:rFonts w:ascii="Arial" w:cs="Arial" w:eastAsia="Arial" w:hAnsi="Arial"/>
                  <w:sz w:val="13"/>
                  <w:szCs w:val="13"/>
                  <w:color w:val="0000EE"/>
                  <w:w w:val="90"/>
                </w:rPr>
                <w:t>Notes to Consolidated Financial Statements — Years Ended July 31, 2007, 2006 and 2005</w:t>
              </w:r>
            </w:hyperlink>
          </w:p>
        </w:tc>
        <w:tc>
          <w:tcPr>
            <w:tcW w:w="4720" w:type="dxa"/>
            <w:vAlign w:val="bottom"/>
            <w:gridSpan w:val="2"/>
          </w:tcPr>
          <w:p>
            <w:pPr>
              <w:spacing w:after="0"/>
              <w:rPr>
                <w:sz w:val="11"/>
                <w:szCs w:val="11"/>
                <w:color w:val="auto"/>
              </w:rPr>
            </w:pPr>
          </w:p>
        </w:tc>
        <w:tc>
          <w:tcPr>
            <w:tcW w:w="380" w:type="dxa"/>
            <w:vAlign w:val="bottom"/>
          </w:tcPr>
          <w:p>
            <w:pPr>
              <w:ind w:left="120"/>
              <w:spacing w:after="0" w:line="138" w:lineRule="exact"/>
              <w:rPr>
                <w:sz w:val="20"/>
                <w:szCs w:val="20"/>
                <w:color w:val="auto"/>
              </w:rPr>
            </w:pPr>
            <w:r>
              <w:rPr>
                <w:rFonts w:ascii="Arial" w:cs="Arial" w:eastAsia="Arial" w:hAnsi="Arial"/>
                <w:sz w:val="13"/>
                <w:szCs w:val="13"/>
                <w:color w:val="auto"/>
                <w:w w:val="92"/>
              </w:rPr>
              <w:t>II-21</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20" w:type="dxa"/>
            <w:vAlign w:val="bottom"/>
            <w:gridSpan w:val="3"/>
          </w:tcPr>
          <w:p>
            <w:pPr>
              <w:jc w:val="center"/>
              <w:ind w:right="4300"/>
              <w:spacing w:after="0"/>
              <w:rPr>
                <w:sz w:val="20"/>
                <w:szCs w:val="20"/>
                <w:color w:val="auto"/>
              </w:rPr>
            </w:pPr>
            <w:r>
              <w:rPr>
                <w:rFonts w:ascii="Arial" w:cs="Arial" w:eastAsia="Arial" w:hAnsi="Arial"/>
                <w:sz w:val="13"/>
                <w:szCs w:val="13"/>
                <w:color w:val="auto"/>
                <w:w w:val="99"/>
              </w:rPr>
              <w:t>II-15</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48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2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Brady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Milwaukee, WI</w:t>
      </w:r>
    </w:p>
    <w:p>
      <w:pPr>
        <w:spacing w:after="0" w:line="8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have audited the accompanying consolidated balance sheets of Brady Corporation and subsidiaries (the “Company”) as of July 31, 2007 and 2006, and the related consolidated statements of income, stockholders’ investment, and cash flows for each of the three years in the period ended July 31, 2007.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our opinion, such consolidated financial statements present fairly, in all material respects, the financial position of Brady Corporation and subsidiaries at July 31, 2007 and 2006, and the results of their operations and their cash flows for each of the three years in the period ended July 31, 2007,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 xml:space="preserve">We have also audited, in accordance with the standards of the Public Company Accounting Oversight Board (United States), the effectiveness of the Company’s internal control over financial reporting as of July 31, 2007, based on the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and our report dated September 27, 2007,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ELOITTE</w:t>
      </w:r>
      <w:r>
        <w:rPr>
          <w:rFonts w:ascii="Arial" w:cs="Arial" w:eastAsia="Arial" w:hAnsi="Arial"/>
          <w:sz w:val="13"/>
          <w:szCs w:val="13"/>
          <w:color w:val="auto"/>
        </w:rPr>
        <w:t xml:space="preserve"> &amp; T</w:t>
      </w:r>
      <w:r>
        <w:rPr>
          <w:rFonts w:ascii="Arial" w:cs="Arial" w:eastAsia="Arial" w:hAnsi="Arial"/>
          <w:sz w:val="8"/>
          <w:szCs w:val="8"/>
          <w:color w:val="auto"/>
        </w:rPr>
        <w:t>OUCHE</w:t>
      </w:r>
      <w:r>
        <w:rPr>
          <w:rFonts w:ascii="Arial" w:cs="Arial" w:eastAsia="Arial" w:hAnsi="Arial"/>
          <w:sz w:val="13"/>
          <w:szCs w:val="13"/>
          <w:color w:val="auto"/>
        </w:rPr>
        <w:t xml:space="preserve">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Milwaukee, WI</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27, 2007</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July 31, 2007 and 2006</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0"/>
                <w:szCs w:val="10"/>
                <w:b w:val="1"/>
                <w:bCs w:val="1"/>
                <w:color w:val="auto"/>
                <w:w w:val="85"/>
              </w:rPr>
              <w:t>thousands)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00" w:type="dxa"/>
            <w:vAlign w:val="bottom"/>
            <w:shd w:val="clear" w:color="auto" w:fill="CCEEFF"/>
          </w:tcPr>
          <w:p>
            <w:pPr>
              <w:ind w:left="4780"/>
              <w:spacing w:after="0"/>
              <w:rPr>
                <w:sz w:val="20"/>
                <w:szCs w:val="20"/>
                <w:color w:val="auto"/>
              </w:rPr>
            </w:pPr>
            <w:r>
              <w:rPr>
                <w:rFonts w:ascii="Arial" w:cs="Arial" w:eastAsia="Arial" w:hAnsi="Arial"/>
                <w:sz w:val="12"/>
                <w:szCs w:val="12"/>
                <w:b w:val="1"/>
                <w:bCs w:val="1"/>
                <w:color w:val="auto"/>
              </w:rPr>
              <w:t>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00" w:type="dxa"/>
            <w:vAlign w:val="bottom"/>
          </w:tcPr>
          <w:p>
            <w:pPr>
              <w:spacing w:after="0"/>
              <w:rPr>
                <w:sz w:val="20"/>
                <w:szCs w:val="20"/>
                <w:color w:val="auto"/>
              </w:rPr>
            </w:pPr>
            <w:r>
              <w:rPr>
                <w:rFonts w:ascii="Arial" w:cs="Arial" w:eastAsia="Arial" w:hAnsi="Arial"/>
                <w:sz w:val="12"/>
                <w:szCs w:val="12"/>
                <w:color w:val="auto"/>
              </w:rPr>
              <w:t>Current assets: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142,846</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113,008</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Short term investments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19,200</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11,500</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receivable, less allowance for losses ($9,109 and $6,390, respectively)</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239,569</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187,907</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Inventories: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Finished products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80,486</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59,365</w:t>
            </w:r>
          </w:p>
        </w:tc>
        <w:tc>
          <w:tcPr>
            <w:tcW w:w="0" w:type="dxa"/>
            <w:vAlign w:val="bottom"/>
          </w:tcPr>
          <w:p>
            <w:pPr>
              <w:spacing w:after="0"/>
              <w:rPr>
                <w:sz w:val="1"/>
                <w:szCs w:val="1"/>
                <w:color w:val="auto"/>
              </w:rPr>
            </w:pPr>
          </w:p>
        </w:tc>
      </w:tr>
      <w:tr>
        <w:trPr>
          <w:trHeight w:val="147"/>
        </w:trPr>
        <w:tc>
          <w:tcPr>
            <w:tcW w:w="8200" w:type="dxa"/>
            <w:vAlign w:val="bottom"/>
          </w:tcPr>
          <w:p>
            <w:pPr>
              <w:ind w:left="240"/>
              <w:spacing w:after="0"/>
              <w:rPr>
                <w:sz w:val="20"/>
                <w:szCs w:val="20"/>
                <w:color w:val="auto"/>
              </w:rPr>
            </w:pPr>
            <w:r>
              <w:rPr>
                <w:rFonts w:ascii="Arial" w:cs="Arial" w:eastAsia="Arial" w:hAnsi="Arial"/>
                <w:sz w:val="12"/>
                <w:szCs w:val="12"/>
                <w:color w:val="auto"/>
              </w:rPr>
              <w:t>Work-in-process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21,309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12,850</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Raw materials and supplies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37,983</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37,702</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340"/>
              <w:spacing w:after="0"/>
              <w:rPr>
                <w:sz w:val="20"/>
                <w:szCs w:val="20"/>
                <w:color w:val="auto"/>
              </w:rPr>
            </w:pPr>
            <w:r>
              <w:rPr>
                <w:rFonts w:ascii="Arial" w:cs="Arial" w:eastAsia="Arial" w:hAnsi="Arial"/>
                <w:sz w:val="12"/>
                <w:szCs w:val="12"/>
                <w:color w:val="auto"/>
              </w:rPr>
              <w:t>Total inventories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139,778</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109,917</w:t>
            </w:r>
          </w:p>
        </w:tc>
        <w:tc>
          <w:tcPr>
            <w:tcW w:w="0" w:type="dxa"/>
            <w:vAlign w:val="bottom"/>
          </w:tcPr>
          <w:p>
            <w:pPr>
              <w:spacing w:after="0"/>
              <w:rPr>
                <w:sz w:val="1"/>
                <w:szCs w:val="1"/>
                <w:color w:val="auto"/>
              </w:rPr>
            </w:pPr>
          </w:p>
        </w:tc>
      </w:tr>
      <w:tr>
        <w:trPr>
          <w:trHeight w:val="150"/>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42,020</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36,825</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240"/>
              <w:spacing w:after="0"/>
              <w:rPr>
                <w:sz w:val="20"/>
                <w:szCs w:val="20"/>
                <w:color w:val="auto"/>
              </w:rPr>
            </w:pPr>
            <w:r>
              <w:rPr>
                <w:rFonts w:ascii="Arial" w:cs="Arial" w:eastAsia="Arial" w:hAnsi="Arial"/>
                <w:sz w:val="12"/>
                <w:szCs w:val="12"/>
                <w:color w:val="auto"/>
              </w:rPr>
              <w:t>Total current assets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583,413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459,157</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737,450</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587,642</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intangibles assets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149,761</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134,111</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Deferred income taxes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32,508</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34,135</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21,111</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10,235</w:t>
            </w:r>
          </w:p>
        </w:tc>
        <w:tc>
          <w:tcPr>
            <w:tcW w:w="0" w:type="dxa"/>
            <w:vAlign w:val="bottom"/>
          </w:tcPr>
          <w:p>
            <w:pPr>
              <w:spacing w:after="0"/>
              <w:rPr>
                <w:sz w:val="1"/>
                <w:szCs w:val="1"/>
                <w:color w:val="auto"/>
              </w:rPr>
            </w:pPr>
          </w:p>
        </w:tc>
      </w:tr>
      <w:tr>
        <w:trPr>
          <w:trHeight w:val="147"/>
        </w:trPr>
        <w:tc>
          <w:tcPr>
            <w:tcW w:w="8200" w:type="dxa"/>
            <w:vAlign w:val="bottom"/>
          </w:tcPr>
          <w:p>
            <w:pPr>
              <w:spacing w:after="0"/>
              <w:rPr>
                <w:sz w:val="20"/>
                <w:szCs w:val="20"/>
                <w:color w:val="auto"/>
              </w:rPr>
            </w:pPr>
            <w:r>
              <w:rPr>
                <w:rFonts w:ascii="Arial" w:cs="Arial" w:eastAsia="Arial" w:hAnsi="Arial"/>
                <w:sz w:val="12"/>
                <w:szCs w:val="12"/>
                <w:color w:val="auto"/>
              </w:rPr>
              <w:t>Property, plant and equipment: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tcPr>
          <w:p>
            <w:pPr>
              <w:ind w:left="240"/>
              <w:spacing w:after="0"/>
              <w:rPr>
                <w:sz w:val="20"/>
                <w:szCs w:val="20"/>
                <w:color w:val="auto"/>
              </w:rPr>
            </w:pPr>
            <w:r>
              <w:rPr>
                <w:rFonts w:ascii="Arial" w:cs="Arial" w:eastAsia="Arial" w:hAnsi="Arial"/>
                <w:sz w:val="12"/>
                <w:szCs w:val="12"/>
                <w:color w:val="auto"/>
              </w:rPr>
              <w:t>Land</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6,332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6,548</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Buildings and improvements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90,688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78,418</w:t>
            </w:r>
          </w:p>
        </w:tc>
        <w:tc>
          <w:tcPr>
            <w:tcW w:w="0" w:type="dxa"/>
            <w:vAlign w:val="bottom"/>
          </w:tcPr>
          <w:p>
            <w:pPr>
              <w:spacing w:after="0"/>
              <w:rPr>
                <w:sz w:val="1"/>
                <w:szCs w:val="1"/>
                <w:color w:val="auto"/>
              </w:rPr>
            </w:pPr>
          </w:p>
        </w:tc>
      </w:tr>
      <w:tr>
        <w:trPr>
          <w:trHeight w:val="147"/>
        </w:trPr>
        <w:tc>
          <w:tcPr>
            <w:tcW w:w="8200" w:type="dxa"/>
            <w:vAlign w:val="bottom"/>
          </w:tcPr>
          <w:p>
            <w:pPr>
              <w:ind w:left="240"/>
              <w:spacing w:after="0"/>
              <w:rPr>
                <w:sz w:val="20"/>
                <w:szCs w:val="20"/>
                <w:color w:val="auto"/>
              </w:rPr>
            </w:pPr>
            <w:r>
              <w:rPr>
                <w:rFonts w:ascii="Arial" w:cs="Arial" w:eastAsia="Arial" w:hAnsi="Arial"/>
                <w:sz w:val="12"/>
                <w:szCs w:val="12"/>
                <w:color w:val="auto"/>
              </w:rPr>
              <w:t>Machinery and equipment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248,356</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198,426</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Construction in progress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18,107</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12,098</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363,483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295,490</w:t>
            </w:r>
          </w:p>
        </w:tc>
        <w:tc>
          <w:tcPr>
            <w:tcW w:w="0" w:type="dxa"/>
            <w:vAlign w:val="bottom"/>
          </w:tcPr>
          <w:p>
            <w:pPr>
              <w:spacing w:after="0"/>
              <w:rPr>
                <w:sz w:val="1"/>
                <w:szCs w:val="1"/>
                <w:color w:val="auto"/>
              </w:rPr>
            </w:pPr>
          </w:p>
        </w:tc>
      </w:tr>
      <w:tr>
        <w:trPr>
          <w:trHeight w:val="150"/>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Less accumulated depreciation</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188,869</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155,584</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340"/>
              <w:spacing w:after="0"/>
              <w:rPr>
                <w:sz w:val="20"/>
                <w:szCs w:val="20"/>
                <w:color w:val="auto"/>
              </w:rPr>
            </w:pPr>
            <w:r>
              <w:rPr>
                <w:rFonts w:ascii="Arial" w:cs="Arial" w:eastAsia="Arial" w:hAnsi="Arial"/>
                <w:sz w:val="12"/>
                <w:szCs w:val="12"/>
                <w:color w:val="auto"/>
              </w:rPr>
              <w:t>Property, plant and equipment — net</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174,614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139,906</w:t>
            </w:r>
          </w:p>
        </w:tc>
        <w:tc>
          <w:tcPr>
            <w:tcW w:w="0" w:type="dxa"/>
            <w:vAlign w:val="bottom"/>
          </w:tcPr>
          <w:p>
            <w:pPr>
              <w:spacing w:after="0"/>
              <w:rPr>
                <w:sz w:val="1"/>
                <w:szCs w:val="1"/>
                <w:color w:val="auto"/>
              </w:rPr>
            </w:pPr>
          </w:p>
        </w:tc>
      </w:tr>
      <w:tr>
        <w:trPr>
          <w:trHeight w:val="22"/>
        </w:trPr>
        <w:tc>
          <w:tcPr>
            <w:tcW w:w="8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1,698,857</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6"/>
              </w:rPr>
              <w:t>1,365,186</w:t>
            </w:r>
          </w:p>
        </w:tc>
        <w:tc>
          <w:tcPr>
            <w:tcW w:w="0" w:type="dxa"/>
            <w:vAlign w:val="bottom"/>
          </w:tcPr>
          <w:p>
            <w:pPr>
              <w:spacing w:after="0"/>
              <w:rPr>
                <w:sz w:val="1"/>
                <w:szCs w:val="1"/>
                <w:color w:val="auto"/>
              </w:rPr>
            </w:pPr>
          </w:p>
        </w:tc>
      </w:tr>
      <w:tr>
        <w:trPr>
          <w:trHeight w:val="273"/>
        </w:trPr>
        <w:tc>
          <w:tcPr>
            <w:tcW w:w="8200" w:type="dxa"/>
            <w:vAlign w:val="bottom"/>
          </w:tcPr>
          <w:p>
            <w:pPr>
              <w:ind w:left="3560"/>
              <w:spacing w:after="0"/>
              <w:rPr>
                <w:sz w:val="20"/>
                <w:szCs w:val="20"/>
                <w:color w:val="auto"/>
              </w:rPr>
            </w:pPr>
            <w:r>
              <w:rPr>
                <w:rFonts w:ascii="Arial" w:cs="Arial" w:eastAsia="Arial" w:hAnsi="Arial"/>
                <w:sz w:val="12"/>
                <w:szCs w:val="12"/>
                <w:b w:val="1"/>
                <w:bCs w:val="1"/>
                <w:color w:val="auto"/>
              </w:rPr>
              <w:t>LIABILITIES AND STOCKHOLDERS’ INVESTMENT</w:t>
            </w:r>
          </w:p>
        </w:tc>
        <w:tc>
          <w:tcPr>
            <w:tcW w:w="14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91,596</w:t>
            </w:r>
          </w:p>
        </w:tc>
        <w:tc>
          <w:tcPr>
            <w:tcW w:w="30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78,585</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Wages and amounts withheld from employees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73,622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61,778</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Taxes, other than income taxes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8,461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6,231</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income taxes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24,677</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25,243</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Other current liabilities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60,254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46,763</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Short-term borrowings and current maturities on long-term obligations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21,444</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340"/>
              <w:spacing w:after="0"/>
              <w:rPr>
                <w:sz w:val="20"/>
                <w:szCs w:val="20"/>
                <w:color w:val="auto"/>
              </w:rPr>
            </w:pPr>
            <w:r>
              <w:rPr>
                <w:rFonts w:ascii="Arial" w:cs="Arial" w:eastAsia="Arial" w:hAnsi="Arial"/>
                <w:sz w:val="12"/>
                <w:szCs w:val="12"/>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280,054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218,620</w:t>
            </w:r>
          </w:p>
        </w:tc>
        <w:tc>
          <w:tcPr>
            <w:tcW w:w="0" w:type="dxa"/>
            <w:vAlign w:val="bottom"/>
          </w:tcPr>
          <w:p>
            <w:pPr>
              <w:spacing w:after="0"/>
              <w:rPr>
                <w:sz w:val="1"/>
                <w:szCs w:val="1"/>
                <w:color w:val="auto"/>
              </w:rPr>
            </w:pPr>
          </w:p>
        </w:tc>
      </w:tr>
      <w:tr>
        <w:trPr>
          <w:trHeight w:val="150"/>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Long-term obligations, less current maturities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478,575</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350,018</w:t>
            </w:r>
          </w:p>
        </w:tc>
        <w:tc>
          <w:tcPr>
            <w:tcW w:w="0" w:type="dxa"/>
            <w:vAlign w:val="bottom"/>
          </w:tcPr>
          <w:p>
            <w:pPr>
              <w:spacing w:after="0"/>
              <w:rPr>
                <w:sz w:val="1"/>
                <w:szCs w:val="1"/>
                <w:color w:val="auto"/>
              </w:rPr>
            </w:pPr>
          </w:p>
        </w:tc>
      </w:tr>
      <w:tr>
        <w:trPr>
          <w:trHeight w:val="147"/>
        </w:trPr>
        <w:tc>
          <w:tcPr>
            <w:tcW w:w="8200" w:type="dxa"/>
            <w:vAlign w:val="bottom"/>
          </w:tcPr>
          <w:p>
            <w:pPr>
              <w:spacing w:after="0"/>
              <w:rPr>
                <w:sz w:val="20"/>
                <w:szCs w:val="20"/>
                <w:color w:val="auto"/>
              </w:rPr>
            </w:pPr>
            <w:r>
              <w:rPr>
                <w:rFonts w:ascii="Arial" w:cs="Arial" w:eastAsia="Arial" w:hAnsi="Arial"/>
                <w:sz w:val="12"/>
                <w:szCs w:val="12"/>
                <w:color w:val="auto"/>
              </w:rPr>
              <w:t>Other liabilities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49,216</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50,502</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Total 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807,845</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619,140</w:t>
            </w:r>
          </w:p>
        </w:tc>
        <w:tc>
          <w:tcPr>
            <w:tcW w:w="0" w:type="dxa"/>
            <w:vAlign w:val="bottom"/>
          </w:tcPr>
          <w:p>
            <w:pPr>
              <w:spacing w:after="0"/>
              <w:rPr>
                <w:sz w:val="1"/>
                <w:szCs w:val="1"/>
                <w:color w:val="auto"/>
              </w:rPr>
            </w:pPr>
          </w:p>
        </w:tc>
      </w:tr>
      <w:tr>
        <w:trPr>
          <w:trHeight w:val="144"/>
        </w:trPr>
        <w:tc>
          <w:tcPr>
            <w:tcW w:w="8200" w:type="dxa"/>
            <w:vAlign w:val="bottom"/>
          </w:tcPr>
          <w:p>
            <w:pPr>
              <w:spacing w:after="0"/>
              <w:rPr>
                <w:sz w:val="20"/>
                <w:szCs w:val="20"/>
                <w:color w:val="auto"/>
              </w:rPr>
            </w:pPr>
            <w:r>
              <w:rPr>
                <w:rFonts w:ascii="Arial" w:cs="Arial" w:eastAsia="Arial" w:hAnsi="Arial"/>
                <w:sz w:val="12"/>
                <w:szCs w:val="12"/>
                <w:color w:val="auto"/>
              </w:rPr>
              <w:t>Stockholders’ investment:</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200" w:type="dxa"/>
            <w:vAlign w:val="bottom"/>
          </w:tcPr>
          <w:p>
            <w:pPr>
              <w:ind w:left="240"/>
              <w:spacing w:after="0"/>
              <w:rPr>
                <w:sz w:val="20"/>
                <w:szCs w:val="20"/>
                <w:color w:val="auto"/>
              </w:rPr>
            </w:pPr>
            <w:r>
              <w:rPr>
                <w:rFonts w:ascii="Arial" w:cs="Arial" w:eastAsia="Arial" w:hAnsi="Arial"/>
                <w:sz w:val="12"/>
                <w:szCs w:val="12"/>
                <w:color w:val="auto"/>
                <w:w w:val="91"/>
              </w:rPr>
              <w:t>Class A Nonvoting — Issued 50,586,524 and 50,481,743 shares, respectively (aggregate liquidation preference of $42,240 and $42,152 at July 31, 2007 and 2006,</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8200" w:type="dxa"/>
            <w:vAlign w:val="bottom"/>
          </w:tcPr>
          <w:p>
            <w:pPr>
              <w:ind w:left="340"/>
              <w:spacing w:after="0"/>
              <w:rPr>
                <w:sz w:val="20"/>
                <w:szCs w:val="20"/>
                <w:color w:val="auto"/>
              </w:rPr>
            </w:pPr>
            <w:r>
              <w:rPr>
                <w:rFonts w:ascii="Arial" w:cs="Arial" w:eastAsia="Arial" w:hAnsi="Arial"/>
                <w:sz w:val="12"/>
                <w:szCs w:val="12"/>
                <w:color w:val="auto"/>
              </w:rPr>
              <w:t>respectively)</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506</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505</w:t>
            </w:r>
          </w:p>
        </w:tc>
        <w:tc>
          <w:tcPr>
            <w:tcW w:w="0" w:type="dxa"/>
            <w:vAlign w:val="bottom"/>
          </w:tcPr>
          <w:p>
            <w:pPr>
              <w:spacing w:after="0"/>
              <w:rPr>
                <w:sz w:val="1"/>
                <w:szCs w:val="1"/>
                <w:color w:val="auto"/>
              </w:rPr>
            </w:pPr>
          </w:p>
        </w:tc>
      </w:tr>
      <w:tr>
        <w:trPr>
          <w:trHeight w:val="150"/>
        </w:trPr>
        <w:tc>
          <w:tcPr>
            <w:tcW w:w="8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Class B Voting — Issued and outstanding 3,538,628 shares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266,203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258,922</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Earnings retained in the business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540,238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460,991</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Treasury stock — 0 and 292,901 shares, respectively of Class A nonvoting common stock, at cost</w:t>
            </w:r>
          </w:p>
        </w:tc>
        <w:tc>
          <w:tcPr>
            <w:tcW w:w="140" w:type="dxa"/>
            <w:vAlign w:val="bottom"/>
          </w:tcPr>
          <w:p>
            <w:pPr>
              <w:spacing w:after="0"/>
              <w:rPr>
                <w:sz w:val="12"/>
                <w:szCs w:val="12"/>
                <w:color w:val="auto"/>
              </w:rPr>
            </w:pPr>
          </w:p>
        </w:tc>
        <w:tc>
          <w:tcPr>
            <w:tcW w:w="860" w:type="dxa"/>
            <w:vAlign w:val="bottom"/>
            <w:gridSpan w:val="2"/>
          </w:tcPr>
          <w:p>
            <w:pPr>
              <w:jc w:val="right"/>
              <w:ind w:right="248"/>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(10,865)</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income</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83,376</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35,696</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Other</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654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762</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Total stockholders’ investment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891,012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746,046</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vMerge w:val="continue"/>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1,698,857</w:t>
            </w:r>
          </w:p>
        </w:tc>
        <w:tc>
          <w:tcPr>
            <w:tcW w:w="30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w w:val="86"/>
              </w:rPr>
              <w:t>1,365,186</w:t>
            </w:r>
          </w:p>
        </w:tc>
        <w:tc>
          <w:tcPr>
            <w:tcW w:w="0" w:type="dxa"/>
            <w:vAlign w:val="bottom"/>
          </w:tcPr>
          <w:p>
            <w:pPr>
              <w:spacing w:after="0"/>
              <w:rPr>
                <w:sz w:val="1"/>
                <w:szCs w:val="1"/>
                <w:color w:val="auto"/>
              </w:rPr>
            </w:pPr>
          </w:p>
        </w:tc>
      </w:tr>
      <w:tr>
        <w:trPr>
          <w:trHeight w:val="32"/>
        </w:trPr>
        <w:tc>
          <w:tcPr>
            <w:tcW w:w="8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CONSOLIDATED STATEMENTS OF INCOME</w:t>
      </w:r>
    </w:p>
    <w:p>
      <w:pPr>
        <w:spacing w:after="0" w:line="19"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Years Ended July 31, 2007, 2006 and 2005</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2007</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4"/>
              </w:rPr>
              <w:t>thousands,</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5"/>
              <w:spacing w:after="0"/>
              <w:rPr>
                <w:sz w:val="20"/>
                <w:szCs w:val="20"/>
                <w:color w:val="auto"/>
              </w:rPr>
            </w:pPr>
            <w:r>
              <w:rPr>
                <w:rFonts w:ascii="Arial" w:cs="Arial" w:eastAsia="Arial" w:hAnsi="Arial"/>
                <w:sz w:val="10"/>
                <w:szCs w:val="10"/>
                <w:b w:val="1"/>
                <w:bCs w:val="1"/>
                <w:color w:val="auto"/>
              </w:rPr>
              <w:t>2006</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4"/>
              </w:rPr>
              <w:t>amounts)</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vMerge w:val="continue"/>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except per share</w:t>
            </w:r>
          </w:p>
        </w:tc>
        <w:tc>
          <w:tcPr>
            <w:tcW w:w="4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sales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1,362,631</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1,018,436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816,447</w:t>
            </w:r>
          </w:p>
        </w:tc>
        <w:tc>
          <w:tcPr>
            <w:tcW w:w="0" w:type="dxa"/>
            <w:vAlign w:val="bottom"/>
          </w:tcPr>
          <w:p>
            <w:pPr>
              <w:spacing w:after="0"/>
              <w:rPr>
                <w:sz w:val="1"/>
                <w:szCs w:val="1"/>
                <w:color w:val="auto"/>
              </w:rPr>
            </w:pPr>
          </w:p>
        </w:tc>
      </w:tr>
      <w:tr>
        <w:trPr>
          <w:trHeight w:val="157"/>
        </w:trPr>
        <w:tc>
          <w:tcPr>
            <w:tcW w:w="6800" w:type="dxa"/>
            <w:vAlign w:val="bottom"/>
            <w:gridSpan w:val="2"/>
          </w:tcPr>
          <w:p>
            <w:pPr>
              <w:ind w:left="140"/>
              <w:spacing w:after="0"/>
              <w:rPr>
                <w:sz w:val="20"/>
                <w:szCs w:val="20"/>
                <w:color w:val="auto"/>
              </w:rPr>
            </w:pPr>
            <w:r>
              <w:rPr>
                <w:rFonts w:ascii="Arial" w:cs="Arial" w:eastAsia="Arial" w:hAnsi="Arial"/>
                <w:sz w:val="13"/>
                <w:szCs w:val="13"/>
                <w:color w:val="auto"/>
              </w:rPr>
              <w:t>Cost of products sold</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705,587</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492,681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383,171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Gross margin</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657,044</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525,755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433,276</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35,954</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30,443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25,078</w:t>
            </w:r>
          </w:p>
        </w:tc>
        <w:tc>
          <w:tcPr>
            <w:tcW w:w="0" w:type="dxa"/>
            <w:vAlign w:val="bottom"/>
          </w:tcPr>
          <w:p>
            <w:pPr>
              <w:spacing w:after="0"/>
              <w:rPr>
                <w:sz w:val="1"/>
                <w:szCs w:val="1"/>
                <w:color w:val="auto"/>
              </w:rPr>
            </w:pPr>
          </w:p>
        </w:tc>
      </w:tr>
      <w:tr>
        <w:trPr>
          <w:trHeight w:val="157"/>
        </w:trPr>
        <w:tc>
          <w:tcPr>
            <w:tcW w:w="6800" w:type="dxa"/>
            <w:vAlign w:val="bottom"/>
            <w:gridSpan w:val="2"/>
          </w:tcPr>
          <w:p>
            <w:pPr>
              <w:ind w:left="140"/>
              <w:spacing w:after="0"/>
              <w:rPr>
                <w:sz w:val="20"/>
                <w:szCs w:val="20"/>
                <w:color w:val="auto"/>
              </w:rPr>
            </w:pPr>
            <w:r>
              <w:rPr>
                <w:rFonts w:ascii="Arial" w:cs="Arial" w:eastAsia="Arial" w:hAnsi="Arial"/>
                <w:sz w:val="13"/>
                <w:szCs w:val="13"/>
                <w:color w:val="auto"/>
              </w:rPr>
              <w:t>Selling, general and administrative</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449,103</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338,796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285,746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485,057</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369,239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310,824</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3"/>
                <w:szCs w:val="13"/>
                <w:color w:val="auto"/>
              </w:rPr>
              <w:t>Operating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171,987</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156,516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122,452</w:t>
            </w:r>
          </w:p>
        </w:tc>
        <w:tc>
          <w:tcPr>
            <w:tcW w:w="0" w:type="dxa"/>
            <w:vAlign w:val="bottom"/>
          </w:tcPr>
          <w:p>
            <w:pPr>
              <w:spacing w:after="0"/>
              <w:rPr>
                <w:sz w:val="1"/>
                <w:szCs w:val="1"/>
                <w:color w:val="auto"/>
              </w:rPr>
            </w:pPr>
          </w:p>
        </w:tc>
      </w:tr>
      <w:tr>
        <w:trPr>
          <w:trHeight w:val="158"/>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0" w:type="dxa"/>
            <w:vAlign w:val="bottom"/>
            <w:gridSpan w:val="2"/>
          </w:tcPr>
          <w:p>
            <w:pPr>
              <w:ind w:left="140"/>
              <w:spacing w:after="0"/>
              <w:rPr>
                <w:sz w:val="20"/>
                <w:szCs w:val="20"/>
                <w:color w:val="auto"/>
              </w:rPr>
            </w:pPr>
            <w:r>
              <w:rPr>
                <w:rFonts w:ascii="Arial" w:cs="Arial" w:eastAsia="Arial" w:hAnsi="Arial"/>
                <w:sz w:val="13"/>
                <w:szCs w:val="13"/>
                <w:color w:val="auto"/>
              </w:rPr>
              <w:t>Investment and other income — net</w:t>
            </w:r>
          </w:p>
        </w:tc>
        <w:tc>
          <w:tcPr>
            <w:tcW w:w="180" w:type="dxa"/>
            <w:vAlign w:val="bottom"/>
          </w:tcPr>
          <w:p>
            <w:pPr>
              <w:spacing w:after="0"/>
              <w:rPr>
                <w:sz w:val="13"/>
                <w:szCs w:val="13"/>
                <w:color w:val="auto"/>
              </w:rPr>
            </w:pPr>
          </w:p>
        </w:tc>
        <w:tc>
          <w:tcPr>
            <w:tcW w:w="1020" w:type="dxa"/>
            <w:vAlign w:val="bottom"/>
            <w:gridSpan w:val="2"/>
          </w:tcPr>
          <w:p>
            <w:pPr>
              <w:jc w:val="right"/>
              <w:ind w:right="333"/>
              <w:spacing w:after="0"/>
              <w:rPr>
                <w:sz w:val="20"/>
                <w:szCs w:val="20"/>
                <w:color w:val="auto"/>
              </w:rPr>
            </w:pPr>
            <w:r>
              <w:rPr>
                <w:rFonts w:ascii="Arial" w:cs="Arial" w:eastAsia="Arial" w:hAnsi="Arial"/>
                <w:sz w:val="13"/>
                <w:szCs w:val="13"/>
                <w:color w:val="auto"/>
              </w:rPr>
              <w:t>2,875</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2,403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1,369</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(22,934)</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(14,231)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(8,403)</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280"/>
              <w:spacing w:after="0"/>
              <w:rPr>
                <w:sz w:val="20"/>
                <w:szCs w:val="20"/>
                <w:color w:val="auto"/>
              </w:rPr>
            </w:pPr>
            <w:r>
              <w:rPr>
                <w:rFonts w:ascii="Arial" w:cs="Arial" w:eastAsia="Arial" w:hAnsi="Arial"/>
                <w:sz w:val="13"/>
                <w:szCs w:val="13"/>
                <w:color w:val="auto"/>
              </w:rPr>
              <w:t>Net other expense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293"/>
              <w:spacing w:after="0"/>
              <w:rPr>
                <w:sz w:val="20"/>
                <w:szCs w:val="20"/>
                <w:color w:val="auto"/>
              </w:rPr>
            </w:pPr>
            <w:r>
              <w:rPr>
                <w:rFonts w:ascii="Arial" w:cs="Arial" w:eastAsia="Arial" w:hAnsi="Arial"/>
                <w:sz w:val="13"/>
                <w:szCs w:val="13"/>
                <w:color w:val="auto"/>
              </w:rPr>
              <w:t>(20,059)</w:t>
            </w:r>
          </w:p>
        </w:tc>
        <w:tc>
          <w:tcPr>
            <w:tcW w:w="180" w:type="dxa"/>
            <w:vAlign w:val="bottom"/>
          </w:tcPr>
          <w:p>
            <w:pPr>
              <w:spacing w:after="0"/>
              <w:rPr>
                <w:sz w:val="13"/>
                <w:szCs w:val="13"/>
                <w:color w:val="auto"/>
              </w:rPr>
            </w:pPr>
          </w:p>
        </w:tc>
        <w:tc>
          <w:tcPr>
            <w:tcW w:w="1020" w:type="dxa"/>
            <w:vAlign w:val="bottom"/>
            <w:gridSpan w:val="2"/>
          </w:tcPr>
          <w:p>
            <w:pPr>
              <w:jc w:val="right"/>
              <w:ind w:right="308"/>
              <w:spacing w:after="0"/>
              <w:rPr>
                <w:sz w:val="20"/>
                <w:szCs w:val="20"/>
                <w:color w:val="auto"/>
              </w:rPr>
            </w:pPr>
            <w:r>
              <w:rPr>
                <w:rFonts w:ascii="Arial" w:cs="Arial" w:eastAsia="Arial" w:hAnsi="Arial"/>
                <w:sz w:val="13"/>
                <w:szCs w:val="13"/>
                <w:color w:val="auto"/>
              </w:rPr>
              <w:t>(11,828)</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(7,034)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151,928</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144,688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115,418</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Income taxes</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42,540</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40,513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33,471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109,388</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104,175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81,947</w:t>
            </w:r>
          </w:p>
        </w:tc>
        <w:tc>
          <w:tcPr>
            <w:tcW w:w="0" w:type="dxa"/>
            <w:vAlign w:val="bottom"/>
          </w:tcPr>
          <w:p>
            <w:pPr>
              <w:spacing w:after="0"/>
              <w:rPr>
                <w:sz w:val="1"/>
                <w:szCs w:val="1"/>
                <w:color w:val="auto"/>
              </w:rPr>
            </w:pPr>
          </w:p>
        </w:tc>
      </w:tr>
      <w:tr>
        <w:trPr>
          <w:trHeight w:val="166"/>
        </w:trPr>
        <w:tc>
          <w:tcPr>
            <w:tcW w:w="6800" w:type="dxa"/>
            <w:vAlign w:val="bottom"/>
            <w:gridSpan w:val="2"/>
          </w:tcPr>
          <w:p>
            <w:pPr>
              <w:spacing w:after="0"/>
              <w:rPr>
                <w:sz w:val="20"/>
                <w:szCs w:val="20"/>
                <w:color w:val="auto"/>
              </w:rPr>
            </w:pPr>
            <w:r>
              <w:rPr>
                <w:rFonts w:ascii="Arial" w:cs="Arial" w:eastAsia="Arial" w:hAnsi="Arial"/>
                <w:sz w:val="13"/>
                <w:szCs w:val="13"/>
                <w:color w:val="auto"/>
              </w:rPr>
              <w:t>Net income per common share(1):</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Class A Nonvoting:</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2.03</w:t>
            </w:r>
          </w:p>
        </w:tc>
        <w:tc>
          <w:tcPr>
            <w:tcW w:w="38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2.10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29"/>
        </w:trPr>
        <w:tc>
          <w:tcPr>
            <w:tcW w:w="68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Dividends</w:t>
            </w: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0" w:type="dxa"/>
            <w:vAlign w:val="bottom"/>
            <w:gridSpan w:val="2"/>
            <w:vMerge w:val="continue"/>
          </w:tcPr>
          <w:p>
            <w:pPr>
              <w:spacing w:after="0"/>
              <w:rPr>
                <w:sz w:val="15"/>
                <w:szCs w:val="15"/>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0.56</w:t>
            </w:r>
          </w:p>
        </w:tc>
        <w:tc>
          <w:tcPr>
            <w:tcW w:w="38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0.52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0.44</w:t>
            </w:r>
          </w:p>
        </w:tc>
        <w:tc>
          <w:tcPr>
            <w:tcW w:w="0" w:type="dxa"/>
            <w:vAlign w:val="bottom"/>
          </w:tcPr>
          <w:p>
            <w:pPr>
              <w:spacing w:after="0"/>
              <w:rPr>
                <w:sz w:val="1"/>
                <w:szCs w:val="1"/>
                <w:color w:val="auto"/>
              </w:rPr>
            </w:pPr>
          </w:p>
        </w:tc>
      </w:tr>
      <w:tr>
        <w:trPr>
          <w:trHeight w:val="165"/>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Class B Voting:</w:t>
            </w: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2.01</w:t>
            </w:r>
          </w:p>
        </w:tc>
        <w:tc>
          <w:tcPr>
            <w:tcW w:w="38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2.09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29"/>
        </w:trPr>
        <w:tc>
          <w:tcPr>
            <w:tcW w:w="68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Dividends</w:t>
            </w: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0" w:type="dxa"/>
            <w:vAlign w:val="bottom"/>
            <w:gridSpan w:val="2"/>
            <w:vMerge w:val="continue"/>
          </w:tcPr>
          <w:p>
            <w:pPr>
              <w:spacing w:after="0"/>
              <w:rPr>
                <w:sz w:val="15"/>
                <w:szCs w:val="15"/>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0.54</w:t>
            </w:r>
          </w:p>
        </w:tc>
        <w:tc>
          <w:tcPr>
            <w:tcW w:w="38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0.50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0.42</w:t>
            </w:r>
          </w:p>
        </w:tc>
        <w:tc>
          <w:tcPr>
            <w:tcW w:w="0" w:type="dxa"/>
            <w:vAlign w:val="bottom"/>
          </w:tcPr>
          <w:p>
            <w:pPr>
              <w:spacing w:after="0"/>
              <w:rPr>
                <w:sz w:val="1"/>
                <w:szCs w:val="1"/>
                <w:color w:val="auto"/>
              </w:rPr>
            </w:pPr>
          </w:p>
        </w:tc>
      </w:tr>
      <w:tr>
        <w:trPr>
          <w:trHeight w:val="165"/>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Class A and Class B common shares outstanding(1)</w:t>
            </w: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53,907</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49,494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48,967</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54,741</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50,385</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49,859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5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460" w:right="3760" w:hanging="3520"/>
        <w:spacing w:after="0" w:line="405" w:lineRule="auto"/>
        <w:rPr>
          <w:sz w:val="20"/>
          <w:szCs w:val="20"/>
          <w:color w:val="auto"/>
        </w:rPr>
      </w:pPr>
      <w:r>
        <w:rPr>
          <w:rFonts w:ascii="Arial" w:cs="Arial" w:eastAsia="Arial" w:hAnsi="Arial"/>
          <w:sz w:val="12"/>
          <w:szCs w:val="12"/>
          <w:color w:val="auto"/>
        </w:rPr>
        <w:t>(1) Adjusted for two-for-one stock split in the form of a 100% stock dividend, effective December 31, 2004 See notes to consolidated financial statements.</w:t>
      </w:r>
    </w:p>
    <w:p>
      <w:pPr>
        <w:spacing w:after="0" w:line="1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ind w:left="3540"/>
        <w:spacing w:after="0"/>
        <w:rPr>
          <w:sz w:val="20"/>
          <w:szCs w:val="20"/>
          <w:color w:val="auto"/>
        </w:rPr>
      </w:pPr>
      <w:r>
        <w:rPr>
          <w:rFonts w:ascii="Arial" w:cs="Arial" w:eastAsia="Arial" w:hAnsi="Arial"/>
          <w:sz w:val="13"/>
          <w:szCs w:val="13"/>
          <w:b w:val="1"/>
          <w:bCs w:val="1"/>
          <w:color w:val="auto"/>
        </w:rPr>
        <w:t>CONSOLIDATED STATEMENTS OF STOCKHOLDERS’ INVESTMENT</w:t>
      </w:r>
    </w:p>
    <w:p>
      <w:pPr>
        <w:spacing w:after="0" w:line="19"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Years Ended JULY 31, 2007, 2006 AND 2005</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Additional</w:t>
            </w:r>
          </w:p>
        </w:tc>
        <w:tc>
          <w:tcPr>
            <w:tcW w:w="7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Earnings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2"/>
              </w:rPr>
              <w:t>Accumulated</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Common</w:t>
            </w:r>
          </w:p>
        </w:tc>
        <w:tc>
          <w:tcPr>
            <w:tcW w:w="680" w:type="dxa"/>
            <w:vAlign w:val="bottom"/>
            <w:gridSpan w:val="3"/>
            <w:vMerge w:val="continue"/>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4"/>
              </w:rPr>
              <w:t>Retained</w:t>
            </w: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0"/>
                <w:szCs w:val="10"/>
                <w:b w:val="1"/>
                <w:bCs w:val="1"/>
                <w:color w:val="auto"/>
                <w:w w:val="94"/>
              </w:rPr>
              <w:t>Treasury</w:t>
            </w:r>
          </w:p>
        </w:tc>
        <w:tc>
          <w:tcPr>
            <w:tcW w:w="80" w:type="dxa"/>
            <w:vAlign w:val="bottom"/>
          </w:tcPr>
          <w:p>
            <w:pPr>
              <w:spacing w:after="0"/>
              <w:rPr>
                <w:sz w:val="9"/>
                <w:szCs w:val="9"/>
                <w:color w:val="auto"/>
              </w:rPr>
            </w:pPr>
          </w:p>
        </w:tc>
        <w:tc>
          <w:tcPr>
            <w:tcW w:w="10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7"/>
              </w:rPr>
              <w:t>Other</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60"/>
              <w:spacing w:after="0" w:line="108" w:lineRule="exact"/>
              <w:rPr>
                <w:sz w:val="20"/>
                <w:szCs w:val="20"/>
                <w:color w:val="auto"/>
              </w:rPr>
            </w:pPr>
            <w:r>
              <w:rPr>
                <w:rFonts w:ascii="Arial" w:cs="Arial" w:eastAsia="Arial" w:hAnsi="Arial"/>
                <w:sz w:val="10"/>
                <w:szCs w:val="10"/>
                <w:b w:val="1"/>
                <w:bCs w:val="1"/>
                <w:color w:val="auto"/>
              </w:rPr>
              <w:t>Paid-In</w:t>
            </w:r>
          </w:p>
        </w:tc>
        <w:tc>
          <w:tcPr>
            <w:tcW w:w="7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in the</w:t>
            </w:r>
          </w:p>
        </w:tc>
        <w:tc>
          <w:tcPr>
            <w:tcW w:w="6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Comprehensive</w:t>
            </w:r>
          </w:p>
        </w:tc>
        <w:tc>
          <w:tcPr>
            <w:tcW w:w="60" w:type="dxa"/>
            <w:vAlign w:val="bottom"/>
          </w:tcPr>
          <w:p>
            <w:pPr>
              <w:spacing w:after="0"/>
              <w:rPr>
                <w:sz w:val="9"/>
                <w:szCs w:val="9"/>
                <w:color w:val="auto"/>
              </w:rPr>
            </w:pPr>
          </w:p>
        </w:tc>
        <w:tc>
          <w:tcPr>
            <w:tcW w:w="340" w:type="dxa"/>
            <w:vAlign w:val="bottom"/>
            <w:vMerge w:val="restart"/>
          </w:tcPr>
          <w:p>
            <w:pPr>
              <w:jc w:val="right"/>
              <w:ind w:right="21"/>
              <w:spacing w:after="0"/>
              <w:rPr>
                <w:sz w:val="20"/>
                <w:szCs w:val="20"/>
                <w:color w:val="auto"/>
              </w:rPr>
            </w:pPr>
            <w:r>
              <w:rPr>
                <w:rFonts w:ascii="Arial" w:cs="Arial" w:eastAsia="Arial" w:hAnsi="Arial"/>
                <w:sz w:val="10"/>
                <w:szCs w:val="10"/>
                <w:b w:val="1"/>
                <w:bCs w:val="1"/>
                <w:color w:val="auto"/>
                <w:w w:val="89"/>
              </w:rPr>
              <w:t>Other</w:t>
            </w:r>
          </w:p>
        </w:tc>
        <w:tc>
          <w:tcPr>
            <w:tcW w:w="2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0"/>
              </w:rPr>
              <w:t>Comprehensive</w:t>
            </w: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w w:val="87"/>
              </w:rPr>
              <w:t>Stock</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w w:val="95"/>
              </w:rPr>
              <w:t>Capital</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Business</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7"/>
              </w:rPr>
              <w:t>Stock</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6"/>
              </w:rPr>
              <w:t>Income</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91"/>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gridSpan w:val="8"/>
          </w:tcPr>
          <w:p>
            <w:pPr>
              <w:ind w:left="400"/>
              <w:spacing w:after="0"/>
              <w:rPr>
                <w:sz w:val="20"/>
                <w:szCs w:val="20"/>
                <w:color w:val="auto"/>
              </w:rPr>
            </w:pPr>
            <w:r>
              <w:rPr>
                <w:rFonts w:ascii="Arial" w:cs="Arial" w:eastAsia="Arial" w:hAnsi="Arial"/>
                <w:sz w:val="10"/>
                <w:szCs w:val="10"/>
                <w:b w:val="1"/>
                <w:bCs w:val="1"/>
                <w:color w:val="auto"/>
              </w:rPr>
              <w:t>(In thousands, except per share amounts)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Balances at July 31, 2004</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72,625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9"/>
              </w:rPr>
              <w:t>$ 322,224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(1,074)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9,340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(282)</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600" w:type="dxa"/>
            <w:vAlign w:val="bottom"/>
            <w:vMerge w:val="restart"/>
          </w:tcPr>
          <w:p>
            <w:pPr>
              <w:ind w:left="120"/>
              <w:spacing w:after="0"/>
              <w:rPr>
                <w:sz w:val="20"/>
                <w:szCs w:val="20"/>
                <w:color w:val="auto"/>
              </w:rPr>
            </w:pPr>
            <w:r>
              <w:rPr>
                <w:rFonts w:ascii="Arial" w:cs="Arial" w:eastAsia="Arial" w:hAnsi="Arial"/>
                <w:sz w:val="12"/>
                <w:szCs w:val="12"/>
                <w:color w:val="auto"/>
              </w:rPr>
              <w:t>Net income</w:t>
            </w: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81,947</w:t>
            </w:r>
          </w:p>
        </w:tc>
        <w:tc>
          <w:tcPr>
            <w:tcW w:w="0" w:type="dxa"/>
            <w:vAlign w:val="bottom"/>
          </w:tcPr>
          <w:p>
            <w:pPr>
              <w:spacing w:after="0" w:line="20" w:lineRule="exact"/>
              <w:rPr>
                <w:sz w:val="1"/>
                <w:szCs w:val="1"/>
                <w:color w:val="auto"/>
              </w:rPr>
            </w:pPr>
          </w:p>
        </w:tc>
      </w:tr>
      <w:tr>
        <w:trPr>
          <w:trHeight w:val="155"/>
        </w:trPr>
        <w:tc>
          <w:tcPr>
            <w:tcW w:w="4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81,947</w:t>
            </w:r>
          </w:p>
        </w:tc>
        <w:tc>
          <w:tcPr>
            <w:tcW w:w="8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currency translation adjustment and other</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8,157</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8,157</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20"/>
              <w:spacing w:after="0"/>
              <w:rPr>
                <w:sz w:val="20"/>
                <w:szCs w:val="20"/>
                <w:color w:val="auto"/>
              </w:rPr>
            </w:pPr>
            <w:r>
              <w:rPr>
                <w:rFonts w:ascii="Arial" w:cs="Arial" w:eastAsia="Arial" w:hAnsi="Arial"/>
                <w:sz w:val="12"/>
                <w:szCs w:val="12"/>
                <w:color w:val="auto"/>
              </w:rPr>
              <w:t>Total comprehensive income</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90,104</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1,117,431 shares of Class A Common Stock under stock option plan</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15,722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Other (Note 6)</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(768)</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Tax benefit from exercise of stock options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5,385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Purchase of 16,030 shares of Class A Common Stock</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(501)</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 expense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5,297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Cash dividends on Common Stock:</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Class A — $.44 per share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(19,793)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Class B — $.42 per share</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(1,498)</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Balances at July 31, 2005</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99,029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9"/>
              </w:rPr>
              <w:t>$ 382,880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(1,575)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17,497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4"/>
              </w:rPr>
              <w:t>(1,050)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600" w:type="dxa"/>
            <w:vAlign w:val="bottom"/>
            <w:vMerge w:val="restart"/>
          </w:tcPr>
          <w:p>
            <w:pPr>
              <w:ind w:left="120"/>
              <w:spacing w:after="0"/>
              <w:rPr>
                <w:sz w:val="20"/>
                <w:szCs w:val="20"/>
                <w:color w:val="auto"/>
              </w:rPr>
            </w:pPr>
            <w:r>
              <w:rPr>
                <w:rFonts w:ascii="Arial" w:cs="Arial" w:eastAsia="Arial" w:hAnsi="Arial"/>
                <w:sz w:val="12"/>
                <w:szCs w:val="12"/>
                <w:color w:val="auto"/>
              </w:rPr>
              <w:t>Net income</w:t>
            </w: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104,175</w:t>
            </w:r>
          </w:p>
        </w:tc>
        <w:tc>
          <w:tcPr>
            <w:tcW w:w="0" w:type="dxa"/>
            <w:vAlign w:val="bottom"/>
          </w:tcPr>
          <w:p>
            <w:pPr>
              <w:spacing w:after="0" w:line="20" w:lineRule="exact"/>
              <w:rPr>
                <w:sz w:val="1"/>
                <w:szCs w:val="1"/>
                <w:color w:val="auto"/>
              </w:rPr>
            </w:pPr>
          </w:p>
        </w:tc>
      </w:tr>
      <w:tr>
        <w:trPr>
          <w:trHeight w:val="155"/>
        </w:trPr>
        <w:tc>
          <w:tcPr>
            <w:tcW w:w="4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104,175</w:t>
            </w:r>
          </w:p>
        </w:tc>
        <w:tc>
          <w:tcPr>
            <w:tcW w:w="8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currency translation adjustment and other</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18,199</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18,199</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20"/>
              <w:spacing w:after="0"/>
              <w:rPr>
                <w:sz w:val="20"/>
                <w:szCs w:val="20"/>
                <w:color w:val="auto"/>
              </w:rPr>
            </w:pPr>
            <w:r>
              <w:rPr>
                <w:rFonts w:ascii="Arial" w:cs="Arial" w:eastAsia="Arial" w:hAnsi="Arial"/>
                <w:sz w:val="12"/>
                <w:szCs w:val="12"/>
                <w:color w:val="auto"/>
              </w:rPr>
              <w:t>Total comprehensive income</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122,374</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4,600,000 shares of Class A Common Stock from equity offering</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2"/>
              </w:rPr>
              <w:t>157,699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Issuance of 4,200 shares of Class A Common Stock under stock option plan</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(8,286)</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17,205</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(Note 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1,812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Tax benefit from exercise of stock options</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4,912</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 of 800,000 shares of Class A Common Stock</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3"/>
              </w:rPr>
              <w:t>(26,495)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Stock-based compensation expense</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5,568</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on Common Stock:</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Class A — $.52 per share</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(24,283)</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Class B — $.50 per share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(1,781)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color w:val="auto"/>
              </w:rPr>
              <w:t>Balances at July 31, 2006</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540</w:t>
            </w:r>
          </w:p>
        </w:tc>
        <w:tc>
          <w:tcPr>
            <w:tcW w:w="2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w w:val="92"/>
              </w:rPr>
              <w:t>258,922</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w w:val="89"/>
              </w:rPr>
              <w:t>$ 460,991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w w:val="93"/>
              </w:rPr>
              <w:t>(10,865)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35,696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762</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46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109,388</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109,388</w:t>
            </w: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Net currency translation adjustment and other</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44,256</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44,256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comprehensive income</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153,644</w:t>
            </w:r>
          </w:p>
        </w:tc>
        <w:tc>
          <w:tcPr>
            <w:tcW w:w="0" w:type="dxa"/>
            <w:vAlign w:val="bottom"/>
          </w:tcPr>
          <w:p>
            <w:pPr>
              <w:spacing w:after="0"/>
              <w:rPr>
                <w:sz w:val="1"/>
                <w:szCs w:val="1"/>
                <w:color w:val="auto"/>
              </w:rPr>
            </w:pPr>
          </w:p>
        </w:tc>
      </w:tr>
      <w:tr>
        <w:trPr>
          <w:trHeight w:val="155"/>
        </w:trPr>
        <w:tc>
          <w:tcPr>
            <w:tcW w:w="4600" w:type="dxa"/>
            <w:vAlign w:val="bottom"/>
          </w:tcPr>
          <w:p>
            <w:pPr>
              <w:ind w:left="120"/>
              <w:spacing w:after="0"/>
              <w:rPr>
                <w:sz w:val="20"/>
                <w:szCs w:val="20"/>
                <w:color w:val="auto"/>
              </w:rPr>
            </w:pPr>
            <w:r>
              <w:rPr>
                <w:rFonts w:ascii="Arial" w:cs="Arial" w:eastAsia="Arial" w:hAnsi="Arial"/>
                <w:sz w:val="12"/>
                <w:szCs w:val="12"/>
                <w:color w:val="auto"/>
              </w:rPr>
              <w:t>Issuance of 104,781 shares of Class A Common Stock under stock option plan</w:t>
            </w: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(4,037)</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10,865</w:t>
            </w:r>
          </w:p>
        </w:tc>
        <w:tc>
          <w:tcPr>
            <w:tcW w:w="8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(Note 6)</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Tax benefit from exercise of stock options and deferred compensation distributions</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4,303</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 expense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6,907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Adjustment to adopt SFAS No. 158, net of tax of $1,551</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3,424</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on Common Stock:</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Class A — $.56 per share</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(28,218)</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Class B — $.54 per share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(1,923)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color w:val="auto"/>
              </w:rPr>
              <w:t>Balances at July 31, 2007</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541</w:t>
            </w:r>
          </w:p>
        </w:tc>
        <w:tc>
          <w:tcPr>
            <w:tcW w:w="2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w w:val="92"/>
              </w:rPr>
              <w:t>266,203</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w w:val="89"/>
              </w:rPr>
              <w:t>$ 540,238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83,376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654</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82359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Adjusted for two-for-one stock split in the form of a 100% stock dividend, effective December 31, 2004.</w:t>
      </w:r>
    </w:p>
    <w:p>
      <w:pPr>
        <w:spacing w:after="0" w:line="29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Years Ended July 31, 2007, 2006 and 2005</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4"/>
          </w:tcPr>
          <w:p>
            <w:pPr>
              <w:jc w:val="center"/>
              <w:spacing w:after="0"/>
              <w:rPr>
                <w:sz w:val="20"/>
                <w:szCs w:val="20"/>
                <w:color w:val="auto"/>
              </w:rPr>
            </w:pPr>
            <w:r>
              <w:rPr>
                <w:rFonts w:ascii="Arial" w:cs="Arial" w:eastAsia="Arial" w:hAnsi="Arial"/>
                <w:sz w:val="10"/>
                <w:szCs w:val="10"/>
                <w:b w:val="1"/>
                <w:bCs w:val="1"/>
                <w:color w:val="auto"/>
                <w:w w:val="92"/>
              </w:rPr>
              <w:t>(Dollars in thousands)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Operating activities: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28"/>
              <w:spacing w:after="0"/>
              <w:rPr>
                <w:sz w:val="20"/>
                <w:szCs w:val="20"/>
                <w:color w:val="auto"/>
              </w:rPr>
            </w:pPr>
            <w:r>
              <w:rPr>
                <w:rFonts w:ascii="Arial" w:cs="Arial" w:eastAsia="Arial" w:hAnsi="Arial"/>
                <w:sz w:val="12"/>
                <w:szCs w:val="12"/>
                <w:color w:val="auto"/>
              </w:rPr>
              <w:t>109,388</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104,175</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81,947</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120" w:type="dxa"/>
            <w:vAlign w:val="bottom"/>
          </w:tcPr>
          <w:p>
            <w:pPr>
              <w:spacing w:after="0"/>
              <w:rPr>
                <w:sz w:val="12"/>
                <w:szCs w:val="12"/>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2"/>
                <w:szCs w:val="12"/>
                <w:color w:val="auto"/>
              </w:rPr>
              <w:t>53,856</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35,144</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26,822</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Gain on foreign currency contract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(1,516)</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700" w:type="dxa"/>
            <w:vAlign w:val="bottom"/>
          </w:tcPr>
          <w:p>
            <w:pPr>
              <w:ind w:left="240"/>
              <w:spacing w:after="0"/>
              <w:rPr>
                <w:sz w:val="20"/>
                <w:szCs w:val="20"/>
                <w:color w:val="auto"/>
              </w:rPr>
            </w:pPr>
            <w:r>
              <w:rPr>
                <w:rFonts w:ascii="Arial" w:cs="Arial" w:eastAsia="Arial" w:hAnsi="Arial"/>
                <w:sz w:val="12"/>
                <w:szCs w:val="12"/>
                <w:color w:val="auto"/>
              </w:rPr>
              <w:t>Income tax benefit from the exercise of stock options</w:t>
            </w:r>
          </w:p>
        </w:tc>
        <w:tc>
          <w:tcPr>
            <w:tcW w:w="120" w:type="dxa"/>
            <w:vAlign w:val="bottom"/>
          </w:tcPr>
          <w:p>
            <w:pPr>
              <w:spacing w:after="0"/>
              <w:rPr>
                <w:sz w:val="12"/>
                <w:szCs w:val="12"/>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5,385</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income taxes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70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(1,843)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(2,653)</w:t>
            </w:r>
          </w:p>
        </w:tc>
        <w:tc>
          <w:tcPr>
            <w:tcW w:w="0" w:type="dxa"/>
            <w:vAlign w:val="bottom"/>
          </w:tcPr>
          <w:p>
            <w:pPr>
              <w:spacing w:after="0"/>
              <w:rPr>
                <w:sz w:val="1"/>
                <w:szCs w:val="1"/>
                <w:color w:val="auto"/>
              </w:rPr>
            </w:pPr>
          </w:p>
        </w:tc>
      </w:tr>
      <w:tr>
        <w:trPr>
          <w:trHeight w:val="147"/>
        </w:trPr>
        <w:tc>
          <w:tcPr>
            <w:tcW w:w="7700" w:type="dxa"/>
            <w:vAlign w:val="bottom"/>
          </w:tcPr>
          <w:p>
            <w:pPr>
              <w:ind w:left="240"/>
              <w:spacing w:after="0"/>
              <w:rPr>
                <w:sz w:val="20"/>
                <w:szCs w:val="20"/>
                <w:color w:val="auto"/>
              </w:rPr>
            </w:pPr>
            <w:r>
              <w:rPr>
                <w:rFonts w:ascii="Arial" w:cs="Arial" w:eastAsia="Arial" w:hAnsi="Arial"/>
                <w:sz w:val="12"/>
                <w:szCs w:val="12"/>
                <w:color w:val="auto"/>
              </w:rPr>
              <w:t>Loss on sale of property, plant and equipment</w:t>
            </w:r>
          </w:p>
        </w:tc>
        <w:tc>
          <w:tcPr>
            <w:tcW w:w="120" w:type="dxa"/>
            <w:vAlign w:val="bottom"/>
          </w:tcPr>
          <w:p>
            <w:pPr>
              <w:spacing w:after="0"/>
              <w:rPr>
                <w:sz w:val="12"/>
                <w:szCs w:val="12"/>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124</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743</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Provision for losses on accounts receivable</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3,287</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1,152</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1,216</w:t>
            </w:r>
          </w:p>
        </w:tc>
        <w:tc>
          <w:tcPr>
            <w:tcW w:w="0" w:type="dxa"/>
            <w:vAlign w:val="bottom"/>
          </w:tcPr>
          <w:p>
            <w:pPr>
              <w:spacing w:after="0"/>
              <w:rPr>
                <w:sz w:val="1"/>
                <w:szCs w:val="1"/>
                <w:color w:val="auto"/>
              </w:rPr>
            </w:pPr>
          </w:p>
        </w:tc>
      </w:tr>
      <w:tr>
        <w:trPr>
          <w:trHeight w:val="147"/>
        </w:trPr>
        <w:tc>
          <w:tcPr>
            <w:tcW w:w="7700" w:type="dxa"/>
            <w:vAlign w:val="bottom"/>
          </w:tcPr>
          <w:p>
            <w:pPr>
              <w:ind w:left="240"/>
              <w:spacing w:after="0"/>
              <w:rPr>
                <w:sz w:val="20"/>
                <w:szCs w:val="20"/>
                <w:color w:val="auto"/>
              </w:rPr>
            </w:pPr>
            <w:r>
              <w:rPr>
                <w:rFonts w:ascii="Arial" w:cs="Arial" w:eastAsia="Arial" w:hAnsi="Arial"/>
                <w:sz w:val="12"/>
                <w:szCs w:val="12"/>
                <w:color w:val="auto"/>
              </w:rPr>
              <w:t>Non-cash portion of stock-based compensation expense</w:t>
            </w:r>
          </w:p>
        </w:tc>
        <w:tc>
          <w:tcPr>
            <w:tcW w:w="120" w:type="dxa"/>
            <w:vAlign w:val="bottom"/>
          </w:tcPr>
          <w:p>
            <w:pPr>
              <w:spacing w:after="0"/>
              <w:rPr>
                <w:sz w:val="12"/>
                <w:szCs w:val="12"/>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2"/>
                <w:szCs w:val="12"/>
                <w:color w:val="auto"/>
              </w:rPr>
              <w:t>6,907</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5,568</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5,579</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Changes in operating assets and liabilities (net of effects of business acquisitions):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tcPr>
          <w:p>
            <w:pPr>
              <w:ind w:left="360"/>
              <w:spacing w:after="0"/>
              <w:rPr>
                <w:sz w:val="20"/>
                <w:szCs w:val="20"/>
                <w:color w:val="auto"/>
              </w:rPr>
            </w:pPr>
            <w:r>
              <w:rPr>
                <w:rFonts w:ascii="Arial" w:cs="Arial" w:eastAsia="Arial" w:hAnsi="Arial"/>
                <w:sz w:val="12"/>
                <w:szCs w:val="12"/>
                <w:color w:val="auto"/>
              </w:rPr>
              <w:t>Accounts receivable</w:t>
            </w:r>
          </w:p>
        </w:tc>
        <w:tc>
          <w:tcPr>
            <w:tcW w:w="120" w:type="dxa"/>
            <w:vAlign w:val="bottom"/>
          </w:tcPr>
          <w:p>
            <w:pPr>
              <w:spacing w:after="0"/>
              <w:rPr>
                <w:sz w:val="12"/>
                <w:szCs w:val="12"/>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2"/>
                <w:szCs w:val="12"/>
                <w:color w:val="auto"/>
              </w:rPr>
              <w:t>(20,308)</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(13,620)</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(7,132)</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Inventories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8"/>
              <w:spacing w:after="0"/>
              <w:rPr>
                <w:sz w:val="20"/>
                <w:szCs w:val="20"/>
                <w:color w:val="auto"/>
              </w:rPr>
            </w:pPr>
            <w:r>
              <w:rPr>
                <w:rFonts w:ascii="Arial" w:cs="Arial" w:eastAsia="Arial" w:hAnsi="Arial"/>
                <w:sz w:val="12"/>
                <w:szCs w:val="12"/>
                <w:color w:val="auto"/>
              </w:rPr>
              <w:t>(12,323)</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(16,961)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(11,847)</w:t>
            </w:r>
          </w:p>
        </w:tc>
        <w:tc>
          <w:tcPr>
            <w:tcW w:w="0" w:type="dxa"/>
            <w:vAlign w:val="bottom"/>
          </w:tcPr>
          <w:p>
            <w:pPr>
              <w:spacing w:after="0"/>
              <w:rPr>
                <w:sz w:val="1"/>
                <w:szCs w:val="1"/>
                <w:color w:val="auto"/>
              </w:rPr>
            </w:pPr>
          </w:p>
        </w:tc>
      </w:tr>
      <w:tr>
        <w:trPr>
          <w:trHeight w:val="147"/>
        </w:trPr>
        <w:tc>
          <w:tcPr>
            <w:tcW w:w="7700" w:type="dxa"/>
            <w:vAlign w:val="bottom"/>
          </w:tcPr>
          <w:p>
            <w:pPr>
              <w:ind w:left="360"/>
              <w:spacing w:after="0"/>
              <w:rPr>
                <w:sz w:val="20"/>
                <w:szCs w:val="20"/>
                <w:color w:val="auto"/>
              </w:rPr>
            </w:pPr>
            <w:r>
              <w:rPr>
                <w:rFonts w:ascii="Arial" w:cs="Arial" w:eastAsia="Arial" w:hAnsi="Arial"/>
                <w:sz w:val="12"/>
                <w:szCs w:val="12"/>
                <w:color w:val="auto"/>
              </w:rPr>
              <w:t>Prepaid expenses and other assets</w:t>
            </w:r>
          </w:p>
        </w:tc>
        <w:tc>
          <w:tcPr>
            <w:tcW w:w="120" w:type="dxa"/>
            <w:vAlign w:val="bottom"/>
          </w:tcPr>
          <w:p>
            <w:pPr>
              <w:spacing w:after="0"/>
              <w:rPr>
                <w:sz w:val="12"/>
                <w:szCs w:val="12"/>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2"/>
                <w:szCs w:val="12"/>
                <w:color w:val="auto"/>
              </w:rPr>
              <w:t>(13,307)</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(2,163)</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(3,572)</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Accounts payable and accrued liabilities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8,058</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10,421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8,827</w:t>
            </w:r>
          </w:p>
        </w:tc>
        <w:tc>
          <w:tcPr>
            <w:tcW w:w="0" w:type="dxa"/>
            <w:vAlign w:val="bottom"/>
          </w:tcPr>
          <w:p>
            <w:pPr>
              <w:spacing w:after="0"/>
              <w:rPr>
                <w:sz w:val="1"/>
                <w:szCs w:val="1"/>
                <w:color w:val="auto"/>
              </w:rPr>
            </w:pPr>
          </w:p>
        </w:tc>
      </w:tr>
      <w:tr>
        <w:trPr>
          <w:trHeight w:val="147"/>
        </w:trPr>
        <w:tc>
          <w:tcPr>
            <w:tcW w:w="7700" w:type="dxa"/>
            <w:vAlign w:val="bottom"/>
          </w:tcPr>
          <w:p>
            <w:pPr>
              <w:ind w:left="360"/>
              <w:spacing w:after="0"/>
              <w:rPr>
                <w:sz w:val="20"/>
                <w:szCs w:val="20"/>
                <w:color w:val="auto"/>
              </w:rPr>
            </w:pPr>
            <w:r>
              <w:rPr>
                <w:rFonts w:ascii="Arial" w:cs="Arial" w:eastAsia="Arial" w:hAnsi="Arial"/>
                <w:sz w:val="12"/>
                <w:szCs w:val="12"/>
                <w:color w:val="auto"/>
              </w:rPr>
              <w:t>Income taxes</w:t>
            </w:r>
          </w:p>
        </w:tc>
        <w:tc>
          <w:tcPr>
            <w:tcW w:w="120" w:type="dxa"/>
            <w:vAlign w:val="bottom"/>
          </w:tcPr>
          <w:p>
            <w:pPr>
              <w:spacing w:after="0"/>
              <w:rPr>
                <w:sz w:val="12"/>
                <w:szCs w:val="12"/>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2"/>
                <w:szCs w:val="12"/>
                <w:color w:val="auto"/>
              </w:rPr>
              <w:t>(6,821)</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9,662</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liabilities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7,198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(5,643)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4,126</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80"/>
              <w:spacing w:after="0"/>
              <w:rPr>
                <w:sz w:val="20"/>
                <w:szCs w:val="20"/>
                <w:color w:val="auto"/>
              </w:rPr>
            </w:pPr>
            <w:r>
              <w:rPr>
                <w:rFonts w:ascii="Arial" w:cs="Arial" w:eastAsia="Arial" w:hAnsi="Arial"/>
                <w:sz w:val="12"/>
                <w:szCs w:val="12"/>
                <w:color w:val="auto"/>
              </w:rPr>
              <w:t>Net cash provided by operating activities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136,018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114,896</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119,103</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Investing activities:</w:t>
            </w: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120" w:type="dxa"/>
            <w:vAlign w:val="bottom"/>
          </w:tcPr>
          <w:p>
            <w:pPr>
              <w:spacing w:after="0"/>
              <w:rPr>
                <w:sz w:val="12"/>
                <w:szCs w:val="12"/>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2"/>
                <w:szCs w:val="12"/>
                <w:color w:val="auto"/>
              </w:rPr>
              <w:t>(159,475)</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(351,331)</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(79,926)</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of contingent consideration</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8"/>
              <w:spacing w:after="0"/>
              <w:rPr>
                <w:sz w:val="20"/>
                <w:szCs w:val="20"/>
                <w:color w:val="auto"/>
              </w:rPr>
            </w:pPr>
            <w:r>
              <w:rPr>
                <w:rFonts w:ascii="Arial" w:cs="Arial" w:eastAsia="Arial" w:hAnsi="Arial"/>
                <w:sz w:val="12"/>
                <w:szCs w:val="12"/>
                <w:color w:val="auto"/>
              </w:rPr>
              <w:t>(10,906)</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Purchases of short-term investments</w:t>
            </w:r>
          </w:p>
        </w:tc>
        <w:tc>
          <w:tcPr>
            <w:tcW w:w="120" w:type="dxa"/>
            <w:vAlign w:val="bottom"/>
          </w:tcPr>
          <w:p>
            <w:pPr>
              <w:spacing w:after="0"/>
              <w:rPr>
                <w:sz w:val="12"/>
                <w:szCs w:val="12"/>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2"/>
                <w:szCs w:val="12"/>
                <w:color w:val="auto"/>
              </w:rPr>
              <w:t>(68,100)</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(150,900)</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(50,025)</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Sales of short-term investments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60,400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146,500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48,075</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Purchases of property, plant and equipment</w:t>
            </w:r>
          </w:p>
        </w:tc>
        <w:tc>
          <w:tcPr>
            <w:tcW w:w="120" w:type="dxa"/>
            <w:vAlign w:val="bottom"/>
          </w:tcPr>
          <w:p>
            <w:pPr>
              <w:spacing w:after="0"/>
              <w:rPr>
                <w:sz w:val="12"/>
                <w:szCs w:val="12"/>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2"/>
                <w:szCs w:val="12"/>
                <w:color w:val="auto"/>
              </w:rPr>
              <w:t>(51,940)</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(39,410)</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(21,920)</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settlement of foreign currency contract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1,516</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Proceeds from sale of property, plant and equipment</w:t>
            </w:r>
          </w:p>
        </w:tc>
        <w:tc>
          <w:tcPr>
            <w:tcW w:w="120" w:type="dxa"/>
            <w:vAlign w:val="bottom"/>
          </w:tcPr>
          <w:p>
            <w:pPr>
              <w:spacing w:after="0"/>
              <w:rPr>
                <w:sz w:val="12"/>
                <w:szCs w:val="12"/>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2"/>
                <w:szCs w:val="12"/>
                <w:color w:val="auto"/>
              </w:rPr>
              <w:t>2,166</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546</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390</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8"/>
              <w:spacing w:after="0"/>
              <w:rPr>
                <w:sz w:val="20"/>
                <w:szCs w:val="20"/>
                <w:color w:val="auto"/>
              </w:rPr>
            </w:pPr>
            <w:r>
              <w:rPr>
                <w:rFonts w:ascii="Arial" w:cs="Arial" w:eastAsia="Arial" w:hAnsi="Arial"/>
                <w:sz w:val="12"/>
                <w:szCs w:val="12"/>
                <w:color w:val="auto"/>
              </w:rPr>
              <w:t>(9,184)</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(2,203)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(1,686)</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80"/>
              <w:spacing w:after="0"/>
              <w:rPr>
                <w:sz w:val="20"/>
                <w:szCs w:val="20"/>
                <w:color w:val="auto"/>
              </w:rPr>
            </w:pPr>
            <w:r>
              <w:rPr>
                <w:rFonts w:ascii="Arial" w:cs="Arial" w:eastAsia="Arial" w:hAnsi="Arial"/>
                <w:sz w:val="12"/>
                <w:szCs w:val="12"/>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2"/>
                <w:szCs w:val="12"/>
                <w:color w:val="auto"/>
              </w:rPr>
              <w:t>(237,039)</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(395,282)</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(105,092)</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Payment of dividends</w:t>
            </w:r>
          </w:p>
        </w:tc>
        <w:tc>
          <w:tcPr>
            <w:tcW w:w="120" w:type="dxa"/>
            <w:vAlign w:val="bottom"/>
          </w:tcPr>
          <w:p>
            <w:pPr>
              <w:spacing w:after="0"/>
              <w:rPr>
                <w:sz w:val="12"/>
                <w:szCs w:val="12"/>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2"/>
                <w:szCs w:val="12"/>
                <w:color w:val="auto"/>
              </w:rPr>
              <w:t>(30,141)</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(26,064)</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(21,291)</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common stock</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6,829</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166,664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15,734</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Principal payments on debt</w:t>
            </w:r>
          </w:p>
        </w:tc>
        <w:tc>
          <w:tcPr>
            <w:tcW w:w="120" w:type="dxa"/>
            <w:vAlign w:val="bottom"/>
          </w:tcPr>
          <w:p>
            <w:pPr>
              <w:spacing w:after="0"/>
              <w:rPr>
                <w:sz w:val="12"/>
                <w:szCs w:val="12"/>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2"/>
                <w:szCs w:val="12"/>
                <w:color w:val="auto"/>
              </w:rPr>
              <w:t>(110,870)</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(417,601)</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(85,604)</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debt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259,300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615,730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83,000</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Purchase of treasury stock</w:t>
            </w:r>
          </w:p>
        </w:tc>
        <w:tc>
          <w:tcPr>
            <w:tcW w:w="120" w:type="dxa"/>
            <w:vAlign w:val="bottom"/>
          </w:tcPr>
          <w:p>
            <w:pPr>
              <w:spacing w:after="0"/>
              <w:rPr>
                <w:sz w:val="12"/>
                <w:szCs w:val="12"/>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(24,683)</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(1,551)</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tax benefit from the exercise of stock options and deferred compensation distributions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4,912</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80"/>
              <w:spacing w:after="0"/>
              <w:rPr>
                <w:sz w:val="20"/>
                <w:szCs w:val="20"/>
                <w:color w:val="auto"/>
              </w:rPr>
            </w:pPr>
            <w:r>
              <w:rPr>
                <w:rFonts w:ascii="Arial" w:cs="Arial" w:eastAsia="Arial" w:hAnsi="Arial"/>
                <w:sz w:val="12"/>
                <w:szCs w:val="12"/>
                <w:color w:val="auto"/>
              </w:rPr>
              <w:t>Net cash provided by (used in) financing activities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129,421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318,958</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(9,712)</w:t>
            </w:r>
          </w:p>
        </w:tc>
        <w:tc>
          <w:tcPr>
            <w:tcW w:w="0" w:type="dxa"/>
            <w:vAlign w:val="bottom"/>
          </w:tcPr>
          <w:p>
            <w:pPr>
              <w:spacing w:after="0"/>
              <w:rPr>
                <w:sz w:val="1"/>
                <w:szCs w:val="1"/>
                <w:color w:val="auto"/>
              </w:rPr>
            </w:pPr>
          </w:p>
        </w:tc>
      </w:tr>
      <w:tr>
        <w:trPr>
          <w:trHeight w:val="22"/>
        </w:trPr>
        <w:tc>
          <w:tcPr>
            <w:tcW w:w="7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1,466</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2"/>
                <w:szCs w:val="12"/>
                <w:color w:val="auto"/>
              </w:rPr>
              <w:t>Net increase in cash and cash equivalents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29,838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40,038</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4,182</w:t>
            </w:r>
          </w:p>
        </w:tc>
        <w:tc>
          <w:tcPr>
            <w:tcW w:w="0" w:type="dxa"/>
            <w:vAlign w:val="bottom"/>
          </w:tcPr>
          <w:p>
            <w:pPr>
              <w:spacing w:after="0"/>
              <w:rPr>
                <w:sz w:val="1"/>
                <w:szCs w:val="1"/>
                <w:color w:val="auto"/>
              </w:rPr>
            </w:pPr>
          </w:p>
        </w:tc>
      </w:tr>
      <w:tr>
        <w:trPr>
          <w:trHeight w:val="150"/>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beginning of year</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113,008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72,970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68,788</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2"/>
                <w:szCs w:val="12"/>
                <w:color w:val="auto"/>
              </w:rPr>
              <w:t>Cash and cash equivalents, end of year</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700" w:type="dxa"/>
            <w:vAlign w:val="bottom"/>
            <w:vMerge w:val="continue"/>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142,846</w:t>
            </w:r>
          </w:p>
        </w:tc>
        <w:tc>
          <w:tcPr>
            <w:tcW w:w="18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113,008</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72,970</w:t>
            </w:r>
          </w:p>
        </w:tc>
        <w:tc>
          <w:tcPr>
            <w:tcW w:w="0" w:type="dxa"/>
            <w:vAlign w:val="bottom"/>
          </w:tcPr>
          <w:p>
            <w:pPr>
              <w:spacing w:after="0"/>
              <w:rPr>
                <w:sz w:val="1"/>
                <w:szCs w:val="1"/>
                <w:color w:val="auto"/>
              </w:rPr>
            </w:pPr>
          </w:p>
        </w:tc>
      </w:tr>
      <w:tr>
        <w:trPr>
          <w:trHeight w:val="155"/>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Supplemental disclosure of cash flow information:</w:t>
            </w: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Cash paid during the year for:</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net of capitalized interest</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19,842</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8,991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7,836</w:t>
            </w:r>
          </w:p>
        </w:tc>
        <w:tc>
          <w:tcPr>
            <w:tcW w:w="0" w:type="dxa"/>
            <w:vAlign w:val="bottom"/>
          </w:tcPr>
          <w:p>
            <w:pPr>
              <w:spacing w:after="0"/>
              <w:rPr>
                <w:sz w:val="1"/>
                <w:szCs w:val="1"/>
                <w:color w:val="auto"/>
              </w:rPr>
            </w:pPr>
          </w:p>
        </w:tc>
      </w:tr>
      <w:tr>
        <w:trPr>
          <w:trHeight w:val="147"/>
        </w:trPr>
        <w:tc>
          <w:tcPr>
            <w:tcW w:w="7700" w:type="dxa"/>
            <w:vAlign w:val="bottom"/>
          </w:tcPr>
          <w:p>
            <w:pPr>
              <w:ind w:left="240"/>
              <w:spacing w:after="0"/>
              <w:rPr>
                <w:sz w:val="20"/>
                <w:szCs w:val="20"/>
                <w:color w:val="auto"/>
              </w:rPr>
            </w:pPr>
            <w:r>
              <w:rPr>
                <w:rFonts w:ascii="Arial" w:cs="Arial" w:eastAsia="Arial" w:hAnsi="Arial"/>
                <w:sz w:val="12"/>
                <w:szCs w:val="12"/>
                <w:color w:val="auto"/>
              </w:rPr>
              <w:t>Income taxes, net of refunds</w:t>
            </w:r>
          </w:p>
        </w:tc>
        <w:tc>
          <w:tcPr>
            <w:tcW w:w="120" w:type="dxa"/>
            <w:vAlign w:val="bottom"/>
          </w:tcPr>
          <w:p>
            <w:pPr>
              <w:spacing w:after="0"/>
              <w:rPr>
                <w:sz w:val="12"/>
                <w:szCs w:val="12"/>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2"/>
                <w:szCs w:val="12"/>
                <w:color w:val="auto"/>
              </w:rPr>
              <w:t>49,233</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37,661</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19,358</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tcPr>
          <w:p>
            <w:pPr>
              <w:ind w:left="240"/>
              <w:spacing w:after="0"/>
              <w:rPr>
                <w:sz w:val="20"/>
                <w:szCs w:val="20"/>
                <w:color w:val="auto"/>
              </w:rPr>
            </w:pPr>
            <w:r>
              <w:rPr>
                <w:rFonts w:ascii="Arial" w:cs="Arial" w:eastAsia="Arial" w:hAnsi="Arial"/>
                <w:sz w:val="12"/>
                <w:szCs w:val="12"/>
                <w:color w:val="auto"/>
              </w:rPr>
              <w:t>Fair value of assets acquired, net of cash</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28"/>
              <w:spacing w:after="0"/>
              <w:rPr>
                <w:sz w:val="20"/>
                <w:szCs w:val="20"/>
                <w:color w:val="auto"/>
              </w:rPr>
            </w:pPr>
            <w:r>
              <w:rPr>
                <w:rFonts w:ascii="Arial" w:cs="Arial" w:eastAsia="Arial" w:hAnsi="Arial"/>
                <w:sz w:val="12"/>
                <w:szCs w:val="12"/>
                <w:color w:val="auto"/>
              </w:rPr>
              <w:t>87,398</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167,900</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60,193</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Liabilities assumed</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8"/>
              <w:spacing w:after="0"/>
              <w:rPr>
                <w:sz w:val="20"/>
                <w:szCs w:val="20"/>
                <w:color w:val="auto"/>
              </w:rPr>
            </w:pPr>
            <w:r>
              <w:rPr>
                <w:rFonts w:ascii="Arial" w:cs="Arial" w:eastAsia="Arial" w:hAnsi="Arial"/>
                <w:sz w:val="12"/>
                <w:szCs w:val="12"/>
                <w:color w:val="auto"/>
              </w:rPr>
              <w:t>(33,248)</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(63,667)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(35,113)</w:t>
            </w:r>
          </w:p>
        </w:tc>
        <w:tc>
          <w:tcPr>
            <w:tcW w:w="0" w:type="dxa"/>
            <w:vAlign w:val="bottom"/>
          </w:tcPr>
          <w:p>
            <w:pPr>
              <w:spacing w:after="0"/>
              <w:rPr>
                <w:sz w:val="1"/>
                <w:szCs w:val="1"/>
                <w:color w:val="auto"/>
              </w:rPr>
            </w:pPr>
          </w:p>
        </w:tc>
      </w:tr>
      <w:tr>
        <w:trPr>
          <w:trHeight w:val="147"/>
        </w:trPr>
        <w:tc>
          <w:tcPr>
            <w:tcW w:w="7700" w:type="dxa"/>
            <w:vAlign w:val="bottom"/>
          </w:tcPr>
          <w:p>
            <w:pPr>
              <w:ind w:left="240"/>
              <w:spacing w:after="0"/>
              <w:rPr>
                <w:sz w:val="20"/>
                <w:szCs w:val="20"/>
                <w:color w:val="auto"/>
              </w:rPr>
            </w:pPr>
            <w:r>
              <w:rPr>
                <w:rFonts w:ascii="Arial" w:cs="Arial" w:eastAsia="Arial" w:hAnsi="Arial"/>
                <w:sz w:val="12"/>
                <w:szCs w:val="12"/>
                <w:color w:val="auto"/>
              </w:rPr>
              <w:t>Goodwill</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105,325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247,098</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54,846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cash paid for acquisitions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159,475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351,331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79,926</w:t>
            </w: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Years Ended July 31, 2007, 2006 and 2005</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163" w:lineRule="exact"/>
        <w:rPr>
          <w:sz w:val="20"/>
          <w:szCs w:val="20"/>
          <w:color w:val="auto"/>
        </w:rPr>
      </w:pPr>
    </w:p>
    <w:p>
      <w:pPr>
        <w:ind w:left="1000" w:hanging="313"/>
        <w:spacing w:after="0"/>
        <w:tabs>
          <w:tab w:leader="none" w:pos="100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Nature of Operations </w:t>
      </w:r>
      <w:r>
        <w:rPr>
          <w:rFonts w:ascii="Arial" w:cs="Arial" w:eastAsia="Arial" w:hAnsi="Arial"/>
          <w:sz w:val="13"/>
          <w:szCs w:val="13"/>
          <w:color w:val="auto"/>
        </w:rPr>
        <w:t>— Brady Corporation (“Brady” or the “Company”) is an international manufacturer and marketer of identification solutions and specialty products which</w:t>
      </w:r>
      <w:r>
        <w:rPr>
          <w:rFonts w:ascii="Arial" w:cs="Arial" w:eastAsia="Arial" w:hAnsi="Arial"/>
          <w:sz w:val="13"/>
          <w:szCs w:val="13"/>
          <w:i w:val="1"/>
          <w:iCs w:val="1"/>
          <w:color w:val="auto"/>
        </w:rPr>
        <w:t xml:space="preserve"> </w:t>
      </w:r>
      <w:r>
        <w:rPr>
          <w:rFonts w:ascii="Arial" w:cs="Arial" w:eastAsia="Arial" w:hAnsi="Arial"/>
          <w:sz w:val="13"/>
          <w:szCs w:val="13"/>
          <w:color w:val="auto"/>
        </w:rPr>
        <w:t>identify and protect premises, products and people. Brady’s core capabilities in manufacturing, printing systems, precision engineering and materials expertise make it a leading supplier to the Maintenance, Repair and Operations (“MRO”) market and to the Original Equipment Manufacturing (“OEM”) market.</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Principles of Consolidation </w:t>
      </w:r>
      <w:r>
        <w:rPr>
          <w:rFonts w:ascii="Arial" w:cs="Arial" w:eastAsia="Arial" w:hAnsi="Arial"/>
          <w:sz w:val="13"/>
          <w:szCs w:val="13"/>
          <w:color w:val="auto"/>
        </w:rPr>
        <w:t>— The accompanying consolidated financial statements include the accounts of Brady Corporation and its subsidiaries (the “Company”), all of which are</w:t>
      </w:r>
      <w:r>
        <w:rPr>
          <w:rFonts w:ascii="Arial" w:cs="Arial" w:eastAsia="Arial" w:hAnsi="Arial"/>
          <w:sz w:val="13"/>
          <w:szCs w:val="13"/>
          <w:i w:val="1"/>
          <w:iCs w:val="1"/>
          <w:color w:val="auto"/>
        </w:rPr>
        <w:t xml:space="preserve"> </w:t>
      </w:r>
      <w:r>
        <w:rPr>
          <w:rFonts w:ascii="Arial" w:cs="Arial" w:eastAsia="Arial" w:hAnsi="Arial"/>
          <w:sz w:val="13"/>
          <w:szCs w:val="13"/>
          <w:color w:val="auto"/>
        </w:rPr>
        <w:t>wholly-owned, with the exception of one subsidiary where a third party retains an insignificant investment. All significant intercompany accounts and transactions have been eliminated in consolidation.</w:t>
      </w:r>
    </w:p>
    <w:p>
      <w:pPr>
        <w:spacing w:after="0" w:line="67"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i w:val="1"/>
          <w:iCs w:val="1"/>
          <w:color w:val="auto"/>
        </w:rPr>
        <w:t xml:space="preserve">Use of Estimates </w:t>
      </w:r>
      <w:r>
        <w:rPr>
          <w:rFonts w:ascii="Arial" w:cs="Arial" w:eastAsia="Arial" w:hAnsi="Arial"/>
          <w:sz w:val="13"/>
          <w:szCs w:val="13"/>
          <w:color w:val="auto"/>
        </w:rPr>
        <w:t>— The preparation of financial statements in conformity with accounting principles generally accepted in the United States of America requires management to</w:t>
      </w:r>
      <w:r>
        <w:rPr>
          <w:rFonts w:ascii="Arial" w:cs="Arial" w:eastAsia="Arial" w:hAnsi="Arial"/>
          <w:sz w:val="13"/>
          <w:szCs w:val="13"/>
          <w:i w:val="1"/>
          <w:iCs w:val="1"/>
          <w:color w:val="auto"/>
        </w:rPr>
        <w:t xml:space="preserve"> </w:t>
      </w:r>
      <w:r>
        <w:rPr>
          <w:rFonts w:ascii="Arial" w:cs="Arial" w:eastAsia="Arial" w:hAnsi="Arial"/>
          <w:sz w:val="13"/>
          <w:szCs w:val="13"/>
          <w:color w:val="auto"/>
        </w:rPr>
        <w:t>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7"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i w:val="1"/>
          <w:iCs w:val="1"/>
          <w:color w:val="auto"/>
        </w:rPr>
        <w:t xml:space="preserve">Stock Dividend </w:t>
      </w:r>
      <w:r>
        <w:rPr>
          <w:rFonts w:ascii="Arial" w:cs="Arial" w:eastAsia="Arial" w:hAnsi="Arial"/>
          <w:sz w:val="13"/>
          <w:szCs w:val="13"/>
          <w:color w:val="auto"/>
        </w:rPr>
        <w:t>— All previously presented earnings per share, share amounts, and stock price data have been adjusted for a two-for-one stock split in the form of a 100% stock</w:t>
      </w:r>
      <w:r>
        <w:rPr>
          <w:rFonts w:ascii="Arial" w:cs="Arial" w:eastAsia="Arial" w:hAnsi="Arial"/>
          <w:sz w:val="13"/>
          <w:szCs w:val="13"/>
          <w:i w:val="1"/>
          <w:iCs w:val="1"/>
          <w:color w:val="auto"/>
        </w:rPr>
        <w:t xml:space="preserve"> </w:t>
      </w:r>
      <w:r>
        <w:rPr>
          <w:rFonts w:ascii="Arial" w:cs="Arial" w:eastAsia="Arial" w:hAnsi="Arial"/>
          <w:sz w:val="13"/>
          <w:szCs w:val="13"/>
          <w:color w:val="auto"/>
        </w:rPr>
        <w:t>dividend, effective December 31, 2004.</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Fair Value of Financial Instruments </w:t>
      </w:r>
      <w:r>
        <w:rPr>
          <w:rFonts w:ascii="Arial" w:cs="Arial" w:eastAsia="Arial" w:hAnsi="Arial"/>
          <w:sz w:val="13"/>
          <w:szCs w:val="13"/>
          <w:color w:val="auto"/>
        </w:rPr>
        <w:t>— The Company believes the carrying amount of its financial instruments (cash and cash equivalents, accounts receivable and accounts payable)</w:t>
      </w:r>
      <w:r>
        <w:rPr>
          <w:rFonts w:ascii="Arial" w:cs="Arial" w:eastAsia="Arial" w:hAnsi="Arial"/>
          <w:sz w:val="13"/>
          <w:szCs w:val="13"/>
          <w:i w:val="1"/>
          <w:iCs w:val="1"/>
          <w:color w:val="auto"/>
        </w:rPr>
        <w:t xml:space="preserve"> </w:t>
      </w:r>
      <w:r>
        <w:rPr>
          <w:rFonts w:ascii="Arial" w:cs="Arial" w:eastAsia="Arial" w:hAnsi="Arial"/>
          <w:sz w:val="13"/>
          <w:szCs w:val="13"/>
          <w:color w:val="auto"/>
        </w:rPr>
        <w:t>is a reasonable estimate of the fair value of these instruments due to their short-term nature.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Cash Equivalents </w:t>
      </w:r>
      <w:r>
        <w:rPr>
          <w:rFonts w:ascii="Arial" w:cs="Arial" w:eastAsia="Arial" w:hAnsi="Arial"/>
          <w:sz w:val="12"/>
          <w:szCs w:val="12"/>
          <w:color w:val="auto"/>
        </w:rPr>
        <w:t>— The Company considers all highly liquid investments with maturities of three months or less when acquired to be cash equivalents, which are recorded at cost.</w:t>
      </w:r>
    </w:p>
    <w:p>
      <w:pPr>
        <w:spacing w:after="0" w:line="108"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i w:val="1"/>
          <w:iCs w:val="1"/>
          <w:color w:val="auto"/>
        </w:rPr>
        <w:t xml:space="preserve">Available-for-Sale Securities </w:t>
      </w:r>
      <w:r>
        <w:rPr>
          <w:rFonts w:ascii="Arial" w:cs="Arial" w:eastAsia="Arial" w:hAnsi="Arial"/>
          <w:sz w:val="13"/>
          <w:szCs w:val="13"/>
          <w:color w:val="auto"/>
        </w:rPr>
        <w:t>— The Company has invested in certain marketable securities that are categorized as available-for-sale. These investments consist of auction-rate</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and have been classified as short-term investments available-for-sale for all periods presented. The amount of available-for-sale securities included in the consolidated balance sheets as of July 31, 2007 and July 31, 2006 was $19,200 and $11,500, respectively, and consists solely of auction rate securities.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auction rate securities held by the Company are municipal bonds with either perpetual or intermediate to long-term maturities. The holding period of each bond is either 7, 28, 35, or 49 days and is determined when the security is issued. A Dutch auction takes place at the end of each holding period at which time the security can be sold or held. The lowest rate that sells all of the securities is the set rate for the subsequent holding period. If there are not sufficient orders to place all of the available securities, the auction is said to have “failed” and liquidity will be denied for the subsequent holding period.</w:t>
      </w:r>
    </w:p>
    <w:p>
      <w:pPr>
        <w:spacing w:after="0" w:line="7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carrying value of the available-for-sale securities approximates the aggregate fair value of the securities and there are no unrealized gains or losses on the available-for-sale securities. There were no realized gains or losses on available-for-sales securities during the periods presented.</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Inventories </w:t>
      </w:r>
      <w:r>
        <w:rPr>
          <w:rFonts w:ascii="Arial" w:cs="Arial" w:eastAsia="Arial" w:hAnsi="Arial"/>
          <w:sz w:val="13"/>
          <w:szCs w:val="13"/>
          <w:color w:val="auto"/>
        </w:rPr>
        <w:t>— Inventories are stated at the lower of cost or market. Cost has been determined using the last-in, first-out (“LIFO”) method for certain domestic inventories</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27% of total inventories at July 31, 2007 and approximately 30% of total inventories at July 31, 2006) and the first-in, first-out (“FIFO”) or average cost methods for other inventories. Had all domestic inventories been accounted for on a FIFO basis instead of on a LIFO basis, the carrying value would have increased by $8,228 and $8,863 at July 31, 2007 and 2006, respectively.</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Depreciation </w:t>
      </w:r>
      <w:r>
        <w:rPr>
          <w:rFonts w:ascii="Arial" w:cs="Arial" w:eastAsia="Arial" w:hAnsi="Arial"/>
          <w:sz w:val="13"/>
          <w:szCs w:val="13"/>
          <w:color w:val="auto"/>
        </w:rPr>
        <w:t>— The cost of buildings and improvements and machinery and equipment is being depreciated over their estimated useful lives using primarily the straight-line method</w:t>
      </w:r>
      <w:r>
        <w:rPr>
          <w:rFonts w:ascii="Arial" w:cs="Arial" w:eastAsia="Arial" w:hAnsi="Arial"/>
          <w:sz w:val="13"/>
          <w:szCs w:val="13"/>
          <w:i w:val="1"/>
          <w:iCs w:val="1"/>
          <w:color w:val="auto"/>
        </w:rPr>
        <w:t xml:space="preserve"> </w:t>
      </w:r>
      <w:r>
        <w:rPr>
          <w:rFonts w:ascii="Arial" w:cs="Arial" w:eastAsia="Arial" w:hAnsi="Arial"/>
          <w:sz w:val="13"/>
          <w:szCs w:val="13"/>
          <w:color w:val="auto"/>
        </w:rPr>
        <w:t>for financial reporting purposes. The estimated useful lives range from 3 to 33 years as shown below.</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200" w:type="dxa"/>
            <w:vAlign w:val="bottom"/>
            <w:gridSpan w:val="2"/>
          </w:tcPr>
          <w:p>
            <w:pPr>
              <w:spacing w:after="0"/>
              <w:rPr>
                <w:sz w:val="20"/>
                <w:szCs w:val="20"/>
                <w:color w:val="auto"/>
              </w:rPr>
            </w:pPr>
            <w:r>
              <w:rPr>
                <w:rFonts w:ascii="Arial" w:cs="Arial" w:eastAsia="Arial" w:hAnsi="Arial"/>
                <w:sz w:val="10"/>
                <w:szCs w:val="10"/>
                <w:b w:val="1"/>
                <w:bCs w:val="1"/>
                <w:color w:val="auto"/>
              </w:rPr>
              <w:t>Asset Category</w:t>
            </w:r>
          </w:p>
        </w:tc>
        <w:tc>
          <w:tcPr>
            <w:tcW w:w="1780" w:type="dxa"/>
            <w:vAlign w:val="bottom"/>
          </w:tcPr>
          <w:p>
            <w:pPr>
              <w:jc w:val="right"/>
              <w:ind w:right="339"/>
              <w:spacing w:after="0"/>
              <w:rPr>
                <w:sz w:val="20"/>
                <w:szCs w:val="20"/>
                <w:color w:val="auto"/>
              </w:rPr>
            </w:pPr>
            <w:r>
              <w:rPr>
                <w:rFonts w:ascii="Arial" w:cs="Arial" w:eastAsia="Arial" w:hAnsi="Arial"/>
                <w:sz w:val="10"/>
                <w:szCs w:val="10"/>
                <w:b w:val="1"/>
                <w:bCs w:val="1"/>
                <w:color w:val="auto"/>
              </w:rPr>
              <w:t>Range of Useful Lives</w:t>
            </w:r>
          </w:p>
        </w:tc>
      </w:tr>
      <w:tr>
        <w:trPr>
          <w:trHeight w:val="20"/>
        </w:trPr>
        <w:tc>
          <w:tcPr>
            <w:tcW w:w="8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178"/>
        </w:trPr>
        <w:tc>
          <w:tcPr>
            <w:tcW w:w="8200" w:type="dxa"/>
            <w:vAlign w:val="bottom"/>
            <w:gridSpan w:val="2"/>
          </w:tcPr>
          <w:p>
            <w:pPr>
              <w:spacing w:after="0"/>
              <w:rPr>
                <w:sz w:val="20"/>
                <w:szCs w:val="20"/>
                <w:color w:val="auto"/>
              </w:rPr>
            </w:pPr>
            <w:r>
              <w:rPr>
                <w:rFonts w:ascii="Arial" w:cs="Arial" w:eastAsia="Arial" w:hAnsi="Arial"/>
                <w:sz w:val="13"/>
                <w:szCs w:val="13"/>
                <w:color w:val="auto"/>
              </w:rPr>
              <w:t>Buildings and improvements</w:t>
            </w:r>
          </w:p>
        </w:tc>
        <w:tc>
          <w:tcPr>
            <w:tcW w:w="1780" w:type="dxa"/>
            <w:vAlign w:val="bottom"/>
          </w:tcPr>
          <w:p>
            <w:pPr>
              <w:jc w:val="right"/>
              <w:spacing w:after="0"/>
              <w:rPr>
                <w:sz w:val="20"/>
                <w:szCs w:val="20"/>
                <w:color w:val="auto"/>
              </w:rPr>
            </w:pPr>
            <w:r>
              <w:rPr>
                <w:rFonts w:ascii="Arial" w:cs="Arial" w:eastAsia="Arial" w:hAnsi="Arial"/>
                <w:sz w:val="13"/>
                <w:szCs w:val="13"/>
                <w:color w:val="auto"/>
              </w:rPr>
              <w:t>10 to 33 Years</w:t>
            </w:r>
          </w:p>
        </w:tc>
      </w:tr>
      <w:tr>
        <w:trPr>
          <w:trHeight w:val="165"/>
        </w:trPr>
        <w:tc>
          <w:tcPr>
            <w:tcW w:w="820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1780" w:type="dxa"/>
            <w:vAlign w:val="bottom"/>
          </w:tcPr>
          <w:p>
            <w:pPr>
              <w:jc w:val="right"/>
              <w:spacing w:after="0"/>
              <w:rPr>
                <w:sz w:val="20"/>
                <w:szCs w:val="20"/>
                <w:color w:val="auto"/>
              </w:rPr>
            </w:pPr>
            <w:r>
              <w:rPr>
                <w:rFonts w:ascii="Arial" w:cs="Arial" w:eastAsia="Arial" w:hAnsi="Arial"/>
                <w:sz w:val="13"/>
                <w:szCs w:val="13"/>
                <w:color w:val="auto"/>
              </w:rPr>
              <w:t>3 to 10 Years</w:t>
            </w:r>
          </w:p>
        </w:tc>
      </w:tr>
      <w:tr>
        <w:trPr>
          <w:trHeight w:val="246"/>
        </w:trPr>
        <w:tc>
          <w:tcPr>
            <w:tcW w:w="80" w:type="dxa"/>
            <w:vAlign w:val="bottom"/>
          </w:tcPr>
          <w:p>
            <w:pPr>
              <w:spacing w:after="0"/>
              <w:rPr>
                <w:sz w:val="21"/>
                <w:szCs w:val="21"/>
                <w:color w:val="auto"/>
              </w:rPr>
            </w:pPr>
          </w:p>
        </w:tc>
        <w:tc>
          <w:tcPr>
            <w:tcW w:w="8120" w:type="dxa"/>
            <w:vAlign w:val="bottom"/>
          </w:tcPr>
          <w:p>
            <w:pPr>
              <w:ind w:left="320"/>
              <w:spacing w:after="0"/>
              <w:rPr>
                <w:sz w:val="20"/>
                <w:szCs w:val="20"/>
                <w:color w:val="auto"/>
              </w:rPr>
            </w:pPr>
            <w:r>
              <w:rPr>
                <w:rFonts w:ascii="Arial" w:cs="Arial" w:eastAsia="Arial" w:hAnsi="Arial"/>
                <w:sz w:val="13"/>
                <w:szCs w:val="13"/>
                <w:color w:val="auto"/>
              </w:rPr>
              <w:t>Leasehold improvements are depreciated over the shorter of the lease term or the estimated useful life of the asset.</w:t>
            </w:r>
          </w:p>
        </w:tc>
        <w:tc>
          <w:tcPr>
            <w:tcW w:w="1780" w:type="dxa"/>
            <w:vAlign w:val="bottom"/>
          </w:tcPr>
          <w:p>
            <w:pPr>
              <w:spacing w:after="0"/>
              <w:rPr>
                <w:sz w:val="21"/>
                <w:szCs w:val="21"/>
                <w:color w:val="auto"/>
              </w:rPr>
            </w:pPr>
          </w:p>
        </w:tc>
      </w:tr>
    </w:tbl>
    <w:p>
      <w:pPr>
        <w:spacing w:after="0" w:line="81"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Goodwill and other Intangible Assets </w:t>
      </w:r>
      <w:r>
        <w:rPr>
          <w:rFonts w:ascii="Arial" w:cs="Arial" w:eastAsia="Arial" w:hAnsi="Arial"/>
          <w:sz w:val="13"/>
          <w:szCs w:val="13"/>
          <w:color w:val="auto"/>
        </w:rPr>
        <w:t>— The cost of intangible assets with determinable useful lives is amortized to reflect the pattern of economic benefits consumed on a straight-line basis, over the estimated periods benefited. Intangible assets with indefinite useful lives and goodwill are not subjected to amortization. These assets are assessed for impairment annually and when deemed necessary.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Changes in the carrying amount of goodwill for the years ended July 31, 2007 and 2006,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0"/>
                <w:szCs w:val="10"/>
                <w:b w:val="1"/>
                <w:bCs w:val="1"/>
                <w:color w:val="auto"/>
              </w:rPr>
              <w:t>Americas</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Europe</w:t>
            </w:r>
          </w:p>
        </w:tc>
        <w:tc>
          <w:tcPr>
            <w:tcW w:w="120" w:type="dxa"/>
            <w:vAlign w:val="bottom"/>
          </w:tcPr>
          <w:p>
            <w:pPr>
              <w:spacing w:after="0"/>
              <w:rPr>
                <w:sz w:val="10"/>
                <w:szCs w:val="10"/>
                <w:color w:val="auto"/>
              </w:rPr>
            </w:pPr>
          </w:p>
        </w:tc>
        <w:tc>
          <w:tcPr>
            <w:tcW w:w="1080" w:type="dxa"/>
            <w:vAlign w:val="bottom"/>
            <w:gridSpan w:val="3"/>
          </w:tcPr>
          <w:p>
            <w:pPr>
              <w:ind w:left="20"/>
              <w:spacing w:after="0"/>
              <w:rPr>
                <w:sz w:val="20"/>
                <w:szCs w:val="20"/>
                <w:color w:val="auto"/>
              </w:rPr>
            </w:pPr>
            <w:r>
              <w:rPr>
                <w:rFonts w:ascii="Arial" w:cs="Arial" w:eastAsia="Arial" w:hAnsi="Arial"/>
                <w:sz w:val="10"/>
                <w:szCs w:val="10"/>
                <w:b w:val="1"/>
                <w:bCs w:val="1"/>
                <w:color w:val="auto"/>
              </w:rPr>
              <w:t>Asia-Pacific</w:t>
            </w:r>
          </w:p>
        </w:tc>
        <w:tc>
          <w:tcPr>
            <w:tcW w:w="100" w:type="dxa"/>
            <w:vAlign w:val="bottom"/>
          </w:tcPr>
          <w:p>
            <w:pPr>
              <w:spacing w:after="0"/>
              <w:rPr>
                <w:sz w:val="10"/>
                <w:szCs w:val="10"/>
                <w:color w:val="auto"/>
              </w:rPr>
            </w:pPr>
          </w:p>
        </w:tc>
        <w:tc>
          <w:tcPr>
            <w:tcW w:w="680" w:type="dxa"/>
            <w:vAlign w:val="bottom"/>
            <w:gridSpan w:val="4"/>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July 31, 2005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226,843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73,544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31,982</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332,369</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Goodwill acquired during the period</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95,185</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33,892</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118,021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3"/>
                <w:szCs w:val="13"/>
                <w:color w:val="auto"/>
              </w:rPr>
              <w:t>247,098</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for prior year acquisitions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(341)</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(154)</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Translation adjustments</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4,697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3,242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3"/>
                <w:szCs w:val="13"/>
                <w:color w:val="auto"/>
              </w:rPr>
              <w:t>8,670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July 31, 2006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322,759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111,792</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153,091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587,642</w:t>
            </w:r>
          </w:p>
        </w:tc>
        <w:tc>
          <w:tcPr>
            <w:tcW w:w="0" w:type="dxa"/>
            <w:vAlign w:val="bottom"/>
          </w:tcPr>
          <w:p>
            <w:pPr>
              <w:spacing w:after="0"/>
              <w:rPr>
                <w:sz w:val="1"/>
                <w:szCs w:val="1"/>
                <w:color w:val="auto"/>
              </w:rPr>
            </w:pPr>
          </w:p>
        </w:tc>
      </w:tr>
      <w:tr>
        <w:trPr>
          <w:trHeight w:val="29"/>
        </w:trPr>
        <w:tc>
          <w:tcPr>
            <w:tcW w:w="5800" w:type="dxa"/>
            <w:vAlign w:val="bottom"/>
            <w:vMerge w:val="restart"/>
          </w:tcPr>
          <w:p>
            <w:pPr>
              <w:ind w:left="140"/>
              <w:spacing w:after="0"/>
              <w:rPr>
                <w:sz w:val="20"/>
                <w:szCs w:val="20"/>
                <w:color w:val="auto"/>
              </w:rPr>
            </w:pPr>
            <w:r>
              <w:rPr>
                <w:rFonts w:ascii="Arial" w:cs="Arial" w:eastAsia="Arial" w:hAnsi="Arial"/>
                <w:sz w:val="13"/>
                <w:szCs w:val="13"/>
                <w:color w:val="auto"/>
              </w:rPr>
              <w:t>Goodwill acquired during the period</w:t>
            </w: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76,944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26,696</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1,685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3"/>
                <w:szCs w:val="13"/>
                <w:color w:val="auto"/>
              </w:rPr>
              <w:t>105,325</w:t>
            </w:r>
          </w:p>
        </w:tc>
        <w:tc>
          <w:tcPr>
            <w:tcW w:w="0" w:type="dxa"/>
            <w:vAlign w:val="bottom"/>
          </w:tcPr>
          <w:p>
            <w:pPr>
              <w:spacing w:after="0"/>
              <w:rPr>
                <w:sz w:val="1"/>
                <w:szCs w:val="1"/>
                <w:color w:val="auto"/>
              </w:rPr>
            </w:pPr>
          </w:p>
        </w:tc>
      </w:tr>
      <w:tr>
        <w:trPr>
          <w:trHeight w:val="158"/>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for prior year acquisitions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2,161</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15,005</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4,239</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21,405</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Translation adjustments</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2,210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10,206</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10,662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3"/>
                <w:szCs w:val="13"/>
                <w:color w:val="auto"/>
              </w:rPr>
              <w:t>23,078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July 31, 2007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404,074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163,699</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169,677</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737,450</w:t>
            </w: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8000" w:type="dxa"/>
            <w:vAlign w:val="bottom"/>
            <w:gridSpan w:val="7"/>
          </w:tcPr>
          <w:p>
            <w:pPr>
              <w:ind w:left="400"/>
              <w:spacing w:after="0"/>
              <w:rPr>
                <w:sz w:val="20"/>
                <w:szCs w:val="20"/>
                <w:color w:val="auto"/>
              </w:rPr>
            </w:pPr>
            <w:r>
              <w:rPr>
                <w:rFonts w:ascii="Arial" w:cs="Arial" w:eastAsia="Arial" w:hAnsi="Arial"/>
                <w:sz w:val="13"/>
                <w:szCs w:val="13"/>
                <w:color w:val="auto"/>
                <w:w w:val="99"/>
              </w:rPr>
              <w:t>The following acquisitions completed in fiscal 2007 increased goodwill during the year ended July 31, 2007 by the following amounts: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egment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0"/>
                <w:szCs w:val="10"/>
                <w:b w:val="1"/>
                <w:bCs w:val="1"/>
                <w:color w:val="auto"/>
              </w:rPr>
              <w:t>Goodwill</w:t>
            </w: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Comprehensive Identification Products, Inc. (“CIPI”)</w:t>
            </w:r>
          </w:p>
        </w:tc>
        <w:tc>
          <w:tcPr>
            <w:tcW w:w="120" w:type="dxa"/>
            <w:vAlign w:val="bottom"/>
            <w:shd w:val="clear" w:color="auto" w:fill="CCEEFF"/>
          </w:tcPr>
          <w:p>
            <w:pPr>
              <w:spacing w:after="0"/>
              <w:rPr>
                <w:sz w:val="12"/>
                <w:szCs w:val="12"/>
                <w:color w:val="auto"/>
              </w:rPr>
            </w:pPr>
          </w:p>
        </w:tc>
        <w:tc>
          <w:tcPr>
            <w:tcW w:w="2200" w:type="dxa"/>
            <w:vAlign w:val="bottom"/>
            <w:gridSpan w:val="6"/>
            <w:shd w:val="clear" w:color="auto" w:fill="CCEEFF"/>
          </w:tcPr>
          <w:p>
            <w:pPr>
              <w:jc w:val="center"/>
              <w:ind w:left="437"/>
              <w:spacing w:after="0"/>
              <w:rPr>
                <w:sz w:val="20"/>
                <w:szCs w:val="20"/>
                <w:color w:val="auto"/>
              </w:rPr>
            </w:pPr>
            <w:r>
              <w:rPr>
                <w:rFonts w:ascii="Arial" w:cs="Arial" w:eastAsia="Arial" w:hAnsi="Arial"/>
                <w:sz w:val="12"/>
                <w:szCs w:val="12"/>
                <w:color w:val="auto"/>
                <w:w w:val="89"/>
              </w:rPr>
              <w:t>Americas, Europe and Asia-Pacific</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20,451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tcPr>
          <w:p>
            <w:pPr>
              <w:spacing w:after="0"/>
              <w:rPr>
                <w:sz w:val="20"/>
                <w:szCs w:val="20"/>
                <w:color w:val="auto"/>
              </w:rPr>
            </w:pPr>
            <w:r>
              <w:rPr>
                <w:rFonts w:ascii="Arial" w:cs="Arial" w:eastAsia="Arial" w:hAnsi="Arial"/>
                <w:sz w:val="12"/>
                <w:szCs w:val="12"/>
                <w:color w:val="auto"/>
              </w:rPr>
              <w:t>Precision Converters, L.P. (“Precision Converters”)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2"/>
                <w:szCs w:val="12"/>
                <w:color w:val="auto"/>
                <w:w w:val="87"/>
              </w:rPr>
              <w:t>Americas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9,665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Scafftag, Ltd., Safetrak, Ltd. and Scafftag Pty., Ltd. (collectively “Scafftag”)</w:t>
            </w:r>
          </w:p>
        </w:tc>
        <w:tc>
          <w:tcPr>
            <w:tcW w:w="120" w:type="dxa"/>
            <w:vAlign w:val="bottom"/>
            <w:shd w:val="clear" w:color="auto" w:fill="CCEEFF"/>
          </w:tcPr>
          <w:p>
            <w:pPr>
              <w:spacing w:after="0"/>
              <w:rPr>
                <w:sz w:val="12"/>
                <w:szCs w:val="12"/>
                <w:color w:val="auto"/>
              </w:rPr>
            </w:pPr>
          </w:p>
        </w:tc>
        <w:tc>
          <w:tcPr>
            <w:tcW w:w="2200" w:type="dxa"/>
            <w:vAlign w:val="bottom"/>
            <w:gridSpan w:val="6"/>
            <w:shd w:val="clear" w:color="auto" w:fill="CCEEFF"/>
          </w:tcPr>
          <w:p>
            <w:pPr>
              <w:jc w:val="center"/>
              <w:ind w:left="437"/>
              <w:spacing w:after="0"/>
              <w:rPr>
                <w:sz w:val="20"/>
                <w:szCs w:val="20"/>
                <w:color w:val="auto"/>
              </w:rPr>
            </w:pPr>
            <w:r>
              <w:rPr>
                <w:rFonts w:ascii="Arial" w:cs="Arial" w:eastAsia="Arial" w:hAnsi="Arial"/>
                <w:sz w:val="12"/>
                <w:szCs w:val="12"/>
                <w:color w:val="auto"/>
                <w:w w:val="89"/>
              </w:rPr>
              <w:t>Americas, Europe and Asia-Pacific</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7,030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tcPr>
          <w:p>
            <w:pPr>
              <w:spacing w:after="0"/>
              <w:rPr>
                <w:sz w:val="20"/>
                <w:szCs w:val="20"/>
                <w:color w:val="auto"/>
              </w:rPr>
            </w:pPr>
            <w:r>
              <w:rPr>
                <w:rFonts w:ascii="Arial" w:cs="Arial" w:eastAsia="Arial" w:hAnsi="Arial"/>
                <w:sz w:val="12"/>
                <w:szCs w:val="12"/>
                <w:color w:val="auto"/>
              </w:rPr>
              <w:t>Asterisco Artes Graficas Ltda. (“Asterisco”)</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2"/>
                <w:szCs w:val="12"/>
                <w:color w:val="auto"/>
                <w:w w:val="87"/>
              </w:rPr>
              <w:t>Americas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8,508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Modernotecnica SpA (“Moderno”)</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480"/>
              <w:spacing w:after="0"/>
              <w:rPr>
                <w:sz w:val="20"/>
                <w:szCs w:val="20"/>
                <w:color w:val="auto"/>
              </w:rPr>
            </w:pPr>
            <w:r>
              <w:rPr>
                <w:rFonts w:ascii="Arial" w:cs="Arial" w:eastAsia="Arial" w:hAnsi="Arial"/>
                <w:sz w:val="12"/>
                <w:szCs w:val="12"/>
                <w:color w:val="auto"/>
                <w:w w:val="87"/>
              </w:rPr>
              <w:t>Europe</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11,285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tcPr>
          <w:p>
            <w:pPr>
              <w:spacing w:after="0"/>
              <w:rPr>
                <w:sz w:val="20"/>
                <w:szCs w:val="20"/>
                <w:color w:val="auto"/>
              </w:rPr>
            </w:pPr>
            <w:r>
              <w:rPr>
                <w:rFonts w:ascii="Arial" w:cs="Arial" w:eastAsia="Arial" w:hAnsi="Arial"/>
                <w:sz w:val="12"/>
                <w:szCs w:val="12"/>
                <w:color w:val="auto"/>
              </w:rPr>
              <w:t>Clement Communications, Inc. (“Clement”)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2"/>
                <w:szCs w:val="12"/>
                <w:color w:val="auto"/>
                <w:w w:val="87"/>
              </w:rPr>
              <w:t>Americas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12,960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Sorbent Products Co., Inc. (“SPC”)</w:t>
            </w:r>
          </w:p>
        </w:tc>
        <w:tc>
          <w:tcPr>
            <w:tcW w:w="120" w:type="dxa"/>
            <w:vAlign w:val="bottom"/>
            <w:shd w:val="clear" w:color="auto" w:fill="CCEEFF"/>
          </w:tcPr>
          <w:p>
            <w:pPr>
              <w:spacing w:after="0"/>
              <w:rPr>
                <w:sz w:val="12"/>
                <w:szCs w:val="12"/>
                <w:color w:val="auto"/>
              </w:rPr>
            </w:pPr>
          </w:p>
        </w:tc>
        <w:tc>
          <w:tcPr>
            <w:tcW w:w="2200" w:type="dxa"/>
            <w:vAlign w:val="bottom"/>
            <w:gridSpan w:val="6"/>
            <w:shd w:val="clear" w:color="auto" w:fill="CCEEFF"/>
          </w:tcPr>
          <w:p>
            <w:pPr>
              <w:jc w:val="center"/>
              <w:ind w:left="437"/>
              <w:spacing w:after="0"/>
              <w:rPr>
                <w:sz w:val="20"/>
                <w:szCs w:val="20"/>
                <w:color w:val="auto"/>
              </w:rPr>
            </w:pPr>
            <w:r>
              <w:rPr>
                <w:rFonts w:ascii="Arial" w:cs="Arial" w:eastAsia="Arial" w:hAnsi="Arial"/>
                <w:sz w:val="12"/>
                <w:szCs w:val="12"/>
                <w:color w:val="auto"/>
                <w:w w:val="89"/>
              </w:rPr>
              <w:t>Americas, Europe and Asia-Pacific</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35,426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7"/>
              </w:rPr>
              <w:t>105,325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680" w:right="160" w:firstLine="399"/>
        <w:spacing w:after="0" w:line="334" w:lineRule="auto"/>
        <w:rPr>
          <w:sz w:val="20"/>
          <w:szCs w:val="20"/>
          <w:color w:val="auto"/>
        </w:rPr>
      </w:pPr>
      <w:r>
        <w:rPr>
          <w:rFonts w:ascii="Arial" w:cs="Arial" w:eastAsia="Arial" w:hAnsi="Arial"/>
          <w:sz w:val="11"/>
          <w:szCs w:val="11"/>
          <w:color w:val="auto"/>
        </w:rPr>
        <w:t>Goodwill also increased $21,405 during the year ended July 31, 2007, as a result of adjustments to the allocation of the purchase price for acquisitions completed in fiscal 2006 and the recording of $1,577 for the contingent payment due to the previous owners of QDP Thailand Co., Ltd. (“QDPT”) and $1,000 for the contingent payment due to the previous owners of STOPware, Inc. (“Stopware”), which were both acquired in fiscal 2006 (see Note 2 for more information). The largest components of the increase were as a result of adjustments to the</w:t>
      </w: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allocation of purchase price related to Tradex Converting AB (“Tradex”) and Daewon Industry Corporation (“Daewon”), which added $14,843 and $2,940, respectively.</w:t>
      </w:r>
    </w:p>
    <w:p>
      <w:pPr>
        <w:spacing w:after="0" w:line="96"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Of the $14,843 increase in goodwill related to the allocation of the purchase price for Tradex, $6,788 of the increase was due to the accrual for planned cost reduction activities contemplated at the date of the acquisition. The accrual consists of $2,639 for severance and other employee termination costs, $2,885 for contract termination and facility exit costs, and $1,264 for changes in the valuation of fixed assets. As of July 31, 2007, the remaining liability from such charges was approximately $2,702.</w:t>
      </w:r>
    </w:p>
    <w:p>
      <w:pPr>
        <w:spacing w:after="0" w:line="50"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Of the $2,940 increase in goodwill related to the allocation of the purchase price for Daewon, $1,829 of the increase was due to the finalization and payment of the purchase price adjustment owed to the former owners of Daewon and $1,013 of the increase was due to the accrual for planned cost reduction activities contemplated at the date of the acquisition. The accrual consists of $289 for severance and other employee termination costs, $277 for contract termination and facility exit costs, and $447 for changes in the valuation of assets. As of July 31, 2007, the remaining liability from such charges was approximately $309.</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remaining $23,078 increase to goodwill during fiscal 2007 was attributable to the effects of foreign currency translation.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acquisitions completed in fiscal 2006 increased goodwill during the year ended July 31, 2006 by the following amounts: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560" w:type="dxa"/>
            <w:vAlign w:val="bottom"/>
          </w:tcPr>
          <w:p>
            <w:pPr>
              <w:spacing w:after="0"/>
              <w:rPr>
                <w:sz w:val="11"/>
                <w:szCs w:val="11"/>
                <w:color w:val="auto"/>
              </w:rPr>
            </w:pPr>
          </w:p>
        </w:tc>
        <w:tc>
          <w:tcPr>
            <w:tcW w:w="3420" w:type="dxa"/>
            <w:vAlign w:val="bottom"/>
          </w:tcPr>
          <w:p>
            <w:pPr>
              <w:ind w:left="146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egment</w:t>
            </w: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b w:val="1"/>
                <w:bCs w:val="1"/>
                <w:color w:val="auto"/>
                <w:w w:val="89"/>
              </w:rPr>
              <w:t>Goodwill</w:t>
            </w:r>
          </w:p>
        </w:tc>
      </w:tr>
      <w:tr>
        <w:trPr>
          <w:trHeight w:val="29"/>
        </w:trPr>
        <w:tc>
          <w:tcPr>
            <w:tcW w:w="5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Stopware</w:t>
            </w:r>
          </w:p>
        </w:tc>
        <w:tc>
          <w:tcPr>
            <w:tcW w:w="3420" w:type="dxa"/>
            <w:vAlign w:val="bottom"/>
            <w:shd w:val="clear" w:color="auto" w:fill="CCEEFF"/>
          </w:tcPr>
          <w:p>
            <w:pPr>
              <w:jc w:val="center"/>
              <w:ind w:right="375"/>
              <w:spacing w:after="0"/>
              <w:rPr>
                <w:sz w:val="20"/>
                <w:szCs w:val="20"/>
                <w:color w:val="auto"/>
              </w:rPr>
            </w:pPr>
            <w:r>
              <w:rPr>
                <w:rFonts w:ascii="Arial" w:cs="Arial" w:eastAsia="Arial" w:hAnsi="Arial"/>
                <w:sz w:val="13"/>
                <w:szCs w:val="13"/>
                <w:color w:val="auto"/>
                <w:w w:val="92"/>
              </w:rPr>
              <w:t>Americas</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2,506</w:t>
            </w:r>
          </w:p>
        </w:tc>
      </w:tr>
      <w:tr>
        <w:trPr>
          <w:trHeight w:val="157"/>
        </w:trPr>
        <w:tc>
          <w:tcPr>
            <w:tcW w:w="5560" w:type="dxa"/>
            <w:vAlign w:val="bottom"/>
          </w:tcPr>
          <w:p>
            <w:pPr>
              <w:spacing w:after="0"/>
              <w:rPr>
                <w:sz w:val="20"/>
                <w:szCs w:val="20"/>
                <w:color w:val="auto"/>
              </w:rPr>
            </w:pPr>
            <w:r>
              <w:rPr>
                <w:rFonts w:ascii="Arial" w:cs="Arial" w:eastAsia="Arial" w:hAnsi="Arial"/>
                <w:sz w:val="13"/>
                <w:szCs w:val="13"/>
                <w:color w:val="auto"/>
              </w:rPr>
              <w:t>TruMed Technologies, Inc. (“TruMed”)</w:t>
            </w:r>
          </w:p>
        </w:tc>
        <w:tc>
          <w:tcPr>
            <w:tcW w:w="3420" w:type="dxa"/>
            <w:vAlign w:val="bottom"/>
          </w:tcPr>
          <w:p>
            <w:pPr>
              <w:jc w:val="center"/>
              <w:ind w:right="375"/>
              <w:spacing w:after="0"/>
              <w:rPr>
                <w:sz w:val="20"/>
                <w:szCs w:val="20"/>
                <w:color w:val="auto"/>
              </w:rPr>
            </w:pPr>
            <w:r>
              <w:rPr>
                <w:rFonts w:ascii="Arial" w:cs="Arial" w:eastAsia="Arial" w:hAnsi="Arial"/>
                <w:sz w:val="13"/>
                <w:szCs w:val="13"/>
                <w:color w:val="auto"/>
                <w:w w:val="92"/>
              </w:rPr>
              <w:t>Americas</w:t>
            </w:r>
          </w:p>
        </w:tc>
        <w:tc>
          <w:tcPr>
            <w:tcW w:w="30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4,134</w:t>
            </w: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J.A.M. Plastics Inc. (“J.A.M.”)</w:t>
            </w:r>
          </w:p>
        </w:tc>
        <w:tc>
          <w:tcPr>
            <w:tcW w:w="3420" w:type="dxa"/>
            <w:vAlign w:val="bottom"/>
            <w:shd w:val="clear" w:color="auto" w:fill="CCEEFF"/>
          </w:tcPr>
          <w:p>
            <w:pPr>
              <w:jc w:val="center"/>
              <w:ind w:right="375"/>
              <w:spacing w:after="0"/>
              <w:rPr>
                <w:sz w:val="20"/>
                <w:szCs w:val="20"/>
                <w:color w:val="auto"/>
              </w:rPr>
            </w:pPr>
            <w:r>
              <w:rPr>
                <w:rFonts w:ascii="Arial" w:cs="Arial" w:eastAsia="Arial" w:hAnsi="Arial"/>
                <w:sz w:val="13"/>
                <w:szCs w:val="13"/>
                <w:color w:val="auto"/>
                <w:w w:val="92"/>
              </w:rPr>
              <w:t>Americas</w:t>
            </w:r>
          </w:p>
        </w:tc>
        <w:tc>
          <w:tcPr>
            <w:tcW w:w="3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9,116</w:t>
            </w:r>
          </w:p>
        </w:tc>
      </w:tr>
      <w:tr>
        <w:trPr>
          <w:trHeight w:val="157"/>
        </w:trPr>
        <w:tc>
          <w:tcPr>
            <w:tcW w:w="5560" w:type="dxa"/>
            <w:vAlign w:val="bottom"/>
          </w:tcPr>
          <w:p>
            <w:pPr>
              <w:spacing w:after="0"/>
              <w:rPr>
                <w:sz w:val="20"/>
                <w:szCs w:val="20"/>
                <w:color w:val="auto"/>
              </w:rPr>
            </w:pPr>
            <w:r>
              <w:rPr>
                <w:rFonts w:ascii="Arial" w:cs="Arial" w:eastAsia="Arial" w:hAnsi="Arial"/>
                <w:sz w:val="13"/>
                <w:szCs w:val="13"/>
                <w:color w:val="auto"/>
              </w:rPr>
              <w:t>Personnel Concepts</w:t>
            </w:r>
          </w:p>
        </w:tc>
        <w:tc>
          <w:tcPr>
            <w:tcW w:w="3420" w:type="dxa"/>
            <w:vAlign w:val="bottom"/>
          </w:tcPr>
          <w:p>
            <w:pPr>
              <w:jc w:val="center"/>
              <w:ind w:right="375"/>
              <w:spacing w:after="0"/>
              <w:rPr>
                <w:sz w:val="20"/>
                <w:szCs w:val="20"/>
                <w:color w:val="auto"/>
              </w:rPr>
            </w:pPr>
            <w:r>
              <w:rPr>
                <w:rFonts w:ascii="Arial" w:cs="Arial" w:eastAsia="Arial" w:hAnsi="Arial"/>
                <w:sz w:val="13"/>
                <w:szCs w:val="13"/>
                <w:color w:val="auto"/>
                <w:w w:val="92"/>
              </w:rPr>
              <w:t>Americas</w:t>
            </w:r>
          </w:p>
        </w:tc>
        <w:tc>
          <w:tcPr>
            <w:tcW w:w="30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48,154</w:t>
            </w: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IDenticard Systems, Inc. (“IDenticard”)</w:t>
            </w:r>
          </w:p>
        </w:tc>
        <w:tc>
          <w:tcPr>
            <w:tcW w:w="3420" w:type="dxa"/>
            <w:vAlign w:val="bottom"/>
            <w:shd w:val="clear" w:color="auto" w:fill="CCEEFF"/>
          </w:tcPr>
          <w:p>
            <w:pPr>
              <w:jc w:val="center"/>
              <w:ind w:right="375"/>
              <w:spacing w:after="0"/>
              <w:rPr>
                <w:sz w:val="20"/>
                <w:szCs w:val="20"/>
                <w:color w:val="auto"/>
              </w:rPr>
            </w:pPr>
            <w:r>
              <w:rPr>
                <w:rFonts w:ascii="Arial" w:cs="Arial" w:eastAsia="Arial" w:hAnsi="Arial"/>
                <w:sz w:val="13"/>
                <w:szCs w:val="13"/>
                <w:color w:val="auto"/>
                <w:w w:val="92"/>
              </w:rPr>
              <w:t>Americas</w:t>
            </w:r>
          </w:p>
        </w:tc>
        <w:tc>
          <w:tcPr>
            <w:tcW w:w="3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25,192</w:t>
            </w:r>
          </w:p>
        </w:tc>
      </w:tr>
      <w:tr>
        <w:trPr>
          <w:trHeight w:val="157"/>
        </w:trPr>
        <w:tc>
          <w:tcPr>
            <w:tcW w:w="5560" w:type="dxa"/>
            <w:vAlign w:val="bottom"/>
          </w:tcPr>
          <w:p>
            <w:pPr>
              <w:spacing w:after="0"/>
              <w:rPr>
                <w:sz w:val="20"/>
                <w:szCs w:val="20"/>
                <w:color w:val="auto"/>
              </w:rPr>
            </w:pPr>
            <w:r>
              <w:rPr>
                <w:rFonts w:ascii="Arial" w:cs="Arial" w:eastAsia="Arial" w:hAnsi="Arial"/>
                <w:sz w:val="13"/>
                <w:szCs w:val="13"/>
                <w:color w:val="auto"/>
              </w:rPr>
              <w:t>Identicam Systems (“Identicam”)</w:t>
            </w:r>
          </w:p>
        </w:tc>
        <w:tc>
          <w:tcPr>
            <w:tcW w:w="3420" w:type="dxa"/>
            <w:vAlign w:val="bottom"/>
          </w:tcPr>
          <w:p>
            <w:pPr>
              <w:jc w:val="center"/>
              <w:ind w:right="375"/>
              <w:spacing w:after="0"/>
              <w:rPr>
                <w:sz w:val="20"/>
                <w:szCs w:val="20"/>
                <w:color w:val="auto"/>
              </w:rPr>
            </w:pPr>
            <w:r>
              <w:rPr>
                <w:rFonts w:ascii="Arial" w:cs="Arial" w:eastAsia="Arial" w:hAnsi="Arial"/>
                <w:sz w:val="13"/>
                <w:szCs w:val="13"/>
                <w:color w:val="auto"/>
                <w:w w:val="92"/>
              </w:rPr>
              <w:t>Americas</w:t>
            </w:r>
          </w:p>
        </w:tc>
        <w:tc>
          <w:tcPr>
            <w:tcW w:w="30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6,001</w:t>
            </w: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Texit Danmark AS and Texit Norge AS (collectively “Texit”)</w:t>
            </w:r>
          </w:p>
        </w:tc>
        <w:tc>
          <w:tcPr>
            <w:tcW w:w="3420" w:type="dxa"/>
            <w:vAlign w:val="bottom"/>
            <w:shd w:val="clear" w:color="auto" w:fill="CCEEFF"/>
          </w:tcPr>
          <w:p>
            <w:pPr>
              <w:jc w:val="center"/>
              <w:ind w:right="375"/>
              <w:spacing w:after="0"/>
              <w:rPr>
                <w:sz w:val="20"/>
                <w:szCs w:val="20"/>
                <w:color w:val="auto"/>
              </w:rPr>
            </w:pPr>
            <w:r>
              <w:rPr>
                <w:rFonts w:ascii="Arial" w:cs="Arial" w:eastAsia="Arial" w:hAnsi="Arial"/>
                <w:sz w:val="13"/>
                <w:szCs w:val="13"/>
                <w:color w:val="auto"/>
                <w:w w:val="90"/>
              </w:rPr>
              <w:t>Europe</w:t>
            </w:r>
          </w:p>
        </w:tc>
        <w:tc>
          <w:tcPr>
            <w:tcW w:w="3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6,043</w:t>
            </w:r>
          </w:p>
        </w:tc>
      </w:tr>
      <w:tr>
        <w:trPr>
          <w:trHeight w:val="157"/>
        </w:trPr>
        <w:tc>
          <w:tcPr>
            <w:tcW w:w="5560" w:type="dxa"/>
            <w:vAlign w:val="bottom"/>
          </w:tcPr>
          <w:p>
            <w:pPr>
              <w:spacing w:after="0"/>
              <w:rPr>
                <w:sz w:val="20"/>
                <w:szCs w:val="20"/>
                <w:color w:val="auto"/>
              </w:rPr>
            </w:pPr>
            <w:r>
              <w:rPr>
                <w:rFonts w:ascii="Arial" w:cs="Arial" w:eastAsia="Arial" w:hAnsi="Arial"/>
                <w:sz w:val="13"/>
                <w:szCs w:val="13"/>
                <w:color w:val="auto"/>
              </w:rPr>
              <w:t>QDPT</w:t>
            </w:r>
          </w:p>
        </w:tc>
        <w:tc>
          <w:tcPr>
            <w:tcW w:w="3420" w:type="dxa"/>
            <w:vAlign w:val="bottom"/>
          </w:tcPr>
          <w:p>
            <w:pPr>
              <w:jc w:val="center"/>
              <w:ind w:right="395"/>
              <w:spacing w:after="0"/>
              <w:rPr>
                <w:sz w:val="20"/>
                <w:szCs w:val="20"/>
                <w:color w:val="auto"/>
              </w:rPr>
            </w:pPr>
            <w:r>
              <w:rPr>
                <w:rFonts w:ascii="Arial" w:cs="Arial" w:eastAsia="Arial" w:hAnsi="Arial"/>
                <w:sz w:val="13"/>
                <w:szCs w:val="13"/>
                <w:color w:val="auto"/>
                <w:w w:val="94"/>
              </w:rPr>
              <w:t>Asia-Pacific</w:t>
            </w:r>
          </w:p>
        </w:tc>
        <w:tc>
          <w:tcPr>
            <w:tcW w:w="30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2,298</w:t>
            </w: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Daewon</w:t>
            </w:r>
          </w:p>
        </w:tc>
        <w:tc>
          <w:tcPr>
            <w:tcW w:w="3420" w:type="dxa"/>
            <w:vAlign w:val="bottom"/>
            <w:shd w:val="clear" w:color="auto" w:fill="CCEEFF"/>
          </w:tcPr>
          <w:p>
            <w:pPr>
              <w:jc w:val="center"/>
              <w:ind w:right="395"/>
              <w:spacing w:after="0"/>
              <w:rPr>
                <w:sz w:val="20"/>
                <w:szCs w:val="20"/>
                <w:color w:val="auto"/>
              </w:rPr>
            </w:pPr>
            <w:r>
              <w:rPr>
                <w:rFonts w:ascii="Arial" w:cs="Arial" w:eastAsia="Arial" w:hAnsi="Arial"/>
                <w:sz w:val="13"/>
                <w:szCs w:val="13"/>
                <w:color w:val="auto"/>
                <w:w w:val="94"/>
              </w:rPr>
              <w:t>Asia-Pacific</w:t>
            </w:r>
          </w:p>
        </w:tc>
        <w:tc>
          <w:tcPr>
            <w:tcW w:w="3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18,005</w:t>
            </w:r>
          </w:p>
        </w:tc>
      </w:tr>
      <w:tr>
        <w:trPr>
          <w:trHeight w:val="148"/>
        </w:trPr>
        <w:tc>
          <w:tcPr>
            <w:tcW w:w="5560" w:type="dxa"/>
            <w:vAlign w:val="bottom"/>
          </w:tcPr>
          <w:p>
            <w:pPr>
              <w:spacing w:after="0" w:line="149" w:lineRule="exact"/>
              <w:rPr>
                <w:sz w:val="20"/>
                <w:szCs w:val="20"/>
                <w:color w:val="auto"/>
              </w:rPr>
            </w:pPr>
            <w:r>
              <w:rPr>
                <w:rFonts w:ascii="Arial" w:cs="Arial" w:eastAsia="Arial" w:hAnsi="Arial"/>
                <w:sz w:val="13"/>
                <w:szCs w:val="13"/>
                <w:color w:val="auto"/>
              </w:rPr>
              <w:t>Accidental Health &amp; Safety Pty. Ltd. and Trafalgar First Aid Pty. Ltd. (collectively “Accidental</w:t>
            </w:r>
          </w:p>
        </w:tc>
        <w:tc>
          <w:tcPr>
            <w:tcW w:w="3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65"/>
        </w:trPr>
        <w:tc>
          <w:tcPr>
            <w:tcW w:w="5560" w:type="dxa"/>
            <w:vAlign w:val="bottom"/>
          </w:tcPr>
          <w:p>
            <w:pPr>
              <w:ind w:left="140"/>
              <w:spacing w:after="0"/>
              <w:rPr>
                <w:sz w:val="20"/>
                <w:szCs w:val="20"/>
                <w:color w:val="auto"/>
              </w:rPr>
            </w:pPr>
            <w:r>
              <w:rPr>
                <w:rFonts w:ascii="Arial" w:cs="Arial" w:eastAsia="Arial" w:hAnsi="Arial"/>
                <w:sz w:val="13"/>
                <w:szCs w:val="13"/>
                <w:color w:val="auto"/>
              </w:rPr>
              <w:t>Health”)</w:t>
            </w:r>
          </w:p>
        </w:tc>
        <w:tc>
          <w:tcPr>
            <w:tcW w:w="3420" w:type="dxa"/>
            <w:vAlign w:val="bottom"/>
          </w:tcPr>
          <w:p>
            <w:pPr>
              <w:jc w:val="center"/>
              <w:ind w:right="395"/>
              <w:spacing w:after="0"/>
              <w:rPr>
                <w:sz w:val="20"/>
                <w:szCs w:val="20"/>
                <w:color w:val="auto"/>
              </w:rPr>
            </w:pPr>
            <w:r>
              <w:rPr>
                <w:rFonts w:ascii="Arial" w:cs="Arial" w:eastAsia="Arial" w:hAnsi="Arial"/>
                <w:sz w:val="13"/>
                <w:szCs w:val="13"/>
                <w:color w:val="auto"/>
                <w:w w:val="94"/>
              </w:rPr>
              <w:t>Asia-Pacific</w:t>
            </w:r>
          </w:p>
        </w:tc>
        <w:tc>
          <w:tcPr>
            <w:tcW w:w="3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6,895</w:t>
            </w:r>
          </w:p>
        </w:tc>
      </w:tr>
      <w:tr>
        <w:trPr>
          <w:trHeight w:val="158"/>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Carroll Australasia Pty. Ltd. (“Carroll”)</w:t>
            </w:r>
          </w:p>
        </w:tc>
        <w:tc>
          <w:tcPr>
            <w:tcW w:w="3420" w:type="dxa"/>
            <w:vAlign w:val="bottom"/>
            <w:shd w:val="clear" w:color="auto" w:fill="CCEEFF"/>
          </w:tcPr>
          <w:p>
            <w:pPr>
              <w:jc w:val="center"/>
              <w:ind w:right="395"/>
              <w:spacing w:after="0"/>
              <w:rPr>
                <w:sz w:val="20"/>
                <w:szCs w:val="20"/>
                <w:color w:val="auto"/>
              </w:rPr>
            </w:pPr>
            <w:r>
              <w:rPr>
                <w:rFonts w:ascii="Arial" w:cs="Arial" w:eastAsia="Arial" w:hAnsi="Arial"/>
                <w:sz w:val="13"/>
                <w:szCs w:val="13"/>
                <w:color w:val="auto"/>
                <w:w w:val="94"/>
              </w:rPr>
              <w:t>Asia-Pacific</w:t>
            </w:r>
          </w:p>
        </w:tc>
        <w:tc>
          <w:tcPr>
            <w:tcW w:w="3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12,343</w:t>
            </w:r>
          </w:p>
        </w:tc>
      </w:tr>
      <w:tr>
        <w:trPr>
          <w:trHeight w:val="157"/>
        </w:trPr>
        <w:tc>
          <w:tcPr>
            <w:tcW w:w="5560" w:type="dxa"/>
            <w:vAlign w:val="bottom"/>
          </w:tcPr>
          <w:p>
            <w:pPr>
              <w:spacing w:after="0"/>
              <w:rPr>
                <w:sz w:val="20"/>
                <w:szCs w:val="20"/>
                <w:color w:val="auto"/>
              </w:rPr>
            </w:pPr>
            <w:r>
              <w:rPr>
                <w:rFonts w:ascii="Arial" w:cs="Arial" w:eastAsia="Arial" w:hAnsi="Arial"/>
                <w:sz w:val="13"/>
                <w:szCs w:val="13"/>
                <w:color w:val="auto"/>
              </w:rPr>
              <w:t>Tradex</w:t>
            </w:r>
          </w:p>
        </w:tc>
        <w:tc>
          <w:tcPr>
            <w:tcW w:w="3420" w:type="dxa"/>
            <w:vAlign w:val="bottom"/>
          </w:tcPr>
          <w:p>
            <w:pPr>
              <w:jc w:val="center"/>
              <w:ind w:right="375"/>
              <w:spacing w:after="0"/>
              <w:rPr>
                <w:sz w:val="20"/>
                <w:szCs w:val="20"/>
                <w:color w:val="auto"/>
              </w:rPr>
            </w:pPr>
            <w:r>
              <w:rPr>
                <w:rFonts w:ascii="Arial" w:cs="Arial" w:eastAsia="Arial" w:hAnsi="Arial"/>
                <w:sz w:val="13"/>
                <w:szCs w:val="13"/>
                <w:color w:val="auto"/>
                <w:w w:val="92"/>
              </w:rPr>
              <w:t>Americas, Europe and Asia-Pacific</w:t>
            </w:r>
          </w:p>
        </w:tc>
        <w:tc>
          <w:tcPr>
            <w:tcW w:w="30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106,411</w:t>
            </w:r>
          </w:p>
        </w:tc>
        <w:tc>
          <w:tcPr>
            <w:tcW w:w="280" w:type="dxa"/>
            <w:vAlign w:val="bottom"/>
          </w:tcPr>
          <w:p>
            <w:pPr>
              <w:spacing w:after="0"/>
              <w:rPr>
                <w:sz w:val="13"/>
                <w:szCs w:val="13"/>
                <w:color w:val="auto"/>
              </w:rPr>
            </w:pP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342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85"/>
              </w:rPr>
              <w:t>247,098</w:t>
            </w:r>
          </w:p>
        </w:tc>
      </w:tr>
      <w:tr>
        <w:trPr>
          <w:trHeight w:val="29"/>
        </w:trPr>
        <w:tc>
          <w:tcPr>
            <w:tcW w:w="5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bl>
    <w:p>
      <w:pPr>
        <w:spacing w:after="0" w:line="90"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Goodwill also decreased $495 during the year ended July 31, 2006, as a result of adjustments to the allocation of the purchase price of Signs and Labels Ltd. (“Signs &amp; Labels”), in Europe which was acquired on June 24, 2005 and to Technology Print Supplies, Ltd. and its associate, Technology Supply Media Co., Ltd. (“TPS”) in Thailand, which were acquired on July 29, 2005. The remaining $8,670 increase to goodwill during fiscal 2006 was attributable to the effects of foreign currency translation.</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Other intangible assets include patents, trademarks, customer relationships, purchased software,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41"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31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July 31, 2007</w:t>
            </w: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9"/>
                <w:szCs w:val="9"/>
                <w:b w:val="1"/>
                <w:bCs w:val="1"/>
                <w:color w:val="auto"/>
              </w:rPr>
              <w:t>July 31, 2006</w:t>
            </w: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5"/>
        </w:trPr>
        <w:tc>
          <w:tcPr>
            <w:tcW w:w="3120" w:type="dxa"/>
            <w:vAlign w:val="bottom"/>
          </w:tcPr>
          <w:p>
            <w:pPr>
              <w:spacing w:after="0"/>
              <w:rPr>
                <w:sz w:val="6"/>
                <w:szCs w:val="6"/>
                <w:color w:val="auto"/>
              </w:rPr>
            </w:pPr>
          </w:p>
        </w:tc>
        <w:tc>
          <w:tcPr>
            <w:tcW w:w="1020" w:type="dxa"/>
            <w:vAlign w:val="bottom"/>
            <w:gridSpan w:val="2"/>
          </w:tcPr>
          <w:p>
            <w:pPr>
              <w:jc w:val="center"/>
              <w:ind w:right="220"/>
              <w:spacing w:after="0" w:line="75" w:lineRule="exact"/>
              <w:rPr>
                <w:sz w:val="20"/>
                <w:szCs w:val="20"/>
                <w:color w:val="auto"/>
              </w:rPr>
            </w:pPr>
            <w:r>
              <w:rPr>
                <w:rFonts w:ascii="Arial" w:cs="Arial" w:eastAsia="Arial" w:hAnsi="Arial"/>
                <w:sz w:val="8"/>
                <w:szCs w:val="8"/>
                <w:b w:val="1"/>
                <w:bCs w:val="1"/>
                <w:color w:val="auto"/>
                <w:w w:val="99"/>
              </w:rPr>
              <w:t>Weighted</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gridSpan w:val="2"/>
          </w:tcPr>
          <w:p>
            <w:pPr>
              <w:jc w:val="center"/>
              <w:ind w:right="200"/>
              <w:spacing w:after="0" w:line="75" w:lineRule="exact"/>
              <w:rPr>
                <w:sz w:val="20"/>
                <w:szCs w:val="20"/>
                <w:color w:val="auto"/>
              </w:rPr>
            </w:pPr>
            <w:r>
              <w:rPr>
                <w:rFonts w:ascii="Arial" w:cs="Arial" w:eastAsia="Arial" w:hAnsi="Arial"/>
                <w:sz w:val="8"/>
                <w:szCs w:val="8"/>
                <w:b w:val="1"/>
                <w:bCs w:val="1"/>
                <w:color w:val="auto"/>
              </w:rPr>
              <w:t>Weighted</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98"/>
        </w:trPr>
        <w:tc>
          <w:tcPr>
            <w:tcW w:w="3120" w:type="dxa"/>
            <w:vAlign w:val="bottom"/>
          </w:tcPr>
          <w:p>
            <w:pPr>
              <w:spacing w:after="0"/>
              <w:rPr>
                <w:sz w:val="8"/>
                <w:szCs w:val="8"/>
                <w:color w:val="auto"/>
              </w:rPr>
            </w:pPr>
          </w:p>
        </w:tc>
        <w:tc>
          <w:tcPr>
            <w:tcW w:w="102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89"/>
              </w:rPr>
              <w:t>Average</w:t>
            </w:r>
          </w:p>
        </w:tc>
        <w:tc>
          <w:tcPr>
            <w:tcW w:w="100" w:type="dxa"/>
            <w:vAlign w:val="bottom"/>
          </w:tcPr>
          <w:p>
            <w:pPr>
              <w:spacing w:after="0"/>
              <w:rPr>
                <w:sz w:val="8"/>
                <w:szCs w:val="8"/>
                <w:color w:val="auto"/>
              </w:rPr>
            </w:pPr>
          </w:p>
        </w:tc>
        <w:tc>
          <w:tcPr>
            <w:tcW w:w="72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84"/>
              </w:rPr>
              <w:t>Gross</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89"/>
              </w:rPr>
              <w:t>Average</w:t>
            </w:r>
          </w:p>
        </w:tc>
        <w:tc>
          <w:tcPr>
            <w:tcW w:w="100" w:type="dxa"/>
            <w:vAlign w:val="bottom"/>
          </w:tcPr>
          <w:p>
            <w:pPr>
              <w:spacing w:after="0"/>
              <w:rPr>
                <w:sz w:val="8"/>
                <w:szCs w:val="8"/>
                <w:color w:val="auto"/>
              </w:rPr>
            </w:pPr>
          </w:p>
        </w:tc>
        <w:tc>
          <w:tcPr>
            <w:tcW w:w="70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2"/>
              </w:rPr>
              <w:t>Gross</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120" w:type="dxa"/>
            <w:vAlign w:val="bottom"/>
          </w:tcPr>
          <w:p>
            <w:pPr>
              <w:spacing w:after="0"/>
              <w:rPr>
                <w:sz w:val="8"/>
                <w:szCs w:val="8"/>
                <w:color w:val="auto"/>
              </w:rPr>
            </w:pPr>
          </w:p>
        </w:tc>
        <w:tc>
          <w:tcPr>
            <w:tcW w:w="102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94"/>
              </w:rPr>
              <w:t>Amortization</w:t>
            </w:r>
          </w:p>
        </w:tc>
        <w:tc>
          <w:tcPr>
            <w:tcW w:w="100" w:type="dxa"/>
            <w:vAlign w:val="bottom"/>
          </w:tcPr>
          <w:p>
            <w:pPr>
              <w:spacing w:after="0"/>
              <w:rPr>
                <w:sz w:val="8"/>
                <w:szCs w:val="8"/>
                <w:color w:val="auto"/>
              </w:rPr>
            </w:pPr>
          </w:p>
        </w:tc>
        <w:tc>
          <w:tcPr>
            <w:tcW w:w="7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7"/>
              </w:rPr>
              <w:t>Carrying</w:t>
            </w:r>
          </w:p>
        </w:tc>
        <w:tc>
          <w:tcPr>
            <w:tcW w:w="80" w:type="dxa"/>
            <w:vAlign w:val="bottom"/>
          </w:tcPr>
          <w:p>
            <w:pPr>
              <w:spacing w:after="0"/>
              <w:rPr>
                <w:sz w:val="8"/>
                <w:szCs w:val="8"/>
                <w:color w:val="auto"/>
              </w:rPr>
            </w:pPr>
          </w:p>
        </w:tc>
        <w:tc>
          <w:tcPr>
            <w:tcW w:w="800" w:type="dxa"/>
            <w:vAlign w:val="bottom"/>
            <w:gridSpan w:val="2"/>
          </w:tcPr>
          <w:p>
            <w:pPr>
              <w:jc w:val="right"/>
              <w:ind w:right="280"/>
              <w:spacing w:after="0" w:line="98" w:lineRule="exact"/>
              <w:rPr>
                <w:sz w:val="20"/>
                <w:szCs w:val="20"/>
                <w:color w:val="auto"/>
              </w:rPr>
            </w:pPr>
            <w:r>
              <w:rPr>
                <w:rFonts w:ascii="Arial" w:cs="Arial" w:eastAsia="Arial" w:hAnsi="Arial"/>
                <w:sz w:val="9"/>
                <w:szCs w:val="9"/>
                <w:b w:val="1"/>
                <w:bCs w:val="1"/>
                <w:color w:val="auto"/>
                <w:w w:val="88"/>
              </w:rPr>
              <w:t>Accumulated</w:t>
            </w:r>
          </w:p>
        </w:tc>
        <w:tc>
          <w:tcPr>
            <w:tcW w:w="100" w:type="dxa"/>
            <w:vAlign w:val="bottom"/>
          </w:tcPr>
          <w:p>
            <w:pPr>
              <w:spacing w:after="0"/>
              <w:rPr>
                <w:sz w:val="8"/>
                <w:szCs w:val="8"/>
                <w:color w:val="auto"/>
              </w:rPr>
            </w:pPr>
          </w:p>
        </w:tc>
        <w:tc>
          <w:tcPr>
            <w:tcW w:w="70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1"/>
              </w:rPr>
              <w:t>Net Book</w:t>
            </w:r>
          </w:p>
        </w:tc>
        <w:tc>
          <w:tcPr>
            <w:tcW w:w="9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8"/>
              </w:rPr>
              <w:t>Amortization</w:t>
            </w:r>
          </w:p>
        </w:tc>
        <w:tc>
          <w:tcPr>
            <w:tcW w:w="100" w:type="dxa"/>
            <w:vAlign w:val="bottom"/>
          </w:tcPr>
          <w:p>
            <w:pPr>
              <w:spacing w:after="0"/>
              <w:rPr>
                <w:sz w:val="8"/>
                <w:szCs w:val="8"/>
                <w:color w:val="auto"/>
              </w:rPr>
            </w:pPr>
          </w:p>
        </w:tc>
        <w:tc>
          <w:tcPr>
            <w:tcW w:w="70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7"/>
              </w:rPr>
              <w:t>Carrying</w:t>
            </w:r>
          </w:p>
        </w:tc>
        <w:tc>
          <w:tcPr>
            <w:tcW w:w="60" w:type="dxa"/>
            <w:vAlign w:val="bottom"/>
          </w:tcPr>
          <w:p>
            <w:pPr>
              <w:spacing w:after="0"/>
              <w:rPr>
                <w:sz w:val="8"/>
                <w:szCs w:val="8"/>
                <w:color w:val="auto"/>
              </w:rPr>
            </w:pPr>
          </w:p>
        </w:tc>
        <w:tc>
          <w:tcPr>
            <w:tcW w:w="820" w:type="dxa"/>
            <w:vAlign w:val="bottom"/>
            <w:gridSpan w:val="2"/>
          </w:tcPr>
          <w:p>
            <w:pPr>
              <w:jc w:val="right"/>
              <w:ind w:right="280"/>
              <w:spacing w:after="0" w:line="98" w:lineRule="exact"/>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b w:val="1"/>
                <w:bCs w:val="1"/>
                <w:color w:val="auto"/>
                <w:w w:val="96"/>
              </w:rPr>
              <w:t>Net Book</w:t>
            </w:r>
          </w:p>
        </w:tc>
      </w:tr>
      <w:tr>
        <w:trPr>
          <w:trHeight w:val="111"/>
        </w:trPr>
        <w:tc>
          <w:tcPr>
            <w:tcW w:w="3120" w:type="dxa"/>
            <w:vAlign w:val="bottom"/>
          </w:tcPr>
          <w:p>
            <w:pPr>
              <w:spacing w:after="0"/>
              <w:rPr>
                <w:sz w:val="9"/>
                <w:szCs w:val="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Period (Years)</w:t>
            </w:r>
          </w:p>
        </w:tc>
        <w:tc>
          <w:tcPr>
            <w:tcW w:w="100" w:type="dxa"/>
            <w:vAlign w:val="bottom"/>
          </w:tcPr>
          <w:p>
            <w:pPr>
              <w:spacing w:after="0"/>
              <w:rPr>
                <w:sz w:val="9"/>
                <w:szCs w:val="9"/>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3"/>
              </w:rPr>
              <w:t>Amount</w:t>
            </w:r>
          </w:p>
        </w:tc>
        <w:tc>
          <w:tcPr>
            <w:tcW w:w="80" w:type="dxa"/>
            <w:vAlign w:val="bottom"/>
          </w:tcPr>
          <w:p>
            <w:pPr>
              <w:spacing w:after="0"/>
              <w:rPr>
                <w:sz w:val="9"/>
                <w:szCs w:val="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90"/>
              </w:rPr>
              <w:t>Amortization</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Value</w:t>
            </w: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Period (Years)</w:t>
            </w:r>
          </w:p>
        </w:tc>
        <w:tc>
          <w:tcPr>
            <w:tcW w:w="100" w:type="dxa"/>
            <w:vAlign w:val="bottom"/>
          </w:tcPr>
          <w:p>
            <w:pPr>
              <w:spacing w:after="0"/>
              <w:rPr>
                <w:sz w:val="9"/>
                <w:szCs w:val="9"/>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3"/>
              </w:rPr>
              <w:t>Amount</w:t>
            </w:r>
          </w:p>
        </w:tc>
        <w:tc>
          <w:tcPr>
            <w:tcW w:w="60" w:type="dxa"/>
            <w:vAlign w:val="bottom"/>
          </w:tcPr>
          <w:p>
            <w:pPr>
              <w:spacing w:after="0"/>
              <w:rPr>
                <w:sz w:val="9"/>
                <w:szCs w:val="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94"/>
              </w:rPr>
              <w:t>Amortization</w:t>
            </w:r>
          </w:p>
        </w:tc>
        <w:tc>
          <w:tcPr>
            <w:tcW w:w="80" w:type="dxa"/>
            <w:vAlign w:val="bottom"/>
          </w:tcPr>
          <w:p>
            <w:pPr>
              <w:spacing w:after="0"/>
              <w:rPr>
                <w:sz w:val="9"/>
                <w:szCs w:val="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Value</w:t>
            </w:r>
          </w:p>
        </w:tc>
      </w:tr>
      <w:tr>
        <w:trPr>
          <w:trHeight w:val="29"/>
        </w:trPr>
        <w:tc>
          <w:tcPr>
            <w:tcW w:w="31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Amortized other intangible assets:</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3120" w:type="dxa"/>
            <w:vAlign w:val="bottom"/>
          </w:tcPr>
          <w:p>
            <w:pPr>
              <w:ind w:left="120"/>
              <w:spacing w:after="0"/>
              <w:rPr>
                <w:sz w:val="20"/>
                <w:szCs w:val="20"/>
                <w:color w:val="auto"/>
              </w:rPr>
            </w:pPr>
            <w:r>
              <w:rPr>
                <w:rFonts w:ascii="Arial" w:cs="Arial" w:eastAsia="Arial" w:hAnsi="Arial"/>
                <w:sz w:val="12"/>
                <w:szCs w:val="12"/>
                <w:color w:val="auto"/>
              </w:rPr>
              <w:t>Patents</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15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8,392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(5,913)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2,479</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7,885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(5,134)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2,751</w:t>
            </w:r>
          </w:p>
        </w:tc>
      </w:tr>
      <w:tr>
        <w:trPr>
          <w:trHeight w:val="147"/>
        </w:trPr>
        <w:tc>
          <w:tcPr>
            <w:tcW w:w="3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Trademarks and other</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4,510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(3,250)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1,260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3,328</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(2,106)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1,222</w:t>
            </w:r>
          </w:p>
        </w:tc>
      </w:tr>
      <w:tr>
        <w:trPr>
          <w:trHeight w:val="147"/>
        </w:trPr>
        <w:tc>
          <w:tcPr>
            <w:tcW w:w="3120" w:type="dxa"/>
            <w:vAlign w:val="bottom"/>
          </w:tcPr>
          <w:p>
            <w:pPr>
              <w:ind w:left="120"/>
              <w:spacing w:after="0"/>
              <w:rPr>
                <w:sz w:val="20"/>
                <w:szCs w:val="20"/>
                <w:color w:val="auto"/>
              </w:rPr>
            </w:pPr>
            <w:r>
              <w:rPr>
                <w:rFonts w:ascii="Arial" w:cs="Arial" w:eastAsia="Arial" w:hAnsi="Arial"/>
                <w:sz w:val="12"/>
                <w:szCs w:val="12"/>
                <w:color w:val="auto"/>
              </w:rPr>
              <w:t>Customer relationships</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134,125</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(36,674)</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97,451</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109,955</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(17,693)</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92,262</w:t>
            </w:r>
          </w:p>
        </w:tc>
      </w:tr>
      <w:tr>
        <w:trPr>
          <w:trHeight w:val="147"/>
        </w:trPr>
        <w:tc>
          <w:tcPr>
            <w:tcW w:w="3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Non-compete agreements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11,364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(6,294)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5,070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9,757</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(4,448)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5,309</w:t>
            </w:r>
          </w:p>
        </w:tc>
      </w:tr>
      <w:tr>
        <w:trPr>
          <w:trHeight w:val="147"/>
        </w:trPr>
        <w:tc>
          <w:tcPr>
            <w:tcW w:w="3120" w:type="dxa"/>
            <w:vAlign w:val="bottom"/>
          </w:tcPr>
          <w:p>
            <w:pPr>
              <w:ind w:left="120"/>
              <w:spacing w:after="0"/>
              <w:rPr>
                <w:sz w:val="20"/>
                <w:szCs w:val="20"/>
                <w:color w:val="auto"/>
              </w:rPr>
            </w:pPr>
            <w:r>
              <w:rPr>
                <w:rFonts w:ascii="Arial" w:cs="Arial" w:eastAsia="Arial" w:hAnsi="Arial"/>
                <w:sz w:val="12"/>
                <w:szCs w:val="12"/>
                <w:color w:val="auto"/>
              </w:rPr>
              <w:t>Other</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3,297</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(2,554)</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743</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3,288</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(1,887)</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1,401</w:t>
            </w:r>
          </w:p>
        </w:tc>
      </w:tr>
      <w:tr>
        <w:trPr>
          <w:trHeight w:val="147"/>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Unamortized other intangible assets:</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3120" w:type="dxa"/>
            <w:vAlign w:val="bottom"/>
          </w:tcPr>
          <w:p>
            <w:pPr>
              <w:ind w:left="120"/>
              <w:spacing w:after="0"/>
              <w:rPr>
                <w:sz w:val="20"/>
                <w:szCs w:val="20"/>
                <w:color w:val="auto"/>
              </w:rPr>
            </w:pPr>
            <w:r>
              <w:rPr>
                <w:rFonts w:ascii="Arial" w:cs="Arial" w:eastAsia="Arial" w:hAnsi="Arial"/>
                <w:sz w:val="12"/>
                <w:szCs w:val="12"/>
                <w:color w:val="auto"/>
              </w:rPr>
              <w:t>Trademarks</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42,758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42,758</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31,166</w:t>
            </w:r>
          </w:p>
        </w:tc>
        <w:tc>
          <w:tcPr>
            <w:tcW w:w="6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31,166</w:t>
            </w:r>
          </w:p>
        </w:tc>
      </w:tr>
      <w:tr>
        <w:trPr>
          <w:trHeight w:val="20"/>
        </w:trPr>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204,446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(54,685)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149,761</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165,379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(31,268)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134,111</w:t>
            </w:r>
          </w:p>
        </w:tc>
      </w:tr>
      <w:tr>
        <w:trPr>
          <w:trHeight w:val="29"/>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acquisitions completed in fiscal 2007 (see Note 2 for more information) attributed to the increases in each of the categories of other intangible assets listed above. The largest components of the increase in customer relationships relates to the acquisitions of CIPI, Precision Converters, Scafftag, Asterisco, Moderno, Clement, and SPC which added $5,609, $1,415, $2,767, $5,133, $5,913, $2,200 and $860, respectively. These assets will be amortized over a weighted average amortization period of 6.6 years. The increase in unamortized trademarks primarily relates to the acquisitions of Scafftag, Clement and SPC, which added $988, $1,000 and $8,998, respectively.</w:t>
      </w:r>
    </w:p>
    <w:p>
      <w:pPr>
        <w:spacing w:after="0" w:line="53"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The value of goodwill and other intangible assets in the consolidated balance sheet at July 31, 2007 differs from the value assigned to them in the allocation of purchase price due to the effect of fluctuations in the exchange rates used to translate financial statements into the United States Dollar between the date of acquisition and July 31, 2007.</w:t>
      </w:r>
    </w:p>
    <w:p>
      <w:pPr>
        <w:spacing w:after="0" w:line="3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Amortization expense of intangible assets during fiscal 2007, 2006, and 2005 was $21,882, $13,633, and $7,935, respectively. The amortization over each of the next five fiscal years is projected to be $23,286, $22,423, $21,267, $17,906 and $8,996 for the years ending July 31, 2008, 2009, 2010, 2011 and 2012, respectively.</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Impairment of Long-Lived and Other Intangible Assets </w:t>
      </w:r>
      <w:r>
        <w:rPr>
          <w:rFonts w:ascii="Arial" w:cs="Arial" w:eastAsia="Arial" w:hAnsi="Arial"/>
          <w:sz w:val="13"/>
          <w:szCs w:val="13"/>
          <w:color w:val="auto"/>
        </w:rPr>
        <w:t>— The Company evaluates whether events and circumstances have occurred that indicate the remaining estimated useful life</w:t>
      </w:r>
      <w:r>
        <w:rPr>
          <w:rFonts w:ascii="Arial" w:cs="Arial" w:eastAsia="Arial" w:hAnsi="Arial"/>
          <w:sz w:val="13"/>
          <w:szCs w:val="13"/>
          <w:i w:val="1"/>
          <w:iCs w:val="1"/>
          <w:color w:val="auto"/>
        </w:rPr>
        <w:t xml:space="preserve"> </w:t>
      </w:r>
      <w:r>
        <w:rPr>
          <w:rFonts w:ascii="Arial" w:cs="Arial" w:eastAsia="Arial" w:hAnsi="Arial"/>
          <w:sz w:val="13"/>
          <w:szCs w:val="13"/>
          <w:color w:val="auto"/>
        </w:rPr>
        <w:t>of long-lived and other finite-lived intangible assets may warrant revision or that the remaining balance of an asset may not be recoverable. The measurement of possible impairment is based on fair value of the assets generally estimated by the ability to recover the balance of assets from expected future operating cash flows on an undiscounted basis. If an impairment is determined to exist, any related impairment loss is calculated based on the fair value of the asset. Based on the assessments completed in fiscal 2007, there have been no indications of impairment in the Company’s long-lived and other intangible assets.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Impairment of Goodwill </w:t>
      </w:r>
      <w:r>
        <w:rPr>
          <w:rFonts w:ascii="Arial" w:cs="Arial" w:eastAsia="Arial" w:hAnsi="Arial"/>
          <w:sz w:val="13"/>
          <w:szCs w:val="13"/>
          <w:color w:val="auto"/>
        </w:rPr>
        <w:t>— The Company evaluates goodwill under SFAS No. 142, which addresses the financial accounting and reporting standards for the acquisition of intangible</w:t>
      </w:r>
      <w:r>
        <w:rPr>
          <w:rFonts w:ascii="Arial" w:cs="Arial" w:eastAsia="Arial" w:hAnsi="Arial"/>
          <w:sz w:val="13"/>
          <w:szCs w:val="13"/>
          <w:i w:val="1"/>
          <w:iCs w:val="1"/>
          <w:color w:val="auto"/>
        </w:rPr>
        <w:t xml:space="preserve"> </w:t>
      </w:r>
      <w:r>
        <w:rPr>
          <w:rFonts w:ascii="Arial" w:cs="Arial" w:eastAsia="Arial" w:hAnsi="Arial"/>
          <w:sz w:val="13"/>
          <w:szCs w:val="13"/>
          <w:color w:val="auto"/>
        </w:rPr>
        <w:t>assets outside of a business combination and for goodwill and other intangible assets subsequent to their acquisition. This accounting standard requires that goodwill not be amortized, but instead be tested for impairment on at least an annual basis.</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 performed its annual assessments in the fourth quarter of the fiscal year. The assessments included comparing the carrying amount of net assets, including goodwill, of each reporting unit to its respective fair value as of the date of the assessment. Fair value was estimated based upon discounted cash flow analyses. Because the estimated fair value of each of the Company’s reporting units exceeded its carrying amount, management believes that no impairment existed as of the date of the latest assessment. No indications of impairment have been identified between the date of the latest assessment and July 31, 2007.</w:t>
      </w:r>
    </w:p>
    <w:p>
      <w:pPr>
        <w:spacing w:after="0" w:line="70"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Catalog Costs </w:t>
      </w:r>
      <w:r>
        <w:rPr>
          <w:rFonts w:ascii="Arial" w:cs="Arial" w:eastAsia="Arial" w:hAnsi="Arial"/>
          <w:sz w:val="13"/>
          <w:szCs w:val="13"/>
          <w:color w:val="auto"/>
        </w:rPr>
        <w:t>— Direct response catalog and mailer costs are primarily capitalized and amortized over the estimated useful lives of the publications (generally less than one year).</w:t>
      </w:r>
      <w:r>
        <w:rPr>
          <w:rFonts w:ascii="Arial" w:cs="Arial" w:eastAsia="Arial" w:hAnsi="Arial"/>
          <w:sz w:val="13"/>
          <w:szCs w:val="13"/>
          <w:i w:val="1"/>
          <w:iCs w:val="1"/>
          <w:color w:val="auto"/>
        </w:rPr>
        <w:t xml:space="preserve"> </w:t>
      </w:r>
      <w:r>
        <w:rPr>
          <w:rFonts w:ascii="Arial" w:cs="Arial" w:eastAsia="Arial" w:hAnsi="Arial"/>
          <w:sz w:val="13"/>
          <w:szCs w:val="13"/>
          <w:color w:val="auto"/>
        </w:rPr>
        <w:t>Non-direct response catalog costs are recorded as prepaid supplies and recorded as advertising expense as they are consumed (less than one year). At July 31, 2007 and 2006, $15,292 and $14,331, respectively, of prepaid catalog costs were included in prepaid expenses and other current assets.</w:t>
      </w:r>
    </w:p>
    <w:p>
      <w:pPr>
        <w:spacing w:after="0" w:line="67"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i w:val="1"/>
          <w:iCs w:val="1"/>
          <w:color w:val="auto"/>
        </w:rPr>
        <w:t xml:space="preserve">Revenue Recognition </w:t>
      </w:r>
      <w:r>
        <w:rPr>
          <w:rFonts w:ascii="Arial" w:cs="Arial" w:eastAsia="Arial" w:hAnsi="Arial"/>
          <w:sz w:val="13"/>
          <w:szCs w:val="13"/>
          <w:color w:val="auto"/>
        </w:rPr>
        <w:t>— Revenue is recognized when it is both earned and realized or realizable. The Company’s policy is to recognize revenue when title to the product, ownership</w:t>
      </w:r>
      <w:r>
        <w:rPr>
          <w:rFonts w:ascii="Arial" w:cs="Arial" w:eastAsia="Arial" w:hAnsi="Arial"/>
          <w:sz w:val="13"/>
          <w:szCs w:val="13"/>
          <w:i w:val="1"/>
          <w:iCs w:val="1"/>
          <w:color w:val="auto"/>
        </w:rPr>
        <w:t xml:space="preserve"> </w:t>
      </w:r>
      <w:r>
        <w:rPr>
          <w:rFonts w:ascii="Arial" w:cs="Arial" w:eastAsia="Arial" w:hAnsi="Arial"/>
          <w:sz w:val="13"/>
          <w:szCs w:val="13"/>
          <w:color w:val="auto"/>
        </w:rPr>
        <w:t>and risk of loss have transferred to the customer, persuasive evidence of an arrangement exits and collection of the sales proceeds is reasonably assured, all of which generally occur upon shipment of goods to customers. The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The Company provides for an allowance for estimated product returns, which is recognized as a deduction from sales at the time of the sale.</w:t>
      </w:r>
    </w:p>
    <w:p>
      <w:pPr>
        <w:spacing w:after="0" w:line="7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Sales Incentives </w:t>
      </w:r>
      <w:r>
        <w:rPr>
          <w:rFonts w:ascii="Arial" w:cs="Arial" w:eastAsia="Arial" w:hAnsi="Arial"/>
          <w:sz w:val="13"/>
          <w:szCs w:val="13"/>
          <w:color w:val="auto"/>
        </w:rPr>
        <w:t>— In accordance with the Financial Accounting Standard Board’s Emerging Issues Task Force Issue (“EITF”) No. 01-9, “Accounting for Consideration Given by a</w:t>
      </w:r>
      <w:r>
        <w:rPr>
          <w:rFonts w:ascii="Arial" w:cs="Arial" w:eastAsia="Arial" w:hAnsi="Arial"/>
          <w:sz w:val="13"/>
          <w:szCs w:val="13"/>
          <w:i w:val="1"/>
          <w:iCs w:val="1"/>
          <w:color w:val="auto"/>
        </w:rPr>
        <w:t xml:space="preserve"> </w:t>
      </w:r>
      <w:r>
        <w:rPr>
          <w:rFonts w:ascii="Arial" w:cs="Arial" w:eastAsia="Arial" w:hAnsi="Arial"/>
          <w:sz w:val="13"/>
          <w:szCs w:val="13"/>
          <w:color w:val="auto"/>
        </w:rPr>
        <w:t>Vendor to a Customer or a Reseller of the Vendor’s Product,” the Company accounts for cash consideration (such as sales incentives and cash discounts) given to its customers or resellers as a reduction of revenue rather than an operating expense.</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Shipping and Handling Fees and Costs </w:t>
      </w:r>
      <w:r>
        <w:rPr>
          <w:rFonts w:ascii="Arial" w:cs="Arial" w:eastAsia="Arial" w:hAnsi="Arial"/>
          <w:sz w:val="13"/>
          <w:szCs w:val="13"/>
          <w:color w:val="auto"/>
        </w:rPr>
        <w:t>— The Company accounts for shipping and handling fees and costs in accordance with EITF Issue No. 00-10, “Accounting for Shipping and</w:t>
      </w:r>
      <w:r>
        <w:rPr>
          <w:rFonts w:ascii="Arial" w:cs="Arial" w:eastAsia="Arial" w:hAnsi="Arial"/>
          <w:sz w:val="13"/>
          <w:szCs w:val="13"/>
          <w:i w:val="1"/>
          <w:iCs w:val="1"/>
          <w:color w:val="auto"/>
        </w:rPr>
        <w:t xml:space="preserve"> </w:t>
      </w:r>
      <w:r>
        <w:rPr>
          <w:rFonts w:ascii="Arial" w:cs="Arial" w:eastAsia="Arial" w:hAnsi="Arial"/>
          <w:sz w:val="13"/>
          <w:szCs w:val="13"/>
          <w:color w:val="auto"/>
        </w:rPr>
        <w:t>Handling Fees and Costs.” Under EITF No. 00-10 amounts billed to a customer in a sale transaction related to shipping costs are reported as net sales and the related costs incurred for shipping are reported as cost of goods sold.</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Advertising Costs </w:t>
      </w:r>
      <w:r>
        <w:rPr>
          <w:rFonts w:ascii="Arial" w:cs="Arial" w:eastAsia="Arial" w:hAnsi="Arial"/>
          <w:sz w:val="13"/>
          <w:szCs w:val="13"/>
          <w:color w:val="auto"/>
        </w:rPr>
        <w:t>— Advertising costs are expensed as incurred, except catalog costs as outlined above. Advertising expense for the years ended July 31, 2007, 2006 and 2005 were</w:t>
      </w:r>
      <w:r>
        <w:rPr>
          <w:rFonts w:ascii="Arial" w:cs="Arial" w:eastAsia="Arial" w:hAnsi="Arial"/>
          <w:sz w:val="13"/>
          <w:szCs w:val="13"/>
          <w:i w:val="1"/>
          <w:iCs w:val="1"/>
          <w:color w:val="auto"/>
        </w:rPr>
        <w:t xml:space="preserve"> </w:t>
      </w:r>
      <w:r>
        <w:rPr>
          <w:rFonts w:ascii="Arial" w:cs="Arial" w:eastAsia="Arial" w:hAnsi="Arial"/>
          <w:sz w:val="13"/>
          <w:szCs w:val="13"/>
          <w:color w:val="auto"/>
        </w:rPr>
        <w:t>$75,452, $57,253 and $50,405,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Stock Based Compensation </w:t>
      </w:r>
      <w:r>
        <w:rPr>
          <w:rFonts w:ascii="Arial" w:cs="Arial" w:eastAsia="Arial" w:hAnsi="Arial"/>
          <w:sz w:val="12"/>
          <w:szCs w:val="12"/>
          <w:color w:val="auto"/>
        </w:rPr>
        <w:t>— Effective August 1, 2005, the Company adopted SFAS No. 123(R), “Shared Based Payment.” In accordance with this standard, the Company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recognizes the compensation cost of all share-based awards using the grant-date fair value of those awards (the “fair-value-based” method). The expense is recognized on a straight-line basis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over the vesting period of the award. Total stock compensation expense recognized by the Company during the years ended July 31, 2007 and 2006 was $6,907 ($4,213 net of taxes)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$5,568 ($3,396 net of taxes), respectively. As of July 31, 2007, total unrecognized compensation cost related to share-based compensation awards was $12,762, net of estimated forfeitures,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which the Company expects to recognize over a weighted-average period of 1.9 years.</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900" w:firstLine="399"/>
        <w:spacing w:after="0" w:line="289" w:lineRule="auto"/>
        <w:rPr>
          <w:sz w:val="20"/>
          <w:szCs w:val="20"/>
          <w:color w:val="auto"/>
        </w:rPr>
      </w:pPr>
      <w:r>
        <w:rPr>
          <w:rFonts w:ascii="Arial" w:cs="Arial" w:eastAsia="Arial" w:hAnsi="Arial"/>
          <w:sz w:val="12"/>
          <w:szCs w:val="12"/>
          <w:color w:val="auto"/>
        </w:rPr>
        <w:t>The Company adopted the fair value recognition provisions of SFAS No. 123(R) using the modified-prospective-transition method. Under that transition method, compensation cost recognized during fiscal 2007 and 2006 included: (a) compensation costs for all share-based payments granted prior to, but not yet vested as of August 1, 2005, based on the grant date fair value estimated in accordance with the original provisions of SFAS No. 123, and (b) compensation cost for all share-based payments granted subsequent to August 1, 2005, based on the grant date fair value estimated in accordance with the provisions of SFAS No. 123(R). Prior periods are not restated under this method of adoption.</w:t>
      </w:r>
    </w:p>
    <w:p>
      <w:pPr>
        <w:spacing w:after="0" w:line="53" w:lineRule="exact"/>
        <w:rPr>
          <w:sz w:val="20"/>
          <w:szCs w:val="20"/>
          <w:color w:val="auto"/>
        </w:rPr>
      </w:pPr>
    </w:p>
    <w:p>
      <w:pPr>
        <w:ind w:left="680" w:right="840" w:firstLine="399"/>
        <w:spacing w:after="0" w:line="289" w:lineRule="auto"/>
        <w:rPr>
          <w:sz w:val="20"/>
          <w:szCs w:val="20"/>
          <w:color w:val="auto"/>
        </w:rPr>
      </w:pPr>
      <w:r>
        <w:rPr>
          <w:rFonts w:ascii="Arial" w:cs="Arial" w:eastAsia="Arial" w:hAnsi="Arial"/>
          <w:sz w:val="12"/>
          <w:szCs w:val="12"/>
          <w:color w:val="auto"/>
        </w:rPr>
        <w:t>Prior to August 1, 2005, the Company accounted for employee stock-based compensation under the intrinsic value method prescribed by Accounting Principles Board Opinion (“APB”) No. 25, “Accounting for Stock Issued to Employees.” Under APB No. 25, no employee stock option based compensation expense was recorded in the income statement prior to August 1, 2005 for the service-based options. For performance-based options, the Company recorded compensation expense for changes in the market value of the underlying common stock under APB No. 25. The compensation cost for the fiscal year ended July 31, 2005 included expense for both performance stock options and restricted stock.</w:t>
      </w:r>
    </w:p>
    <w:p>
      <w:pPr>
        <w:spacing w:after="0" w:line="53"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If the Company had elected to recognize compensation cost for the stock option plans based on the fair value at the grant dates for awards under those plans, consistent with the method prescribed by SFAS No. 123(R), net income and net income per common share for the fiscal year ended July 31, 2005 would have been changed to the pro-forma amounts indicated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As reported</w:t>
            </w:r>
          </w:p>
        </w:tc>
        <w:tc>
          <w:tcPr>
            <w:tcW w:w="49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3"/>
                <w:szCs w:val="13"/>
                <w:color w:val="auto"/>
                <w:w w:val="95"/>
              </w:rPr>
              <w:t>81,947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 recorded, net of tax effect</w:t>
            </w:r>
          </w:p>
        </w:tc>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3,350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Pro-forma expense, net of tax effect</w:t>
            </w: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3"/>
                <w:szCs w:val="13"/>
                <w:color w:val="auto"/>
              </w:rPr>
              <w:t>(3,344)</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Pro-forma net income, net of tax effect</w:t>
            </w:r>
          </w:p>
        </w:tc>
        <w:tc>
          <w:tcPr>
            <w:tcW w:w="480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81,953</w:t>
            </w:r>
          </w:p>
        </w:tc>
        <w:tc>
          <w:tcPr>
            <w:tcW w:w="56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Net income per Class A Common Share:</w:t>
            </w: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As reported</w:t>
            </w:r>
          </w:p>
        </w:tc>
        <w:tc>
          <w:tcPr>
            <w:tcW w:w="49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3"/>
                <w:szCs w:val="13"/>
                <w:color w:val="auto"/>
              </w:rPr>
              <w:t>1.67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Pro-forma adjustments</w:t>
            </w:r>
          </w:p>
        </w:tc>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Pro-forma net income per share</w:t>
            </w: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3"/>
                <w:szCs w:val="13"/>
                <w:color w:val="auto"/>
              </w:rPr>
              <w:t>1.67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As reported</w:t>
            </w:r>
          </w:p>
        </w:tc>
        <w:tc>
          <w:tcPr>
            <w:tcW w:w="49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3"/>
                <w:szCs w:val="13"/>
                <w:color w:val="auto"/>
              </w:rPr>
              <w:t>1.64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Pro-forma adjustments</w:t>
            </w:r>
          </w:p>
        </w:tc>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Pro-forma net income per share</w:t>
            </w: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3"/>
                <w:szCs w:val="13"/>
                <w:color w:val="auto"/>
              </w:rPr>
              <w:t>1.64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Net income per Class B Common Share:</w:t>
            </w:r>
          </w:p>
        </w:tc>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Basic:</w:t>
            </w: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 reported</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1.66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Pro-forma adjustments</w:t>
            </w: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Pro-forma net income per share</w:t>
            </w:r>
          </w:p>
        </w:tc>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1.66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Diluted:</w:t>
            </w: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 reported</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1.63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Pro-forma adjustments</w:t>
            </w: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Pro-forma net income per share</w:t>
            </w:r>
          </w:p>
        </w:tc>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1.63</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900" w:type="dxa"/>
            <w:vAlign w:val="bottom"/>
            <w:gridSpan w:val="2"/>
          </w:tcPr>
          <w:p>
            <w:pPr>
              <w:jc w:val="right"/>
              <w:ind w:right="3851"/>
              <w:spacing w:after="0"/>
              <w:rPr>
                <w:sz w:val="20"/>
                <w:szCs w:val="20"/>
                <w:color w:val="auto"/>
              </w:rPr>
            </w:pPr>
            <w:r>
              <w:rPr>
                <w:rFonts w:ascii="Arial" w:cs="Arial" w:eastAsia="Arial" w:hAnsi="Arial"/>
                <w:sz w:val="13"/>
                <w:szCs w:val="13"/>
                <w:color w:val="auto"/>
              </w:rPr>
              <w:t>II-26</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 of stock options used to compute pro-forma net income and net income per common share disclosure is the estimated present value at grant date using the Black-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Scholes option-pricing model with weighted average assumptions and the resulting estimated fair value for fiscal year 2005 as follows:</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04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3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57"/>
        </w:trPr>
        <w:tc>
          <w:tcPr>
            <w:tcW w:w="6040" w:type="dxa"/>
            <w:vAlign w:val="bottom"/>
          </w:tcPr>
          <w:p>
            <w:pPr>
              <w:spacing w:after="0"/>
              <w:rPr>
                <w:sz w:val="20"/>
                <w:szCs w:val="20"/>
                <w:color w:val="auto"/>
              </w:rPr>
            </w:pPr>
            <w:r>
              <w:rPr>
                <w:rFonts w:ascii="Arial" w:cs="Arial" w:eastAsia="Arial" w:hAnsi="Arial"/>
                <w:sz w:val="13"/>
                <w:szCs w:val="13"/>
                <w:color w:val="auto"/>
              </w:rPr>
              <w:t>Expected volatility</w:t>
            </w:r>
          </w:p>
        </w:tc>
        <w:tc>
          <w:tcPr>
            <w:tcW w:w="3940" w:type="dxa"/>
            <w:vAlign w:val="bottom"/>
          </w:tcPr>
          <w:p>
            <w:pPr>
              <w:jc w:val="right"/>
              <w:spacing w:after="0"/>
              <w:rPr>
                <w:sz w:val="20"/>
                <w:szCs w:val="20"/>
                <w:color w:val="auto"/>
              </w:rPr>
            </w:pPr>
            <w:r>
              <w:rPr>
                <w:rFonts w:ascii="Arial" w:cs="Arial" w:eastAsia="Arial" w:hAnsi="Arial"/>
                <w:sz w:val="13"/>
                <w:szCs w:val="13"/>
                <w:color w:val="auto"/>
              </w:rPr>
              <w:t>31.1%</w:t>
            </w:r>
          </w:p>
        </w:tc>
      </w:tr>
      <w:tr>
        <w:trPr>
          <w:trHeight w:val="157"/>
        </w:trPr>
        <w:tc>
          <w:tcPr>
            <w:tcW w:w="604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3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6040" w:type="dxa"/>
            <w:vAlign w:val="bottom"/>
          </w:tcPr>
          <w:p>
            <w:pPr>
              <w:spacing w:after="0"/>
              <w:rPr>
                <w:sz w:val="20"/>
                <w:szCs w:val="20"/>
                <w:color w:val="auto"/>
              </w:rPr>
            </w:pPr>
            <w:r>
              <w:rPr>
                <w:rFonts w:ascii="Arial" w:cs="Arial" w:eastAsia="Arial" w:hAnsi="Arial"/>
                <w:sz w:val="13"/>
                <w:szCs w:val="13"/>
                <w:color w:val="auto"/>
              </w:rPr>
              <w:t>Expected option life</w:t>
            </w:r>
          </w:p>
        </w:tc>
        <w:tc>
          <w:tcPr>
            <w:tcW w:w="3940" w:type="dxa"/>
            <w:vAlign w:val="bottom"/>
          </w:tcPr>
          <w:p>
            <w:pPr>
              <w:jc w:val="right"/>
              <w:ind w:right="54"/>
              <w:spacing w:after="0"/>
              <w:rPr>
                <w:sz w:val="20"/>
                <w:szCs w:val="20"/>
                <w:color w:val="auto"/>
              </w:rPr>
            </w:pPr>
            <w:r>
              <w:rPr>
                <w:rFonts w:ascii="Arial" w:cs="Arial" w:eastAsia="Arial" w:hAnsi="Arial"/>
                <w:sz w:val="13"/>
                <w:szCs w:val="13"/>
                <w:color w:val="auto"/>
              </w:rPr>
              <w:t>4.5 years</w:t>
            </w:r>
          </w:p>
        </w:tc>
      </w:tr>
      <w:tr>
        <w:trPr>
          <w:trHeight w:val="157"/>
        </w:trPr>
        <w:tc>
          <w:tcPr>
            <w:tcW w:w="604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estimated fair value at grant date</w:t>
            </w:r>
          </w:p>
        </w:tc>
        <w:tc>
          <w:tcPr>
            <w:tcW w:w="3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$7.04</w:t>
            </w:r>
          </w:p>
        </w:tc>
      </w:tr>
    </w:tbl>
    <w:p>
      <w:pPr>
        <w:spacing w:after="0" w:line="80"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The Company has estimated the fair value of its performance-based and service-based option awards granted after August 1, 2005 using the Black-Scholes option-pricing model. The weighted-average assumptions used in the Black-Scholes valuation model are reflected in the following table: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b w:val="1"/>
                <w:bCs w:val="1"/>
                <w:color w:val="auto"/>
              </w:rPr>
              <w:t>2007</w:t>
            </w: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b w:val="1"/>
                <w:bCs w:val="1"/>
                <w:color w:val="auto"/>
              </w:rPr>
              <w:t>2006</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26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B</w:t>
            </w:r>
            <w:r>
              <w:rPr>
                <w:rFonts w:ascii="Arial" w:cs="Arial" w:eastAsia="Arial" w:hAnsi="Arial"/>
                <w:sz w:val="10"/>
                <w:szCs w:val="10"/>
                <w:b w:val="1"/>
                <w:bCs w:val="1"/>
                <w:color w:val="auto"/>
              </w:rPr>
              <w:t>lack-Scholes Option Valuation Assumptions</w:t>
            </w:r>
          </w:p>
        </w:tc>
        <w:tc>
          <w:tcPr>
            <w:tcW w:w="140" w:type="dxa"/>
            <w:vAlign w:val="bottom"/>
          </w:tcPr>
          <w:p>
            <w:pPr>
              <w:spacing w:after="0"/>
              <w:rPr>
                <w:sz w:val="7"/>
                <w:szCs w:val="7"/>
                <w:color w:val="auto"/>
              </w:rPr>
            </w:pPr>
          </w:p>
        </w:tc>
        <w:tc>
          <w:tcPr>
            <w:tcW w:w="1560" w:type="dxa"/>
            <w:vAlign w:val="bottom"/>
            <w:gridSpan w:val="2"/>
          </w:tcPr>
          <w:p>
            <w:pPr>
              <w:jc w:val="right"/>
              <w:ind w:right="600"/>
              <w:spacing w:after="0" w:line="91" w:lineRule="exact"/>
              <w:rPr>
                <w:sz w:val="20"/>
                <w:szCs w:val="20"/>
                <w:color w:val="auto"/>
              </w:rPr>
            </w:pPr>
            <w:r>
              <w:rPr>
                <w:rFonts w:ascii="Arial" w:cs="Arial" w:eastAsia="Arial" w:hAnsi="Arial"/>
                <w:sz w:val="10"/>
                <w:szCs w:val="10"/>
                <w:b w:val="1"/>
                <w:bCs w:val="1"/>
                <w:color w:val="auto"/>
                <w:w w:val="99"/>
              </w:rPr>
              <w:t>Performance-Based</w:t>
            </w:r>
          </w:p>
        </w:tc>
        <w:tc>
          <w:tcPr>
            <w:tcW w:w="100" w:type="dxa"/>
            <w:vAlign w:val="bottom"/>
          </w:tcPr>
          <w:p>
            <w:pPr>
              <w:spacing w:after="0"/>
              <w:rPr>
                <w:sz w:val="7"/>
                <w:szCs w:val="7"/>
                <w:color w:val="auto"/>
              </w:rPr>
            </w:pPr>
          </w:p>
        </w:tc>
        <w:tc>
          <w:tcPr>
            <w:tcW w:w="800" w:type="dxa"/>
            <w:vAlign w:val="bottom"/>
          </w:tcPr>
          <w:p>
            <w:pPr>
              <w:jc w:val="right"/>
              <w:ind w:right="77"/>
              <w:spacing w:after="0" w:line="91" w:lineRule="exact"/>
              <w:rPr>
                <w:sz w:val="20"/>
                <w:szCs w:val="20"/>
                <w:color w:val="auto"/>
              </w:rPr>
            </w:pPr>
            <w:r>
              <w:rPr>
                <w:rFonts w:ascii="Arial" w:cs="Arial" w:eastAsia="Arial" w:hAnsi="Arial"/>
                <w:sz w:val="10"/>
                <w:szCs w:val="10"/>
                <w:b w:val="1"/>
                <w:bCs w:val="1"/>
                <w:color w:val="auto"/>
                <w:w w:val="92"/>
              </w:rPr>
              <w:t>Service-Based</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tcPr>
          <w:p>
            <w:pPr>
              <w:jc w:val="right"/>
              <w:ind w:right="620"/>
              <w:spacing w:after="0" w:line="91" w:lineRule="exact"/>
              <w:rPr>
                <w:sz w:val="20"/>
                <w:szCs w:val="20"/>
                <w:color w:val="auto"/>
              </w:rPr>
            </w:pPr>
            <w:r>
              <w:rPr>
                <w:rFonts w:ascii="Arial" w:cs="Arial" w:eastAsia="Arial" w:hAnsi="Arial"/>
                <w:sz w:val="10"/>
                <w:szCs w:val="10"/>
                <w:b w:val="1"/>
                <w:bCs w:val="1"/>
                <w:color w:val="auto"/>
                <w:w w:val="99"/>
              </w:rPr>
              <w:t>Performance-Based</w:t>
            </w:r>
          </w:p>
        </w:tc>
        <w:tc>
          <w:tcPr>
            <w:tcW w:w="100" w:type="dxa"/>
            <w:vAlign w:val="bottom"/>
          </w:tcPr>
          <w:p>
            <w:pPr>
              <w:spacing w:after="0"/>
              <w:rPr>
                <w:sz w:val="7"/>
                <w:szCs w:val="7"/>
                <w:color w:val="auto"/>
              </w:rPr>
            </w:pPr>
          </w:p>
        </w:tc>
        <w:tc>
          <w:tcPr>
            <w:tcW w:w="780" w:type="dxa"/>
            <w:vAlign w:val="bottom"/>
          </w:tcPr>
          <w:p>
            <w:pPr>
              <w:jc w:val="right"/>
              <w:ind w:right="57"/>
              <w:spacing w:after="0" w:line="91" w:lineRule="exact"/>
              <w:rPr>
                <w:sz w:val="20"/>
                <w:szCs w:val="20"/>
                <w:color w:val="auto"/>
              </w:rPr>
            </w:pPr>
            <w:r>
              <w:rPr>
                <w:rFonts w:ascii="Arial" w:cs="Arial" w:eastAsia="Arial" w:hAnsi="Arial"/>
                <w:sz w:val="10"/>
                <w:szCs w:val="10"/>
                <w:b w:val="1"/>
                <w:bCs w:val="1"/>
                <w:color w:val="auto"/>
                <w:w w:val="92"/>
              </w:rPr>
              <w:t>Service-Based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2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0"/>
                <w:szCs w:val="10"/>
                <w:b w:val="1"/>
                <w:bCs w:val="1"/>
                <w:color w:val="auto"/>
              </w:rPr>
              <w:t>Options</w:t>
            </w:r>
          </w:p>
        </w:tc>
        <w:tc>
          <w:tcPr>
            <w:tcW w:w="100" w:type="dxa"/>
            <w:vAlign w:val="bottom"/>
          </w:tcPr>
          <w:p>
            <w:pPr>
              <w:spacing w:after="0"/>
              <w:rPr>
                <w:sz w:val="10"/>
                <w:szCs w:val="1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Options</w:t>
            </w:r>
          </w:p>
        </w:tc>
        <w:tc>
          <w:tcPr>
            <w:tcW w:w="120" w:type="dxa"/>
            <w:vAlign w:val="bottom"/>
          </w:tcPr>
          <w:p>
            <w:pPr>
              <w:spacing w:after="0"/>
              <w:rPr>
                <w:sz w:val="10"/>
                <w:szCs w:val="10"/>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0"/>
                <w:szCs w:val="10"/>
                <w:b w:val="1"/>
                <w:bCs w:val="1"/>
                <w:color w:val="auto"/>
              </w:rPr>
              <w:t>Options</w:t>
            </w:r>
          </w:p>
        </w:tc>
        <w:tc>
          <w:tcPr>
            <w:tcW w:w="100" w:type="dxa"/>
            <w:vAlign w:val="bottom"/>
          </w:tcPr>
          <w:p>
            <w:pPr>
              <w:spacing w:after="0"/>
              <w:rPr>
                <w:sz w:val="10"/>
                <w:szCs w:val="1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Options</w:t>
            </w:r>
          </w:p>
        </w:tc>
        <w:tc>
          <w:tcPr>
            <w:tcW w:w="0" w:type="dxa"/>
            <w:vAlign w:val="bottom"/>
          </w:tcPr>
          <w:p>
            <w:pPr>
              <w:spacing w:after="0"/>
              <w:rPr>
                <w:sz w:val="1"/>
                <w:szCs w:val="1"/>
                <w:color w:val="auto"/>
              </w:rPr>
            </w:pPr>
          </w:p>
        </w:tc>
      </w:tr>
      <w:tr>
        <w:trPr>
          <w:trHeight w:val="29"/>
        </w:trPr>
        <w:tc>
          <w:tcPr>
            <w:tcW w:w="42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Expected term (in years)</w:t>
            </w:r>
          </w:p>
        </w:tc>
        <w:tc>
          <w:tcPr>
            <w:tcW w:w="1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6.07</w:t>
            </w:r>
          </w:p>
        </w:tc>
        <w:tc>
          <w:tcPr>
            <w:tcW w:w="1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3.39</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5.72</w:t>
            </w:r>
          </w:p>
        </w:tc>
        <w:tc>
          <w:tcPr>
            <w:tcW w:w="0" w:type="dxa"/>
            <w:vAlign w:val="bottom"/>
          </w:tcPr>
          <w:p>
            <w:pPr>
              <w:spacing w:after="0"/>
              <w:rPr>
                <w:sz w:val="1"/>
                <w:szCs w:val="1"/>
                <w:color w:val="auto"/>
              </w:rPr>
            </w:pPr>
          </w:p>
        </w:tc>
      </w:tr>
      <w:tr>
        <w:trPr>
          <w:trHeight w:val="157"/>
        </w:trPr>
        <w:tc>
          <w:tcPr>
            <w:tcW w:w="4260" w:type="dxa"/>
            <w:vAlign w:val="bottom"/>
          </w:tcPr>
          <w:p>
            <w:pPr>
              <w:spacing w:after="0"/>
              <w:rPr>
                <w:sz w:val="20"/>
                <w:szCs w:val="20"/>
                <w:color w:val="auto"/>
              </w:rPr>
            </w:pPr>
            <w:r>
              <w:rPr>
                <w:rFonts w:ascii="Arial" w:cs="Arial" w:eastAsia="Arial" w:hAnsi="Arial"/>
                <w:sz w:val="13"/>
                <w:szCs w:val="13"/>
                <w:color w:val="auto"/>
              </w:rPr>
              <w:t>Expected volatility</w:t>
            </w:r>
          </w:p>
        </w:tc>
        <w:tc>
          <w:tcPr>
            <w:tcW w:w="140" w:type="dxa"/>
            <w:vAlign w:val="bottom"/>
          </w:tcPr>
          <w:p>
            <w:pPr>
              <w:spacing w:after="0"/>
              <w:rPr>
                <w:sz w:val="13"/>
                <w:szCs w:val="13"/>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3"/>
                <w:szCs w:val="13"/>
                <w:color w:val="auto"/>
              </w:rPr>
              <w:t>34.66%</w:t>
            </w:r>
          </w:p>
        </w:tc>
        <w:tc>
          <w:tcPr>
            <w:tcW w:w="10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33.99%</w:t>
            </w:r>
          </w:p>
        </w:tc>
        <w:tc>
          <w:tcPr>
            <w:tcW w:w="120" w:type="dxa"/>
            <w:vAlign w:val="bottom"/>
          </w:tcPr>
          <w:p>
            <w:pPr>
              <w:spacing w:after="0"/>
              <w:rPr>
                <w:sz w:val="13"/>
                <w:szCs w:val="13"/>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3"/>
                <w:szCs w:val="13"/>
                <w:color w:val="auto"/>
              </w:rPr>
              <w:t>31.10%</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34.54%</w:t>
            </w:r>
          </w:p>
        </w:tc>
        <w:tc>
          <w:tcPr>
            <w:tcW w:w="0" w:type="dxa"/>
            <w:vAlign w:val="bottom"/>
          </w:tcPr>
          <w:p>
            <w:pPr>
              <w:spacing w:after="0"/>
              <w:rPr>
                <w:sz w:val="1"/>
                <w:szCs w:val="1"/>
                <w:color w:val="auto"/>
              </w:rPr>
            </w:pPr>
          </w:p>
        </w:tc>
      </w:tr>
      <w:tr>
        <w:trPr>
          <w:trHeight w:val="157"/>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1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1.46%</w:t>
            </w:r>
          </w:p>
        </w:tc>
        <w:tc>
          <w:tcPr>
            <w:tcW w:w="1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57"/>
        </w:trPr>
        <w:tc>
          <w:tcPr>
            <w:tcW w:w="426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40" w:type="dxa"/>
            <w:vAlign w:val="bottom"/>
          </w:tcPr>
          <w:p>
            <w:pPr>
              <w:spacing w:after="0"/>
              <w:rPr>
                <w:sz w:val="13"/>
                <w:szCs w:val="13"/>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4.52%</w:t>
            </w:r>
          </w:p>
        </w:tc>
        <w:tc>
          <w:tcPr>
            <w:tcW w:w="120" w:type="dxa"/>
            <w:vAlign w:val="bottom"/>
          </w:tcPr>
          <w:p>
            <w:pPr>
              <w:spacing w:after="0"/>
              <w:rPr>
                <w:sz w:val="13"/>
                <w:szCs w:val="13"/>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3"/>
                <w:szCs w:val="13"/>
                <w:color w:val="auto"/>
              </w:rPr>
              <w:t>4.09%</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4.53%</w:t>
            </w:r>
          </w:p>
        </w:tc>
        <w:tc>
          <w:tcPr>
            <w:tcW w:w="0" w:type="dxa"/>
            <w:vAlign w:val="bottom"/>
          </w:tcPr>
          <w:p>
            <w:pPr>
              <w:spacing w:after="0"/>
              <w:rPr>
                <w:sz w:val="1"/>
                <w:szCs w:val="1"/>
                <w:color w:val="auto"/>
              </w:rPr>
            </w:pPr>
          </w:p>
        </w:tc>
      </w:tr>
      <w:tr>
        <w:trPr>
          <w:trHeight w:val="157"/>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market value of underlying stock at grant date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33.32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38.17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33.89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37.62</w:t>
            </w:r>
          </w:p>
        </w:tc>
        <w:tc>
          <w:tcPr>
            <w:tcW w:w="0" w:type="dxa"/>
            <w:vAlign w:val="bottom"/>
          </w:tcPr>
          <w:p>
            <w:pPr>
              <w:spacing w:after="0"/>
              <w:rPr>
                <w:sz w:val="1"/>
                <w:szCs w:val="1"/>
                <w:color w:val="auto"/>
              </w:rPr>
            </w:pPr>
          </w:p>
        </w:tc>
      </w:tr>
      <w:tr>
        <w:trPr>
          <w:trHeight w:val="157"/>
        </w:trPr>
        <w:tc>
          <w:tcPr>
            <w:tcW w:w="4260" w:type="dxa"/>
            <w:vAlign w:val="bottom"/>
          </w:tcPr>
          <w:p>
            <w:pPr>
              <w:spacing w:after="0"/>
              <w:rPr>
                <w:sz w:val="20"/>
                <w:szCs w:val="20"/>
                <w:color w:val="auto"/>
              </w:rPr>
            </w:pPr>
            <w:r>
              <w:rPr>
                <w:rFonts w:ascii="Arial" w:cs="Arial" w:eastAsia="Arial" w:hAnsi="Arial"/>
                <w:sz w:val="13"/>
                <w:szCs w:val="13"/>
                <w:color w:val="auto"/>
              </w:rPr>
              <w:t>Weighted-average exercise price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400"/>
              <w:spacing w:after="0"/>
              <w:rPr>
                <w:sz w:val="20"/>
                <w:szCs w:val="20"/>
                <w:color w:val="auto"/>
              </w:rPr>
            </w:pPr>
            <w:r>
              <w:rPr>
                <w:rFonts w:ascii="Arial" w:cs="Arial" w:eastAsia="Arial" w:hAnsi="Arial"/>
                <w:sz w:val="13"/>
                <w:szCs w:val="13"/>
                <w:color w:val="auto"/>
              </w:rPr>
              <w:t>33.32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38.17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420"/>
              <w:spacing w:after="0"/>
              <w:rPr>
                <w:sz w:val="20"/>
                <w:szCs w:val="20"/>
                <w:color w:val="auto"/>
              </w:rPr>
            </w:pPr>
            <w:r>
              <w:rPr>
                <w:rFonts w:ascii="Arial" w:cs="Arial" w:eastAsia="Arial" w:hAnsi="Arial"/>
                <w:sz w:val="13"/>
                <w:szCs w:val="13"/>
                <w:color w:val="auto"/>
              </w:rPr>
              <w:t>33.89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37.62</w:t>
            </w:r>
          </w:p>
        </w:tc>
        <w:tc>
          <w:tcPr>
            <w:tcW w:w="0" w:type="dxa"/>
            <w:vAlign w:val="bottom"/>
          </w:tcPr>
          <w:p>
            <w:pPr>
              <w:spacing w:after="0"/>
              <w:rPr>
                <w:sz w:val="1"/>
                <w:szCs w:val="1"/>
                <w:color w:val="auto"/>
              </w:rPr>
            </w:pPr>
          </w:p>
        </w:tc>
      </w:tr>
      <w:tr>
        <w:trPr>
          <w:trHeight w:val="157"/>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fair value of options granted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13.56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13.11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920" w:firstLine="399"/>
        <w:spacing w:after="0" w:line="260" w:lineRule="auto"/>
        <w:rPr>
          <w:sz w:val="20"/>
          <w:szCs w:val="20"/>
          <w:color w:val="auto"/>
        </w:rPr>
      </w:pPr>
      <w:r>
        <w:rPr>
          <w:rFonts w:ascii="Arial" w:cs="Arial" w:eastAsia="Arial" w:hAnsi="Arial"/>
          <w:sz w:val="13"/>
          <w:szCs w:val="13"/>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grant.</w:t>
      </w:r>
    </w:p>
    <w:p>
      <w:pPr>
        <w:spacing w:after="0" w:line="70"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In accordance with the adoption of SFAS No. 123(R), the Company has classified the income tax benefit from the exercise of stock options subsequent to adoption as a financing cash inflow on the accompanying consolidated statements of cash flows. Prior to this adoption, this tax benefit was recorded in cash flows from operations.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 Amounts expended for research and development are expensed as incurred.</w:t>
      </w:r>
    </w:p>
    <w:p>
      <w:pPr>
        <w:spacing w:after="0" w:line="96" w:lineRule="exact"/>
        <w:rPr>
          <w:sz w:val="20"/>
          <w:szCs w:val="20"/>
          <w:color w:val="auto"/>
        </w:rPr>
      </w:pPr>
    </w:p>
    <w:p>
      <w:pPr>
        <w:jc w:val="both"/>
        <w:ind w:left="680" w:right="920" w:firstLine="399"/>
        <w:spacing w:after="0" w:line="264" w:lineRule="auto"/>
        <w:rPr>
          <w:sz w:val="20"/>
          <w:szCs w:val="20"/>
          <w:color w:val="auto"/>
        </w:rPr>
      </w:pPr>
      <w:r>
        <w:rPr>
          <w:rFonts w:ascii="Arial" w:cs="Arial" w:eastAsia="Arial" w:hAnsi="Arial"/>
          <w:sz w:val="13"/>
          <w:szCs w:val="13"/>
          <w:i w:val="1"/>
          <w:iCs w:val="1"/>
          <w:color w:val="auto"/>
        </w:rPr>
        <w:t xml:space="preserve">Other comprehensive income </w:t>
      </w:r>
      <w:r>
        <w:rPr>
          <w:rFonts w:ascii="Arial" w:cs="Arial" w:eastAsia="Arial" w:hAnsi="Arial"/>
          <w:sz w:val="13"/>
          <w:szCs w:val="13"/>
          <w:color w:val="auto"/>
        </w:rPr>
        <w:t>— Other comprehensive income consists of foreign currency translation adjustments, net unrealized gains and losses from cash flow hedges and other</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investments, the unamortized gain on the post-retirement medical, dental and vision plan and their related tax effects. The components of accumulated other comprehensive income were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ind w:left="40"/>
              <w:spacing w:after="0"/>
              <w:rPr>
                <w:sz w:val="20"/>
                <w:szCs w:val="20"/>
                <w:color w:val="auto"/>
              </w:rPr>
            </w:pPr>
            <w:r>
              <w:rPr>
                <w:rFonts w:ascii="Arial" w:cs="Arial" w:eastAsia="Arial" w:hAnsi="Arial"/>
                <w:sz w:val="10"/>
                <w:szCs w:val="10"/>
                <w:b w:val="1"/>
                <w:bCs w:val="1"/>
                <w:color w:val="auto"/>
              </w:rPr>
              <w:t>July 31, 2007</w:t>
            </w:r>
          </w:p>
        </w:tc>
        <w:tc>
          <w:tcPr>
            <w:tcW w:w="100" w:type="dxa"/>
            <w:vAlign w:val="bottom"/>
          </w:tcPr>
          <w:p>
            <w:pPr>
              <w:spacing w:after="0"/>
              <w:rPr>
                <w:sz w:val="10"/>
                <w:szCs w:val="1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July 31, 2006</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 (loss) on cash flow hedges and securities in deferred compensation plans, net of tax of $93 and $35, respectively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700" w:type="dxa"/>
            <w:vAlign w:val="bottom"/>
          </w:tcPr>
          <w:p>
            <w:pPr>
              <w:spacing w:after="0"/>
              <w:rPr>
                <w:sz w:val="20"/>
                <w:szCs w:val="20"/>
                <w:color w:val="auto"/>
              </w:rPr>
            </w:pPr>
            <w:r>
              <w:rPr>
                <w:rFonts w:ascii="Arial" w:cs="Arial" w:eastAsia="Arial" w:hAnsi="Arial"/>
                <w:sz w:val="13"/>
                <w:szCs w:val="13"/>
                <w:color w:val="auto"/>
              </w:rPr>
              <w:t>Unamortized gain on post-retirement medical, dental and vision plan, net of $1,551 tax</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3,424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Cumulative translation adjustments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79,807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35,751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700" w:type="dxa"/>
            <w:vAlign w:val="bottom"/>
            <w:vMerge w:val="restart"/>
          </w:tcPr>
          <w:p>
            <w:pPr>
              <w:spacing w:after="0"/>
              <w:rPr>
                <w:sz w:val="20"/>
                <w:szCs w:val="20"/>
                <w:color w:val="auto"/>
              </w:rPr>
            </w:pPr>
            <w:r>
              <w:rPr>
                <w:rFonts w:ascii="Arial" w:cs="Arial" w:eastAsia="Arial" w:hAnsi="Arial"/>
                <w:sz w:val="13"/>
                <w:szCs w:val="13"/>
                <w:color w:val="auto"/>
              </w:rPr>
              <w:t>Accumulated other comprehensive income</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7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83,376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35,696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7700" w:type="dxa"/>
            <w:vAlign w:val="bottom"/>
          </w:tcPr>
          <w:p>
            <w:pPr>
              <w:ind w:left="4860"/>
              <w:spacing w:after="0"/>
              <w:rPr>
                <w:sz w:val="20"/>
                <w:szCs w:val="20"/>
                <w:color w:val="auto"/>
              </w:rPr>
            </w:pPr>
            <w:r>
              <w:rPr>
                <w:rFonts w:ascii="Arial" w:cs="Arial" w:eastAsia="Arial" w:hAnsi="Arial"/>
                <w:sz w:val="13"/>
                <w:szCs w:val="13"/>
                <w:color w:val="auto"/>
              </w:rPr>
              <w:t>II-27</w:t>
            </w: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Foreign Currency Translation </w:t>
      </w:r>
      <w:r>
        <w:rPr>
          <w:rFonts w:ascii="Arial" w:cs="Arial" w:eastAsia="Arial" w:hAnsi="Arial"/>
          <w:sz w:val="13"/>
          <w:szCs w:val="13"/>
          <w:color w:val="auto"/>
        </w:rPr>
        <w:t>— Foreign currency assets and liabilities are translated into United States dollars at end of period rates of exchange, and income and expense accounts</w:t>
      </w:r>
      <w:r>
        <w:rPr>
          <w:rFonts w:ascii="Arial" w:cs="Arial" w:eastAsia="Arial" w:hAnsi="Arial"/>
          <w:sz w:val="13"/>
          <w:szCs w:val="13"/>
          <w:i w:val="1"/>
          <w:iCs w:val="1"/>
          <w:color w:val="auto"/>
        </w:rPr>
        <w:t xml:space="preserve"> </w:t>
      </w:r>
      <w:r>
        <w:rPr>
          <w:rFonts w:ascii="Arial" w:cs="Arial" w:eastAsia="Arial" w:hAnsi="Arial"/>
          <w:sz w:val="13"/>
          <w:szCs w:val="13"/>
          <w:color w:val="auto"/>
        </w:rPr>
        <w:t>are translated at the weighted average rates of exchange for the period. Resulting translation adjustments are included in other comprehensive income.</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 The Company accounts for income taxes in accordance with SFAS No. 109, “Accounting for Income Taxes,” which requires an asset and liability approach to</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Risk Management Activities </w:t>
      </w:r>
      <w:r>
        <w:rPr>
          <w:rFonts w:ascii="Arial" w:cs="Arial" w:eastAsia="Arial" w:hAnsi="Arial"/>
          <w:sz w:val="13"/>
          <w:szCs w:val="13"/>
          <w:color w:val="auto"/>
        </w:rPr>
        <w:t>— The Company is exposed to market risk, such as changes in interest rates and currency exchange rates. The Company does not hold or issue derivative</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instruments for trading purposes.</w:t>
      </w:r>
    </w:p>
    <w:p>
      <w:pPr>
        <w:spacing w:after="0" w:line="59"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i w:val="1"/>
          <w:iCs w:val="1"/>
          <w:color w:val="auto"/>
        </w:rPr>
        <w:t xml:space="preserve">Currency Rate Hedging </w:t>
      </w:r>
      <w:r>
        <w:rPr>
          <w:rFonts w:ascii="Arial" w:cs="Arial" w:eastAsia="Arial" w:hAnsi="Arial"/>
          <w:sz w:val="11"/>
          <w:szCs w:val="11"/>
          <w:color w:val="auto"/>
        </w:rPr>
        <w:t>— The primary objectives of the foreign exchange risk management activities are to understand and mitigate the impact of potential foreign exchange</w:t>
      </w:r>
      <w:r>
        <w:rPr>
          <w:rFonts w:ascii="Arial" w:cs="Arial" w:eastAsia="Arial" w:hAnsi="Arial"/>
          <w:sz w:val="11"/>
          <w:szCs w:val="11"/>
          <w:i w:val="1"/>
          <w:iCs w:val="1"/>
          <w:color w:val="auto"/>
        </w:rPr>
        <w:t xml:space="preserve"> </w:t>
      </w:r>
      <w:r>
        <w:rPr>
          <w:rFonts w:ascii="Arial" w:cs="Arial" w:eastAsia="Arial" w:hAnsi="Arial"/>
          <w:sz w:val="11"/>
          <w:szCs w:val="11"/>
          <w:color w:val="auto"/>
        </w:rPr>
        <w:t>fluctuations on the Company’s financial results and its economic well-being. While the Company’s risk management objectives and strategies will be driven from an economic perspective, the Company will attempt, where possible and practical, to ensure that the hedging strategies it engages in can be treated as “hedges” from an accounting perspective or otherwise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intercompany sales and identified inventory or other asset purchases.</w:t>
      </w:r>
    </w:p>
    <w:p>
      <w:pPr>
        <w:spacing w:after="0" w:line="42"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The Company primarily utilizes forward exchange contracts with maturities of less than 12 months, which qualify as cash flow hedges. These are intended to offset the effect of exchange rate fluctuations on forecasted sales, inventory purchases and intercompany charges. The fair value of these instruments at July 31, 2007 and 2006 was $(421) and $(355), respectively.</w:t>
      </w:r>
    </w:p>
    <w:p>
      <w:pPr>
        <w:spacing w:after="0" w:line="67"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 as a component of investment and other income. The amount of hedge ineffectiveness was not significant for the years ended July 31, 2007, 2006 and 2005.</w:t>
      </w:r>
    </w:p>
    <w:p>
      <w:pPr>
        <w:spacing w:after="0" w:line="32"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i w:val="1"/>
          <w:iCs w:val="1"/>
          <w:color w:val="auto"/>
        </w:rPr>
        <w:t xml:space="preserve">New Accounting Standards </w:t>
      </w:r>
      <w:r>
        <w:rPr>
          <w:rFonts w:ascii="Arial" w:cs="Arial" w:eastAsia="Arial" w:hAnsi="Arial"/>
          <w:sz w:val="12"/>
          <w:szCs w:val="12"/>
          <w:color w:val="auto"/>
        </w:rPr>
        <w:t>— In June 2006, the Financial Accounting Standards Board (“FASB”) issued FIN 48, “Accounting for Uncertainty in Income Taxes.” This interpretation</w:t>
      </w:r>
      <w:r>
        <w:rPr>
          <w:rFonts w:ascii="Arial" w:cs="Arial" w:eastAsia="Arial" w:hAnsi="Arial"/>
          <w:sz w:val="12"/>
          <w:szCs w:val="12"/>
          <w:i w:val="1"/>
          <w:iCs w:val="1"/>
          <w:color w:val="auto"/>
        </w:rPr>
        <w:t xml:space="preserve"> </w:t>
      </w:r>
      <w:r>
        <w:rPr>
          <w:rFonts w:ascii="Arial" w:cs="Arial" w:eastAsia="Arial" w:hAnsi="Arial"/>
          <w:sz w:val="12"/>
          <w:szCs w:val="12"/>
          <w:color w:val="auto"/>
        </w:rPr>
        <w:t>clarifies the accounting for uncertainty in income taxes recognized in an enterprise’s financial statements in accordance with FASB Statement No. 109, “Accounting for Income Taxes.” This interpretation establishes a threshold condition that a tax position must meet for any part of the benefit of that position to be recognized in the financial statements. This Interpretation also provides guidance on de-recognition, classification, interest and penalties, accounting in interim periods, disclosure and transition. This interpretation is effective for fiscal years beginning after December 15, 2006. The Company is in the process of completing the process of evaluating the impact that will result from adopting FIN 48 and therefore is unable to disclose the impact that adopting FIN 48 will have on its financial position and results of operations when such statement is adopted.</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September 2006, the FASB issued SFAS No. 157, “Fair Value Measurements.” This statement provides guidance on how to measure the fair value of assets and liabilities utilizing a fair value hierarchy to classify the sources of information used in the measurement calculation. SFAS No. 157 also provides new disclosure rules for assets and liabilities measured at fair value based on their level in the fair value hierarchy. This new statement will</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be effective for fiscal years beginning after November 15, 2007. The Company is in the process of evaluating the impact that will result from adopting SFAS No. 157 and therefore is unable to disclose the impact from adopting SFAS No. 157 will have on its financial position and results of operations when such statement is adopted.</w:t>
      </w:r>
    </w:p>
    <w:p>
      <w:pPr>
        <w:spacing w:after="0" w:line="59"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In February 2007, the FASB issued SFAS No. 159, “The Fair Value Option for Financial Assets and Financial Liabilities.” This statement permits entities to choose to use the fair value option to measure many financial instruments and certain other items at fair value that are not currently required to be measured at fair value. The objective is to improve financial reporting by providing entities with the opportunity to mitigate volatility in earnings caused by measuring related assets and liabilities differently without having to apply complex hedge accounting. This new statement will be effective for fiscal years beginning after November 15, 2007. The Company is in the process of evaluating the impact that will result from adopting SFAS No. 159 and therefore is unable to disclose the impact from adopting SFAS No. 159 will have on its financial position and results of operations when such statement is adopted.</w:t>
      </w:r>
    </w:p>
    <w:p>
      <w:pPr>
        <w:spacing w:after="0" w:line="130" w:lineRule="exact"/>
        <w:rPr>
          <w:sz w:val="20"/>
          <w:szCs w:val="20"/>
          <w:color w:val="auto"/>
        </w:rPr>
      </w:pPr>
    </w:p>
    <w:p>
      <w:pPr>
        <w:ind w:left="1000" w:hanging="313"/>
        <w:spacing w:after="0"/>
        <w:tabs>
          <w:tab w:leader="none" w:pos="100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of Businesses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Company completed seven business acquisitions during the fiscal year ended July 31, 2007, eleven business acquisitions during the fiscal year ended July 31, 2006 and four acquisitions during the fiscal year ended July 31, 2005. All of these transactions were accounted for using the purchase method of accounting; therefore, the results of operations are included in the accompanying consolidated financial statements only since their acquisition dates. The Company is continuing to evaluate the initial purchase price allocations for the acquisitions completed during the fiscal year ended July 31, 2007, and will adjust the allocations as additional information relative to the fair values of assets and liabilities of the acquired businesses become known.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2007</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Company acquired the following companies in fiscal 2007 for a total combined purchase price, net of cash acquired, of $159,475. A brief description of each company acquired during the year is included below:</w:t>
      </w:r>
    </w:p>
    <w:p>
      <w:pPr>
        <w:spacing w:after="0" w:line="59" w:lineRule="exact"/>
        <w:rPr>
          <w:sz w:val="20"/>
          <w:szCs w:val="20"/>
          <w:color w:val="auto"/>
        </w:rPr>
      </w:pPr>
    </w:p>
    <w:p>
      <w:pPr>
        <w:ind w:left="1280" w:hanging="190"/>
        <w:spacing w:after="0" w:line="320" w:lineRule="auto"/>
        <w:tabs>
          <w:tab w:leader="none" w:pos="1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CIPI is headquartered in Burlington, Massachusetts, with operations in Hong Kong, China and the Netherlands. CIPI is a market leader in badging accessories used to identify and track employees and visitors in a variety of settings including businesses, healthcare facilities, special events and government buildings. CIPI was acquired in August 2006.</w:t>
      </w:r>
    </w:p>
    <w:p>
      <w:pPr>
        <w:spacing w:after="0" w:line="25" w:lineRule="exact"/>
        <w:rPr>
          <w:rFonts w:ascii="Arial" w:cs="Arial" w:eastAsia="Arial" w:hAnsi="Arial"/>
          <w:sz w:val="12"/>
          <w:szCs w:val="12"/>
          <w:color w:val="auto"/>
        </w:rPr>
      </w:pPr>
    </w:p>
    <w:p>
      <w:pPr>
        <w:ind w:left="1280" w:right="20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Precision Converters is located in Dallas, Texas and is a supplier of die-cut products to the medical market with a specific focus on disposable, advanced wound-care products. Precision Converters was acquired in October 2006.</w:t>
      </w:r>
    </w:p>
    <w:p>
      <w:pPr>
        <w:spacing w:after="0" w:line="49"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Scafftag is located in Barry, Wales, U.K., with operations in Australia and in the United States and a sales office in the United Arab Emirates. Scafftag is an industry leader in safety identification and facility management products in the U.K., specializing in products that help companies meet legislative requirements for safety standards in the oil and gas, construction and scaffolding industries. Scafftag was acquired in December 2006.</w:t>
      </w:r>
    </w:p>
    <w:p>
      <w:pPr>
        <w:spacing w:after="0" w:line="57"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Asterisco is located in Sao Paulo, Brazil and is a leading manufacturer of industrial high-performance labels in Brazil, specializing in custom labels printed on film materials for the electronics, automotive, pharmaceutical and other industries. Asterisco was acquired in December 2006.</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Moderno is located in Milan, Italy and is a wire-identification manufacturer serving the Maintenance, Repair and Operations market with products used primarily in the electrical industry. Moderno was acquired in December 2006.</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280" w:right="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Clement is located in Concordville, Pennsylvania and is a direct marketer of posters, newsletters, guides and handbooks that address safety, quality, teamwork, sales employment practices, customer service and OSHA regulations. Clement was acquired in February 2007.</w:t>
      </w:r>
    </w:p>
    <w:p>
      <w:pPr>
        <w:spacing w:after="0" w:line="49"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SPC is headquartered in Somerset, New Jersey, with operations in Belgium and Hong Kong. SPC is a leading manufacturer and marketer of synthetic sorbent materials used in a variety of industrial maintenance and environmental applications for spill clean-up, containment and control. SPC was acquired in April 2007.</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purchase agreements for Scafftag and Asterisco each include provisions for contingent payments based upon meeting certain performance conditions over a period of time subsequent to the acquisition. The total maximum contingent payments of $5.2 million have not been accrued as liabilities on the accompanying consolidated financial statements as the payments are based on attaining certain financial results which have not been achieved as of July 31, 2007. Approximately $4.9 million of the contingency related to the Asterisco acquisition has been placed in an escrow account in compliance with the terms of the purchase agreement. This cash outflow has been recorded in other long-term assets on the accompanying consolidated balance sheets as of July 31, 2007 and in other investing activities on the accompanying consolidated statements of cash flows for the fiscal year ended July 31, 2007. The purchase agreement of Asterisco also includes a holdback provision of approximately $2.3 million that has been recorded as a liability in the accompanying consolidated financial statements at July 31, 2007.</w:t>
      </w:r>
    </w:p>
    <w:p>
      <w:pPr>
        <w:spacing w:after="0" w:line="73"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The allocation of the purchase price of each company acquired during fiscal 2007 is preliminary pending the final valuation of intangible assets as well as certain tangible assets and liabilities. The following table summarizes the combined estimated fair values of the assets acquired and liabilities assumed at the date of the acquisitions.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38,148</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Property, plant &amp; equipment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12,158</w:t>
            </w: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105,325</w:t>
            </w:r>
          </w:p>
        </w:tc>
        <w:tc>
          <w:tcPr>
            <w:tcW w:w="100" w:type="dxa"/>
            <w:vAlign w:val="bottom"/>
            <w:shd w:val="clear" w:color="auto" w:fill="CCEEFF"/>
          </w:tcPr>
          <w:p>
            <w:pPr>
              <w:spacing w:after="0"/>
              <w:rPr>
                <w:sz w:val="13"/>
                <w:szCs w:val="13"/>
                <w:color w:val="auto"/>
              </w:rPr>
            </w:pP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Customer relationships</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23,897</w:t>
            </w: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Trademarks</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11,232</w:t>
            </w:r>
          </w:p>
        </w:tc>
        <w:tc>
          <w:tcPr>
            <w:tcW w:w="100" w:type="dxa"/>
            <w:vAlign w:val="bottom"/>
            <w:shd w:val="clear" w:color="auto" w:fill="CCEEFF"/>
          </w:tcPr>
          <w:p>
            <w:pPr>
              <w:spacing w:after="0"/>
              <w:rPr>
                <w:sz w:val="13"/>
                <w:szCs w:val="13"/>
                <w:color w:val="auto"/>
              </w:rPr>
            </w:pP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Non-compete agreements</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967</w:t>
            </w:r>
          </w:p>
        </w:tc>
        <w:tc>
          <w:tcPr>
            <w:tcW w:w="100" w:type="dxa"/>
            <w:vAlign w:val="bottom"/>
          </w:tcPr>
          <w:p>
            <w:pPr>
              <w:spacing w:after="0"/>
              <w:rPr>
                <w:sz w:val="13"/>
                <w:szCs w:val="13"/>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Other intangible assets</w:t>
            </w:r>
          </w:p>
        </w:tc>
        <w:tc>
          <w:tcPr>
            <w:tcW w:w="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w:t>
            </w:r>
          </w:p>
        </w:tc>
        <w:tc>
          <w:tcPr>
            <w:tcW w:w="100" w:type="dxa"/>
            <w:vAlign w:val="bottom"/>
            <w:shd w:val="clear" w:color="auto" w:fill="CCEEFF"/>
          </w:tcPr>
          <w:p>
            <w:pPr>
              <w:spacing w:after="0"/>
              <w:rPr>
                <w:sz w:val="13"/>
                <w:szCs w:val="13"/>
                <w:color w:val="auto"/>
              </w:rPr>
            </w:pPr>
          </w:p>
        </w:tc>
      </w:tr>
      <w:tr>
        <w:trPr>
          <w:trHeight w:val="156"/>
        </w:trPr>
        <w:tc>
          <w:tcPr>
            <w:tcW w:w="9200" w:type="dxa"/>
            <w:vAlign w:val="bottom"/>
          </w:tcPr>
          <w:p>
            <w:pPr>
              <w:ind w:left="140"/>
              <w:spacing w:after="0"/>
              <w:rPr>
                <w:sz w:val="20"/>
                <w:szCs w:val="20"/>
                <w:color w:val="auto"/>
              </w:rPr>
            </w:pPr>
            <w:r>
              <w:rPr>
                <w:rFonts w:ascii="Arial" w:cs="Arial" w:eastAsia="Arial" w:hAnsi="Arial"/>
                <w:sz w:val="13"/>
                <w:szCs w:val="13"/>
                <w:color w:val="auto"/>
              </w:rPr>
              <w:t>Total assets acquired</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192,723</w:t>
            </w:r>
          </w:p>
        </w:tc>
        <w:tc>
          <w:tcPr>
            <w:tcW w:w="100" w:type="dxa"/>
            <w:vAlign w:val="bottom"/>
          </w:tcPr>
          <w:p>
            <w:pPr>
              <w:spacing w:after="0"/>
              <w:rPr>
                <w:sz w:val="13"/>
                <w:szCs w:val="13"/>
                <w:color w:val="auto"/>
              </w:rPr>
            </w:pPr>
          </w:p>
        </w:tc>
      </w:tr>
      <w:tr>
        <w:trPr>
          <w:trHeight w:val="158"/>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Liabilities assumed</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33,248</w:t>
            </w:r>
          </w:p>
        </w:tc>
      </w:tr>
      <w:tr>
        <w:trPr>
          <w:trHeight w:val="166"/>
        </w:trPr>
        <w:tc>
          <w:tcPr>
            <w:tcW w:w="9200" w:type="dxa"/>
            <w:vAlign w:val="bottom"/>
          </w:tcPr>
          <w:p>
            <w:pPr>
              <w:ind w:left="140"/>
              <w:spacing w:after="0"/>
              <w:rPr>
                <w:sz w:val="20"/>
                <w:szCs w:val="20"/>
                <w:color w:val="auto"/>
              </w:rPr>
            </w:pPr>
            <w:r>
              <w:rPr>
                <w:rFonts w:ascii="Arial" w:cs="Arial" w:eastAsia="Arial" w:hAnsi="Arial"/>
                <w:sz w:val="13"/>
                <w:szCs w:val="13"/>
                <w:color w:val="auto"/>
              </w:rPr>
              <w:t>Net assets acquired</w:t>
            </w: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159,475</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Of the $105,325 allocated to goodwill, $72,134 is expected to be deductible for tax purposes based on preliminary analysis.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fiscal 2007 acquisitions were determined to be immaterial individually and in the aggregate, so no pro forma disclosures were required.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2006</w:t>
      </w:r>
    </w:p>
    <w:p>
      <w:pPr>
        <w:spacing w:after="0" w:line="96"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The Company acquired the following companies in fiscal 2006 for a total combined purchase price, net of cash acquired, of $351,331. A brief description of each company acquired during the year is included below:</w:t>
      </w:r>
    </w:p>
    <w:p>
      <w:pPr>
        <w:spacing w:after="0" w:line="59" w:lineRule="exact"/>
        <w:rPr>
          <w:sz w:val="20"/>
          <w:szCs w:val="20"/>
          <w:color w:val="auto"/>
        </w:rPr>
      </w:pPr>
    </w:p>
    <w:p>
      <w:pPr>
        <w:ind w:left="1280" w:right="30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Stopware is located in San Jose, California and is a manufacturer of visitor-badging and lobby-security software used to identify and track visitors. Stopware was acquired in August 2005.</w:t>
      </w:r>
    </w:p>
    <w:p>
      <w:pPr>
        <w:spacing w:after="0" w:line="49"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Texit is a manufacturer and distributor of wire markers and cable-management products headquartered in Odense, Denmark, with operations in Alesund, Norway. Texit was acquired in September 2005.</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280" w:right="54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TruMed is a converter of disposable products and components for manufacturers in the medical device, diagnostic, personal care and industrial markets and is located in Burnsville, Minnesota. TruMed was acquired in October 2005.</w:t>
      </w:r>
    </w:p>
    <w:p>
      <w:pPr>
        <w:spacing w:after="0" w:line="49" w:lineRule="exact"/>
        <w:rPr>
          <w:rFonts w:ascii="Arial" w:cs="Arial" w:eastAsia="Arial" w:hAnsi="Arial"/>
          <w:sz w:val="13"/>
          <w:szCs w:val="13"/>
          <w:color w:val="auto"/>
        </w:rPr>
      </w:pPr>
    </w:p>
    <w:p>
      <w:pPr>
        <w:ind w:left="1280" w:right="140" w:hanging="190"/>
        <w:spacing w:after="0" w:line="264"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QDPT was formerly located in Wangnoi, Ayutthaya, Thailand and designs and manufactures high-precision components for the electronic, medical and automotive industries, specializing in precision laminating, stamping and contract assembly. QDPT was acquired in October 2005. In fiscal 2007, QDPT combined its operations with TPS in a facility in Klongluang, Pathumthani, Thailand.</w:t>
      </w:r>
    </w:p>
    <w:p>
      <w:pPr>
        <w:spacing w:after="0" w:line="57"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J.A.M. was formerly located in Anaheim, California and specializes in the sale and manufacture of security-related accessory products including patented badge holders, lanyards and retractable badge reels. J.A.M. was acquired in December 2005. In fiscal 2007, the operations of J.A.M. were merged with CIPI.</w:t>
      </w:r>
    </w:p>
    <w:p>
      <w:pPr>
        <w:spacing w:after="0" w:line="49" w:lineRule="exact"/>
        <w:rPr>
          <w:rFonts w:ascii="Arial" w:cs="Arial" w:eastAsia="Arial" w:hAnsi="Arial"/>
          <w:sz w:val="13"/>
          <w:szCs w:val="13"/>
          <w:color w:val="auto"/>
        </w:rPr>
      </w:pPr>
    </w:p>
    <w:p>
      <w:pPr>
        <w:ind w:left="1280" w:right="120" w:hanging="190"/>
        <w:spacing w:after="0" w:line="264"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Personnel Concepts is located in Pomona, California and is a direct marketer of labor-law compliance posters and related products. Personnel Concepts also offers consultative expertise on required communication of federal and state minimum wages, HIPAA privacy regulations, and EEO compliance, among other regulatory areas. Personnel Concepts was acquired in January 2006.</w:t>
      </w:r>
    </w:p>
    <w:p>
      <w:pPr>
        <w:spacing w:after="0" w:line="57"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IDenticard is located in Lancaster, Pennsylvania and its affiliate Identicam is located in Markham, Ontario. The companies are market leaders in personal identification, access control and consumable identification badges. IDenticard and Identicam were acquired in February 2006.</w:t>
      </w:r>
    </w:p>
    <w:p>
      <w:pPr>
        <w:spacing w:after="0" w:line="49"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Accidental Health was formerly located in Glendenning, New South Wales, Australia and is a supplier and distributor of customized first-aid kits, related safety products and signage for commercial enterprises. Accidental Health was acquired in March 2006. In fiscal 2007, Accidental Health combined its operations with Brady Australia Pty. Ltd. in Sydney, Australia.</w:t>
      </w:r>
    </w:p>
    <w:p>
      <w:pPr>
        <w:spacing w:after="0" w:line="57" w:lineRule="exact"/>
        <w:rPr>
          <w:rFonts w:ascii="Arial" w:cs="Arial" w:eastAsia="Arial" w:hAnsi="Arial"/>
          <w:sz w:val="13"/>
          <w:szCs w:val="13"/>
          <w:color w:val="auto"/>
        </w:rPr>
      </w:pPr>
    </w:p>
    <w:p>
      <w:pPr>
        <w:ind w:left="1280" w:right="120" w:hanging="190"/>
        <w:spacing w:after="0" w:line="264"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Tradex is headquarterd in Kungalv, Sweden with operations in Sweden, China, Korea, Mexico, the United States, Brazil, and Taiwan. Tradex is a leading manufacturer and supplier of pressure sensitive, die-cut adhesive components for the mobile handset and electronics industries. Tradex was acquired in May 2006. In fiscal 2007, the operations in Suzhou, China were closed.</w:t>
      </w:r>
    </w:p>
    <w:p>
      <w:pPr>
        <w:spacing w:after="0" w:line="57"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Carroll is located in Sydney, New South Wales, Australia and is a supplier and distributor of identification products for the electrical industry, with a complete line of wiring accessory products including prepared wire and cable markers, termination and connection supplies, wire-bundling materials and electrical circuit protection products. Carroll also markets to the automotive and marine markets. Carroll was acquired in June 2006.</w:t>
      </w:r>
    </w:p>
    <w:p>
      <w:pPr>
        <w:spacing w:after="0" w:line="57" w:lineRule="exact"/>
        <w:rPr>
          <w:rFonts w:ascii="Arial" w:cs="Arial" w:eastAsia="Arial" w:hAnsi="Arial"/>
          <w:sz w:val="13"/>
          <w:szCs w:val="13"/>
          <w:color w:val="auto"/>
        </w:rPr>
      </w:pPr>
    </w:p>
    <w:p>
      <w:pPr>
        <w:ind w:left="1280" w:right="220" w:hanging="190"/>
        <w:spacing w:after="0" w:line="264"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Daewon is based in Seoul, South Korea with additional operations in Gumi, South Korea and former operations in Suzhou, China. Daewon is a manufacturer and supplier of pressure sensitive, die-cut adhesive components for the mobile handset and electronics industry and was acquired in July 2006. In fiscal 2007, the operations in Suzhou, China were closed.</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49"/>
        </w:trPr>
        <w:tc>
          <w:tcPr>
            <w:tcW w:w="988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900" w:type="dxa"/>
            <w:vAlign w:val="bottom"/>
          </w:tcPr>
          <w:p>
            <w:pPr>
              <w:jc w:val="center"/>
              <w:ind w:left="434"/>
              <w:spacing w:after="0"/>
              <w:rPr>
                <w:sz w:val="20"/>
                <w:szCs w:val="20"/>
                <w:color w:val="auto"/>
              </w:rPr>
            </w:pPr>
            <w:r>
              <w:rPr>
                <w:rFonts w:ascii="Arial" w:cs="Arial" w:eastAsia="Arial" w:hAnsi="Arial"/>
                <w:sz w:val="13"/>
                <w:szCs w:val="13"/>
                <w:b w:val="1"/>
                <w:bCs w:val="1"/>
                <w:color w:val="auto"/>
              </w:rPr>
              <w:t>BRADY CORPORATION AND SUBSIDIARIES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900" w:type="dxa"/>
            <w:vAlign w:val="bottom"/>
          </w:tcPr>
          <w:p>
            <w:pPr>
              <w:jc w:val="center"/>
              <w:ind w:left="414"/>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1"/>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900" w:type="dxa"/>
            <w:vAlign w:val="bottom"/>
          </w:tcPr>
          <w:p>
            <w:pPr>
              <w:ind w:left="100"/>
              <w:spacing w:after="0"/>
              <w:rPr>
                <w:sz w:val="20"/>
                <w:szCs w:val="20"/>
                <w:color w:val="auto"/>
              </w:rPr>
            </w:pPr>
            <w:r>
              <w:rPr>
                <w:rFonts w:ascii="Arial" w:cs="Arial" w:eastAsia="Arial" w:hAnsi="Arial"/>
                <w:sz w:val="13"/>
                <w:szCs w:val="13"/>
                <w:color w:val="auto"/>
              </w:rPr>
              <w:t>The following table summarizes the combined estimated fair values of the assets acquired and liabilities assumed at the date of the acquisitions.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72,882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0" w:type="dxa"/>
            <w:vAlign w:val="bottom"/>
            <w:gridSpan w:val="2"/>
          </w:tcPr>
          <w:p>
            <w:pPr>
              <w:spacing w:after="0"/>
              <w:rPr>
                <w:sz w:val="20"/>
                <w:szCs w:val="20"/>
                <w:color w:val="auto"/>
              </w:rPr>
            </w:pPr>
            <w:r>
              <w:rPr>
                <w:rFonts w:ascii="Arial" w:cs="Arial" w:eastAsia="Arial" w:hAnsi="Arial"/>
                <w:sz w:val="13"/>
                <w:szCs w:val="13"/>
                <w:color w:val="auto"/>
              </w:rPr>
              <w:t>Property, plant &amp; equipment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22,159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247,098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0" w:type="dxa"/>
            <w:vAlign w:val="bottom"/>
            <w:gridSpan w:val="2"/>
          </w:tcPr>
          <w:p>
            <w:pPr>
              <w:spacing w:after="0"/>
              <w:rPr>
                <w:sz w:val="20"/>
                <w:szCs w:val="20"/>
                <w:color w:val="auto"/>
              </w:rPr>
            </w:pPr>
            <w:r>
              <w:rPr>
                <w:rFonts w:ascii="Arial" w:cs="Arial" w:eastAsia="Arial" w:hAnsi="Arial"/>
                <w:sz w:val="13"/>
                <w:szCs w:val="13"/>
                <w:color w:val="auto"/>
              </w:rPr>
              <w:t>Customer relationships</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56,538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Trademarks</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10,619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0" w:type="dxa"/>
            <w:vAlign w:val="bottom"/>
            <w:gridSpan w:val="2"/>
          </w:tcPr>
          <w:p>
            <w:pPr>
              <w:spacing w:after="0"/>
              <w:rPr>
                <w:sz w:val="20"/>
                <w:szCs w:val="20"/>
                <w:color w:val="auto"/>
              </w:rPr>
            </w:pPr>
            <w:r>
              <w:rPr>
                <w:rFonts w:ascii="Arial" w:cs="Arial" w:eastAsia="Arial" w:hAnsi="Arial"/>
                <w:sz w:val="13"/>
                <w:szCs w:val="13"/>
                <w:color w:val="auto"/>
              </w:rPr>
              <w:t>Non-compete agreements</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3,206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Purchased software</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0" w:type="dxa"/>
            <w:vAlign w:val="bottom"/>
            <w:gridSpan w:val="2"/>
          </w:tcPr>
          <w:p>
            <w:pPr>
              <w:spacing w:after="0"/>
              <w:rPr>
                <w:sz w:val="20"/>
                <w:szCs w:val="20"/>
                <w:color w:val="auto"/>
              </w:rPr>
            </w:pPr>
            <w:r>
              <w:rPr>
                <w:rFonts w:ascii="Arial" w:cs="Arial" w:eastAsia="Arial" w:hAnsi="Arial"/>
                <w:sz w:val="13"/>
                <w:szCs w:val="13"/>
                <w:color w:val="auto"/>
              </w:rPr>
              <w:t>Patents</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610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intangible assets</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2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assets acquired</w:t>
            </w: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9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414,998</w:t>
            </w: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Liabilities assumed</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63,667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9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9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assets acquired</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351,331</w:t>
            </w: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00" w:type="dxa"/>
            <w:vAlign w:val="bottom"/>
          </w:tcPr>
          <w:p>
            <w:pPr>
              <w:ind w:left="100"/>
              <w:spacing w:after="0"/>
              <w:rPr>
                <w:sz w:val="20"/>
                <w:szCs w:val="20"/>
                <w:color w:val="auto"/>
              </w:rPr>
            </w:pPr>
            <w:r>
              <w:rPr>
                <w:rFonts w:ascii="Arial" w:cs="Arial" w:eastAsia="Arial" w:hAnsi="Arial"/>
                <w:sz w:val="13"/>
                <w:szCs w:val="13"/>
                <w:color w:val="auto"/>
              </w:rPr>
              <w:t>Of the $247,098 allocated to goodwill, $26,209 is expected to be deductible for tax purposes based on preliminary analysis.</w:t>
            </w: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The purchase agreements for Texit, QDPT, and Stopware each included provisions for contingent payments based upon meeting certain performance conditions over a period of time subsequent to the acquisition. In fiscal 2006 and 2007, $1,800 and $2,577, respectively, of the conditions were met and recorded in goodwill. Payments of $3,377 were made during fiscal 2007 to satisfy the contingent payment requirements. The remaining $1,000 liability will be paid in fiscal 2008. The purchase agreements for QDPT, Stopware and Daewon included holdback provisions of $310, $200 and $4,350, respectively. The holdback provision for QDPT was paid in fiscal 2007 and $4,550 remains as a liability in the accompanying consolidated financial statements for Stopware and Daewon as of July 31, 2007. The holdback provision for Stopware was paid in August 2007.</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unaudited pro forma results of operations of the Company for the fiscal years ended July 31, 2006 and 2005, respectively, give effect to all acquisitions completed since August 1, 2005 as listed above as though the transactions had occurred on August 1, 2004.</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0"/>
                <w:szCs w:val="10"/>
                <w:b w:val="1"/>
                <w:bCs w:val="1"/>
                <w:color w:val="auto"/>
              </w:rPr>
              <w:t>Fiscal Year Ended July 31,</w:t>
            </w:r>
          </w:p>
        </w:tc>
      </w:tr>
      <w:tr>
        <w:trPr>
          <w:trHeight w:val="98"/>
        </w:trPr>
        <w:tc>
          <w:tcPr>
            <w:tcW w:w="770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7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As reported</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1,018,436</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816,447</w:t>
            </w: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 forma</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1,189,545</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1,040,327</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Net income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 reported</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104,175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81,947</w:t>
            </w: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Pro forma</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105,883</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84,171</w:t>
            </w: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Per Class A Nonvoting Common Share:</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Basic earnings per share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 reported</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w:t>
            </w: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Pro forma</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2.14</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1.72</w:t>
            </w: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As reported</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2.07</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1.64</w:t>
            </w: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 forma</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Per Class B Voting Common Share: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 earnings per share</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As reported</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2.09</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1.66</w:t>
            </w: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 forma</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2.12</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 reported</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w:t>
            </w:r>
          </w:p>
        </w:tc>
      </w:tr>
      <w:tr>
        <w:trPr>
          <w:trHeight w:val="165"/>
        </w:trPr>
        <w:tc>
          <w:tcPr>
            <w:tcW w:w="7700" w:type="dxa"/>
            <w:vAlign w:val="bottom"/>
          </w:tcPr>
          <w:p>
            <w:pPr>
              <w:ind w:left="280"/>
              <w:spacing w:after="0"/>
              <w:rPr>
                <w:sz w:val="20"/>
                <w:szCs w:val="20"/>
                <w:color w:val="auto"/>
              </w:rPr>
            </w:pPr>
            <w:r>
              <w:rPr>
                <w:rFonts w:ascii="Arial" w:cs="Arial" w:eastAsia="Arial" w:hAnsi="Arial"/>
                <w:sz w:val="13"/>
                <w:szCs w:val="13"/>
                <w:color w:val="auto"/>
              </w:rPr>
              <w:t>Pro forma</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2.09</w:t>
            </w:r>
          </w:p>
        </w:tc>
        <w:tc>
          <w:tcPr>
            <w:tcW w:w="2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1.67</w:t>
            </w:r>
          </w:p>
        </w:tc>
      </w:tr>
    </w:tbl>
    <w:p>
      <w:pPr>
        <w:spacing w:after="0" w:line="72"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These unaudited pro-forma results have been prepared for comparative purposes only and primarily include adjustments for amortization arising from the valuation of intangible assets, interest expense on debt issued in connection with the acquisitions, and the related income tax adjustments. The pro-forma information is not necessarily indicative of the results that would have occurred had the acquisitions occurred at the beginning of the periods presented, nor is it necessarily indicative of future results.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2005</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In August 2004, the Company acquired ID Technologies, a Singapore based manufacturer and supplier of pressure sensitive die-cut components and labeling products. The purchase price was approximately $42,800 in cash and included a holdback amount of $6,500, which was paid in August 2006. The holdback is recorded in other liabilities in the accompanying consolidated balance sheets at July 31, 2006. Interest was imputed on the holdback at a rate of 4.9% per year. The agreement also provided for a contingent payment of no more than $2,500 if ID Technologies met certain financial targets for the fiscal year ended July 31, 2005. As of July 31, 2005, the financial targets had been met and the corresponding liability was reflected in the consolidated financial statements at the maximum payment amount and was paid to the sellers in fiscal 2006. Of the purchase price, $25,926 was assigned to goodwill and $16,017 was assigned to other intangible assets in the purchase price allocation. The allocation of these intangible assets included approximately $13,500 for customer relationships, $2,300 for non-compete agreements, and $217 of other intangible assets. There is no remaining goodwill expected to be deductible for tax purposes.</w:t>
      </w: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February 2005, the Company acquired Electromark, a manufacturer and supplier of safety and facility identification products to the utility industry, headquartered in Wolcott, New York. The purchase price was approximately $15,100 in cash. Of the purchase price, a total of $3,509 was assigned to intangible assets other than goodwill and $8,344 was assigned to goodwill in the purchase price allocation. The intangible assets consist of approximately $1,300 of customer relationships, $1,600 of trademarks, and $609 of other intangible assets at the time of acquisition. Remaining tax goodwill of $48 is expected to be deductible for tax purposes.</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June 2005, the Company acquired Signs &amp; Labels, a provider of stock and custom signage, custom safety signs, architectural signs and modular signage systems for business offices, schools and hospitals in the United Kingdom. The purchase price was approximately $24,000 in cash. Of the purchase price, a total of $10,955 was assigned to intangible assets other than goodwill and $18,039 was assigned to goodwill in the allocation of the purchase price. The intangible assets identified in the allocation of the purchase price consist of approximately $6,109 of customer relationships, $4,554 of trademarks, and $292 of non-compete and other. Immediately following the acquisition, all outstanding debt of Signs &amp; Labels, approximately $2,500, was repaid with cash. There is no remaining goodwill expected to be deductible for tax purposes.</w:t>
      </w:r>
    </w:p>
    <w:p>
      <w:pPr>
        <w:spacing w:after="0" w:line="55"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 July 2005, the Company acquired TPS, a manufacturer and supplier of pressure sensitive labels, nameplates and tags in Thailand. The purchase price was approximately $5,250 in cash. Of the purchase price, a total of $2,755 was assigned to intangible assets other than goodwill and $2,090 was assigned to goodwill in the allocation of the purchase price. Of the cash purchase price, a portion was being withheld until legal ownership of the facility owned by TPS was transferred to Brady Corporation. This transfer was completed in fiscal 2006. The intangible assets identified in the allocation of the purchase price include approximately $1,975 of customer relationships and $780 of non-compete agreements and other. Remaining tax goodwill of $2,506 is expected to be deductible for tax purposes based on the allocation of the purchase price.</w:t>
      </w:r>
    </w:p>
    <w:p>
      <w:pPr>
        <w:spacing w:after="0" w:line="130" w:lineRule="exact"/>
        <w:rPr>
          <w:sz w:val="20"/>
          <w:szCs w:val="20"/>
          <w:color w:val="auto"/>
        </w:rPr>
      </w:pPr>
    </w:p>
    <w:p>
      <w:pPr>
        <w:ind w:left="1000" w:hanging="313"/>
        <w:spacing w:after="0"/>
        <w:tabs>
          <w:tab w:leader="none" w:pos="100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Company provides postretirement medical, dental and vision benefits (the “Plan”)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 The Company funds benefit costs on a pay-as-you-go basis.</w:t>
      </w:r>
    </w:p>
    <w:p>
      <w:pPr>
        <w:spacing w:after="0" w:line="53"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October 2006, the FASB issued SFAS No. 158, “Employers’ Accounting for Defined Benefit Pension and Other Postretirement Plans.” This statement requires full recognition of the funded status of defined benefit and other postretirement plans on the balance sheet as an asset or a liability. SFAS No. 158 also continues to require that unrecognized prior service costs/credits, gains/losses, and transition obligations/assets be recorded in Accumulated Other Comprehensive Income, thus not changing the income statement recognition rules for such plans. The Company adopted the provisions of SFAS No. 158 for the fiscal year ended July 31, 2007.</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incremental effects of the initial application of SFAS No. 158 to the consolidated balance at July 31, 2007 were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Before Application</w:t>
            </w:r>
          </w:p>
        </w:tc>
        <w:tc>
          <w:tcPr>
            <w:tcW w:w="12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8"/>
              </w:rPr>
              <w:t>Adjustments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rPr>
              <w:t>After Application</w:t>
            </w: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of SFAS No. 158</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of SFAS No. 158</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34,059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(1,551)</w:t>
            </w:r>
          </w:p>
        </w:tc>
        <w:tc>
          <w:tcPr>
            <w:tcW w:w="1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32,508</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Total assets</w:t>
            </w:r>
          </w:p>
        </w:tc>
        <w:tc>
          <w:tcPr>
            <w:tcW w:w="180" w:type="dxa"/>
            <w:vAlign w:val="bottom"/>
          </w:tcPr>
          <w:p>
            <w:pPr>
              <w:spacing w:after="0"/>
              <w:rPr>
                <w:sz w:val="13"/>
                <w:szCs w:val="13"/>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1,700,408</w:t>
            </w:r>
          </w:p>
        </w:tc>
        <w:tc>
          <w:tcPr>
            <w:tcW w:w="1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(1,551)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1,698,857</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Other current liabilities</w:t>
            </w:r>
          </w:p>
        </w:tc>
        <w:tc>
          <w:tcPr>
            <w:tcW w:w="18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60,254</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60,254</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Total current liabilities</w:t>
            </w:r>
          </w:p>
        </w:tc>
        <w:tc>
          <w:tcPr>
            <w:tcW w:w="180" w:type="dxa"/>
            <w:vAlign w:val="bottom"/>
          </w:tcPr>
          <w:p>
            <w:pPr>
              <w:spacing w:after="0"/>
              <w:rPr>
                <w:sz w:val="13"/>
                <w:szCs w:val="13"/>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280,054</w:t>
            </w:r>
          </w:p>
        </w:tc>
        <w:tc>
          <w:tcPr>
            <w:tcW w:w="12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280,054</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8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54,191</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(4,975)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49,216</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Total liabilities</w:t>
            </w:r>
          </w:p>
        </w:tc>
        <w:tc>
          <w:tcPr>
            <w:tcW w:w="180" w:type="dxa"/>
            <w:vAlign w:val="bottom"/>
          </w:tcPr>
          <w:p>
            <w:pPr>
              <w:spacing w:after="0"/>
              <w:rPr>
                <w:sz w:val="13"/>
                <w:szCs w:val="13"/>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812,820</w:t>
            </w:r>
          </w:p>
        </w:tc>
        <w:tc>
          <w:tcPr>
            <w:tcW w:w="1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(4,975)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807,845</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income</w:t>
            </w:r>
          </w:p>
        </w:tc>
        <w:tc>
          <w:tcPr>
            <w:tcW w:w="18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79,952</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3,424</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83,376</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3"/>
                <w:szCs w:val="13"/>
                <w:color w:val="auto"/>
              </w:rPr>
              <w:t>Total stockholders’ investment</w:t>
            </w: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500" w:type="dxa"/>
            <w:vAlign w:val="bottom"/>
            <w:vMerge w:val="continue"/>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887,588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3,424</w:t>
            </w:r>
          </w:p>
        </w:tc>
        <w:tc>
          <w:tcPr>
            <w:tcW w:w="140" w:type="dxa"/>
            <w:vAlign w:val="bottom"/>
          </w:tcPr>
          <w:p>
            <w:pPr>
              <w:spacing w:after="0"/>
              <w:rPr>
                <w:sz w:val="14"/>
                <w:szCs w:val="14"/>
                <w:color w:val="auto"/>
              </w:rPr>
            </w:pPr>
          </w:p>
        </w:tc>
        <w:tc>
          <w:tcPr>
            <w:tcW w:w="46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891,012</w:t>
            </w:r>
          </w:p>
        </w:tc>
        <w:tc>
          <w:tcPr>
            <w:tcW w:w="0" w:type="dxa"/>
            <w:vAlign w:val="bottom"/>
          </w:tcPr>
          <w:p>
            <w:pPr>
              <w:spacing w:after="0"/>
              <w:rPr>
                <w:sz w:val="1"/>
                <w:szCs w:val="1"/>
                <w:color w:val="auto"/>
              </w:rPr>
            </w:pPr>
          </w:p>
        </w:tc>
      </w:tr>
      <w:tr>
        <w:trPr>
          <w:trHeight w:val="254"/>
        </w:trPr>
        <w:tc>
          <w:tcPr>
            <w:tcW w:w="5500" w:type="dxa"/>
            <w:vAlign w:val="bottom"/>
          </w:tcPr>
          <w:p>
            <w:pPr>
              <w:ind w:left="400"/>
              <w:spacing w:after="0"/>
              <w:rPr>
                <w:sz w:val="20"/>
                <w:szCs w:val="20"/>
                <w:color w:val="auto"/>
              </w:rPr>
            </w:pPr>
            <w:r>
              <w:rPr>
                <w:rFonts w:ascii="Arial" w:cs="Arial" w:eastAsia="Arial" w:hAnsi="Arial"/>
                <w:sz w:val="13"/>
                <w:szCs w:val="13"/>
                <w:color w:val="auto"/>
              </w:rPr>
              <w:t>The adoption of SFAS No. 158 had no effect on the Company’s net earnings.</w:t>
            </w:r>
          </w:p>
        </w:tc>
        <w:tc>
          <w:tcPr>
            <w:tcW w:w="1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8300" w:type="dxa"/>
            <w:vAlign w:val="bottom"/>
            <w:gridSpan w:val="7"/>
          </w:tcPr>
          <w:p>
            <w:pPr>
              <w:ind w:left="400"/>
              <w:spacing w:after="0"/>
              <w:rPr>
                <w:sz w:val="20"/>
                <w:szCs w:val="20"/>
                <w:color w:val="auto"/>
              </w:rPr>
            </w:pPr>
            <w:r>
              <w:rPr>
                <w:rFonts w:ascii="Arial" w:cs="Arial" w:eastAsia="Arial" w:hAnsi="Arial"/>
                <w:sz w:val="13"/>
                <w:szCs w:val="13"/>
                <w:color w:val="auto"/>
              </w:rPr>
              <w:t>The following table provides a reconciliation of the changes in the Plan’s accumulated benefit obligations during the years ended July 31: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Obligation at beginning of year</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12,650</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10,909</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Service cost</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967</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1,049</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Interest cost</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797</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Actuarial (gain) loss</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3"/>
                <w:szCs w:val="13"/>
                <w:color w:val="auto"/>
              </w:rPr>
              <w:t>(2,097)</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723</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Benefit payments</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(612)</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(706)</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3"/>
                <w:szCs w:val="13"/>
                <w:color w:val="auto"/>
              </w:rPr>
              <w:t>Obligation at end of fiscal year</w:t>
            </w: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11,705</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12,650</w:t>
            </w:r>
          </w:p>
        </w:tc>
        <w:tc>
          <w:tcPr>
            <w:tcW w:w="0" w:type="dxa"/>
            <w:vAlign w:val="bottom"/>
          </w:tcPr>
          <w:p>
            <w:pPr>
              <w:spacing w:after="0"/>
              <w:rPr>
                <w:sz w:val="1"/>
                <w:szCs w:val="1"/>
                <w:color w:val="auto"/>
              </w:rPr>
            </w:pPr>
          </w:p>
        </w:tc>
      </w:tr>
      <w:tr>
        <w:trPr>
          <w:trHeight w:val="30"/>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outlines the unfunded status of the Plan recorded as a liability in the accompanying consolidated balance sheets as of July 31, 2007 and 2006: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Unfunded status at July 31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300" w:type="dxa"/>
            <w:vAlign w:val="bottom"/>
          </w:tcPr>
          <w:p>
            <w:pPr>
              <w:spacing w:after="0"/>
              <w:rPr>
                <w:sz w:val="20"/>
                <w:szCs w:val="20"/>
                <w:color w:val="auto"/>
              </w:rPr>
            </w:pPr>
            <w:r>
              <w:rPr>
                <w:rFonts w:ascii="Arial" w:cs="Arial" w:eastAsia="Arial" w:hAnsi="Arial"/>
                <w:sz w:val="13"/>
                <w:szCs w:val="13"/>
                <w:color w:val="auto"/>
              </w:rPr>
              <w:t>Unrecognized net actuarial gain</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Unrecognized prior service gain</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300" w:type="dxa"/>
            <w:vAlign w:val="bottom"/>
            <w:vMerge w:val="restart"/>
          </w:tcPr>
          <w:p>
            <w:pPr>
              <w:spacing w:after="0"/>
              <w:rPr>
                <w:sz w:val="20"/>
                <w:szCs w:val="20"/>
                <w:color w:val="auto"/>
              </w:rPr>
            </w:pPr>
            <w:r>
              <w:rPr>
                <w:rFonts w:ascii="Arial" w:cs="Arial" w:eastAsia="Arial" w:hAnsi="Arial"/>
                <w:sz w:val="13"/>
                <w:szCs w:val="13"/>
                <w:color w:val="auto"/>
              </w:rPr>
              <w:t>Accumulated postretirement benefit obligation (“APBO”) liability</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11,705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15,680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8300" w:type="dxa"/>
            <w:vAlign w:val="bottom"/>
          </w:tcPr>
          <w:p>
            <w:pPr>
              <w:ind w:left="400"/>
              <w:spacing w:after="0"/>
              <w:rPr>
                <w:sz w:val="20"/>
                <w:szCs w:val="20"/>
                <w:color w:val="auto"/>
              </w:rPr>
            </w:pPr>
            <w:r>
              <w:rPr>
                <w:rFonts w:ascii="Arial" w:cs="Arial" w:eastAsia="Arial" w:hAnsi="Arial"/>
                <w:sz w:val="13"/>
                <w:szCs w:val="13"/>
                <w:color w:val="auto"/>
              </w:rPr>
              <w:t>As of July 31, 2007 and 2006, amounts recognized as liabilities in the accompanying consolidated balance sheets consist of:</w:t>
            </w: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300" w:type="dxa"/>
            <w:vAlign w:val="bottom"/>
          </w:tcPr>
          <w:p>
            <w:pPr>
              <w:spacing w:after="0"/>
              <w:rPr>
                <w:sz w:val="20"/>
                <w:szCs w:val="20"/>
                <w:color w:val="auto"/>
              </w:rPr>
            </w:pPr>
            <w:r>
              <w:rPr>
                <w:rFonts w:ascii="Arial" w:cs="Arial" w:eastAsia="Arial" w:hAnsi="Arial"/>
                <w:sz w:val="13"/>
                <w:szCs w:val="13"/>
                <w:color w:val="auto"/>
              </w:rPr>
              <w:t>Noncurrent liability</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11,130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15,680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3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15,680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8300" w:type="dxa"/>
            <w:vAlign w:val="bottom"/>
          </w:tcPr>
          <w:p>
            <w:pPr>
              <w:ind w:left="4860"/>
              <w:spacing w:after="0"/>
              <w:rPr>
                <w:sz w:val="20"/>
                <w:szCs w:val="20"/>
                <w:color w:val="auto"/>
              </w:rPr>
            </w:pPr>
            <w:r>
              <w:rPr>
                <w:rFonts w:ascii="Arial" w:cs="Arial" w:eastAsia="Arial" w:hAnsi="Arial"/>
                <w:sz w:val="13"/>
                <w:szCs w:val="13"/>
                <w:color w:val="auto"/>
              </w:rPr>
              <w:t>II-35</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July 31, 2007 and 2006, pre-tax amounts recognized in accumulated other comprehensive income in the accompanying consolidated balance sheets consist of:</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Net actuarial gain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(4,698)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 —</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Prior service credit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(4,975)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 —</w:t>
            </w:r>
          </w:p>
        </w:tc>
        <w:tc>
          <w:tcPr>
            <w:tcW w:w="0" w:type="dxa"/>
            <w:vAlign w:val="bottom"/>
          </w:tcPr>
          <w:p>
            <w:pPr>
              <w:spacing w:after="0"/>
              <w:rPr>
                <w:sz w:val="1"/>
                <w:szCs w:val="1"/>
                <w:color w:val="auto"/>
              </w:rPr>
            </w:pPr>
          </w:p>
        </w:tc>
      </w:tr>
      <w:tr>
        <w:trPr>
          <w:trHeight w:val="254"/>
        </w:trPr>
        <w:tc>
          <w:tcPr>
            <w:tcW w:w="7600" w:type="dxa"/>
            <w:vAlign w:val="bottom"/>
          </w:tcPr>
          <w:p>
            <w:pPr>
              <w:ind w:left="400"/>
              <w:spacing w:after="0"/>
              <w:rPr>
                <w:sz w:val="20"/>
                <w:szCs w:val="20"/>
                <w:color w:val="auto"/>
              </w:rPr>
            </w:pPr>
            <w:r>
              <w:rPr>
                <w:rFonts w:ascii="Arial" w:cs="Arial" w:eastAsia="Arial" w:hAnsi="Arial"/>
                <w:sz w:val="13"/>
                <w:szCs w:val="13"/>
                <w:color w:val="auto"/>
              </w:rPr>
              <w:t>Net periodic benefit cost for the Plan for fiscal years 2007, 2006 and 2005 includes the following components:</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0"/>
                <w:szCs w:val="10"/>
                <w:b w:val="1"/>
                <w:bCs w:val="1"/>
                <w:color w:val="auto"/>
                <w:w w:val="97"/>
              </w:rPr>
              <w:t>Years Ended July 31,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3"/>
          </w:tcPr>
          <w:p>
            <w:pPr>
              <w:ind w:left="40"/>
              <w:spacing w:after="0" w:line="98" w:lineRule="exact"/>
              <w:rPr>
                <w:sz w:val="20"/>
                <w:szCs w:val="20"/>
                <w:color w:val="auto"/>
              </w:rPr>
            </w:pPr>
            <w:r>
              <w:rPr>
                <w:rFonts w:ascii="Arial" w:cs="Arial" w:eastAsia="Arial" w:hAnsi="Arial"/>
                <w:sz w:val="10"/>
                <w:szCs w:val="10"/>
                <w:b w:val="1"/>
                <w:bCs w:val="1"/>
                <w:color w:val="auto"/>
              </w:rPr>
              <w:t>2006</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jc w:val="right"/>
              <w:ind w:right="74"/>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Net periodic postretirement benefit cost included the following components: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Service cost — benefits attributed to service during the period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967</w:t>
            </w:r>
          </w:p>
        </w:tc>
        <w:tc>
          <w:tcPr>
            <w:tcW w:w="1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ind w:right="240"/>
              <w:spacing w:after="0"/>
              <w:rPr>
                <w:sz w:val="20"/>
                <w:szCs w:val="20"/>
                <w:color w:val="auto"/>
              </w:rPr>
            </w:pPr>
            <w:r>
              <w:rPr>
                <w:rFonts w:ascii="Arial" w:cs="Arial" w:eastAsia="Arial" w:hAnsi="Arial"/>
                <w:sz w:val="13"/>
                <w:szCs w:val="13"/>
                <w:color w:val="auto"/>
              </w:rPr>
              <w:t>1,049</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895</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Prior service cost</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Interest cost on accumulated postretirement benefit obligation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797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675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689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unrecognized gain</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Periodic postretirement benefit cost</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1,612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4"/>
          </w:tcPr>
          <w:p>
            <w:pPr>
              <w:jc w:val="right"/>
              <w:ind w:right="240"/>
              <w:spacing w:after="0"/>
              <w:rPr>
                <w:sz w:val="20"/>
                <w:szCs w:val="20"/>
                <w:color w:val="auto"/>
              </w:rPr>
            </w:pPr>
            <w:r>
              <w:rPr>
                <w:rFonts w:ascii="Arial" w:cs="Arial" w:eastAsia="Arial" w:hAnsi="Arial"/>
                <w:sz w:val="13"/>
                <w:szCs w:val="13"/>
                <w:color w:val="auto"/>
              </w:rPr>
              <w:t>1,664</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1,424</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The estimated actuarial gain and prior service credit that will be amortized from accumulated other comprehensive income into net periodic postretirement benefit cost over the next fiscal year are $303 and $33,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assumptions were used in accounting for the plan: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40" w:type="dxa"/>
            <w:vAlign w:val="bottom"/>
          </w:tcPr>
          <w:p>
            <w:pPr>
              <w:spacing w:after="0"/>
              <w:rPr>
                <w:sz w:val="10"/>
                <w:szCs w:val="10"/>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0"/>
                <w:szCs w:val="10"/>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10"/>
                <w:szCs w:val="10"/>
                <w:color w:val="auto"/>
              </w:rPr>
            </w:pPr>
          </w:p>
        </w:tc>
      </w:tr>
      <w:tr>
        <w:trPr>
          <w:trHeight w:val="29"/>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discount rate used in determining accumulated postretirement benefit obligation Liability</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7940" w:type="dxa"/>
            <w:vAlign w:val="bottom"/>
          </w:tcPr>
          <w:p>
            <w:pPr>
              <w:spacing w:after="0"/>
              <w:rPr>
                <w:sz w:val="20"/>
                <w:szCs w:val="20"/>
                <w:color w:val="auto"/>
              </w:rPr>
            </w:pPr>
            <w:r>
              <w:rPr>
                <w:rFonts w:ascii="Arial" w:cs="Arial" w:eastAsia="Arial" w:hAnsi="Arial"/>
                <w:sz w:val="13"/>
                <w:szCs w:val="13"/>
                <w:color w:val="auto"/>
              </w:rPr>
              <w:t>Weighted average discount rate used in determining net periodic benefit cost</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6.0%</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5.0%</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6.0%</w:t>
            </w:r>
          </w:p>
        </w:tc>
      </w:tr>
      <w:tr>
        <w:trPr>
          <w:trHeight w:val="157"/>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Assumed health care trend rate used to measure APBO at July 31</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57"/>
        </w:trPr>
        <w:tc>
          <w:tcPr>
            <w:tcW w:w="7940" w:type="dxa"/>
            <w:vAlign w:val="bottom"/>
          </w:tcPr>
          <w:p>
            <w:pPr>
              <w:spacing w:after="0"/>
              <w:rPr>
                <w:sz w:val="20"/>
                <w:szCs w:val="20"/>
                <w:color w:val="auto"/>
              </w:rPr>
            </w:pPr>
            <w:r>
              <w:rPr>
                <w:rFonts w:ascii="Arial" w:cs="Arial" w:eastAsia="Arial" w:hAnsi="Arial"/>
                <w:sz w:val="13"/>
                <w:szCs w:val="13"/>
                <w:color w:val="auto"/>
              </w:rPr>
              <w:t>Rate to which cost trend rate is assumed to decline (the ultimate trend rate)</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5.5%</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5.5%</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Fiscal year the ultimate trend rate is reached</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2011</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2011</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2011</w:t>
            </w:r>
          </w:p>
        </w:tc>
      </w:tr>
    </w:tbl>
    <w:p>
      <w:pPr>
        <w:spacing w:after="0" w:line="80" w:lineRule="exact"/>
        <w:rPr>
          <w:sz w:val="20"/>
          <w:szCs w:val="20"/>
          <w:color w:val="auto"/>
        </w:rPr>
      </w:pPr>
    </w:p>
    <w:p>
      <w:pPr>
        <w:ind w:left="680" w:right="1040" w:firstLine="399"/>
        <w:spacing w:after="0" w:line="276" w:lineRule="auto"/>
        <w:rPr>
          <w:sz w:val="20"/>
          <w:szCs w:val="20"/>
          <w:color w:val="auto"/>
        </w:rPr>
      </w:pPr>
      <w:r>
        <w:rPr>
          <w:rFonts w:ascii="Arial" w:cs="Arial" w:eastAsia="Arial" w:hAnsi="Arial"/>
          <w:sz w:val="13"/>
          <w:szCs w:val="13"/>
          <w:color w:val="auto"/>
        </w:rPr>
        <w:t>The assumed health care cost trend rate has a significant effect on the amounts reported for the Plan. A one-percentage point change in assumed health care cost trend rates would have the following effects: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40" w:type="dxa"/>
            <w:vAlign w:val="bottom"/>
          </w:tcPr>
          <w:p>
            <w:pPr>
              <w:jc w:val="right"/>
              <w:ind w:right="308"/>
              <w:spacing w:after="0"/>
              <w:rPr>
                <w:sz w:val="20"/>
                <w:szCs w:val="20"/>
                <w:color w:val="auto"/>
              </w:rPr>
            </w:pPr>
            <w:r>
              <w:rPr>
                <w:rFonts w:ascii="Arial" w:cs="Arial" w:eastAsia="Arial" w:hAnsi="Arial"/>
                <w:sz w:val="10"/>
                <w:szCs w:val="10"/>
                <w:b w:val="1"/>
                <w:bCs w:val="1"/>
                <w:color w:val="auto"/>
              </w:rPr>
              <w:t>One-Percentage</w:t>
            </w:r>
          </w:p>
        </w:tc>
        <w:tc>
          <w:tcPr>
            <w:tcW w:w="280" w:type="dxa"/>
            <w:vAlign w:val="bottom"/>
          </w:tcPr>
          <w:p>
            <w:pPr>
              <w:spacing w:after="0"/>
              <w:rPr>
                <w:sz w:val="10"/>
                <w:szCs w:val="10"/>
                <w:color w:val="auto"/>
              </w:rPr>
            </w:pPr>
          </w:p>
        </w:tc>
        <w:tc>
          <w:tcPr>
            <w:tcW w:w="1380" w:type="dxa"/>
            <w:vAlign w:val="bottom"/>
          </w:tcPr>
          <w:p>
            <w:pPr>
              <w:jc w:val="right"/>
              <w:ind w:right="268"/>
              <w:spacing w:after="0"/>
              <w:rPr>
                <w:sz w:val="20"/>
                <w:szCs w:val="20"/>
                <w:color w:val="auto"/>
              </w:rPr>
            </w:pPr>
            <w:r>
              <w:rPr>
                <w:rFonts w:ascii="Arial" w:cs="Arial" w:eastAsia="Arial" w:hAnsi="Arial"/>
                <w:sz w:val="10"/>
                <w:szCs w:val="10"/>
                <w:b w:val="1"/>
                <w:bCs w:val="1"/>
                <w:color w:val="auto"/>
              </w:rPr>
              <w:t>One-Percentage</w:t>
            </w:r>
          </w:p>
        </w:tc>
        <w:tc>
          <w:tcPr>
            <w:tcW w:w="800" w:type="dxa"/>
            <w:vAlign w:val="bottom"/>
          </w:tcPr>
          <w:p>
            <w:pPr>
              <w:spacing w:after="0"/>
              <w:rPr>
                <w:sz w:val="10"/>
                <w:szCs w:val="10"/>
                <w:color w:val="auto"/>
              </w:rPr>
            </w:pPr>
          </w:p>
        </w:tc>
      </w:tr>
      <w:tr>
        <w:trPr>
          <w:trHeight w:val="125"/>
        </w:trPr>
        <w:tc>
          <w:tcPr>
            <w:tcW w:w="50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4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b w:val="1"/>
                <w:bCs w:val="1"/>
                <w:color w:val="auto"/>
              </w:rPr>
              <w:t>Point Increase</w:t>
            </w:r>
          </w:p>
        </w:tc>
        <w:tc>
          <w:tcPr>
            <w:tcW w:w="280" w:type="dxa"/>
            <w:vAlign w:val="bottom"/>
          </w:tcPr>
          <w:p>
            <w:pPr>
              <w:spacing w:after="0"/>
              <w:rPr>
                <w:sz w:val="10"/>
                <w:szCs w:val="10"/>
                <w:color w:val="auto"/>
              </w:rPr>
            </w:pP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Point Decrease</w:t>
            </w:r>
          </w:p>
        </w:tc>
        <w:tc>
          <w:tcPr>
            <w:tcW w:w="800" w:type="dxa"/>
            <w:vAlign w:val="bottom"/>
          </w:tcPr>
          <w:p>
            <w:pPr>
              <w:spacing w:after="0"/>
              <w:rPr>
                <w:sz w:val="10"/>
                <w:szCs w:val="10"/>
                <w:color w:val="auto"/>
              </w:rPr>
            </w:pPr>
          </w:p>
        </w:tc>
      </w:tr>
      <w:tr>
        <w:trPr>
          <w:trHeight w:val="178"/>
        </w:trPr>
        <w:tc>
          <w:tcPr>
            <w:tcW w:w="5020" w:type="dxa"/>
            <w:vAlign w:val="bottom"/>
          </w:tcPr>
          <w:p>
            <w:pPr>
              <w:ind w:left="680"/>
              <w:spacing w:after="0"/>
              <w:rPr>
                <w:sz w:val="20"/>
                <w:szCs w:val="20"/>
                <w:color w:val="auto"/>
              </w:rPr>
            </w:pPr>
            <w:r>
              <w:rPr>
                <w:rFonts w:ascii="Arial" w:cs="Arial" w:eastAsia="Arial" w:hAnsi="Arial"/>
                <w:sz w:val="13"/>
                <w:szCs w:val="13"/>
                <w:color w:val="auto"/>
              </w:rPr>
              <w:t>Effect on future service and interest cost</w:t>
            </w:r>
          </w:p>
        </w:tc>
        <w:tc>
          <w:tcPr>
            <w:tcW w:w="3980" w:type="dxa"/>
            <w:vAlign w:val="bottom"/>
            <w:gridSpan w:val="2"/>
          </w:tcPr>
          <w:p>
            <w:pPr>
              <w:jc w:val="right"/>
              <w:ind w:right="508"/>
              <w:spacing w:after="0"/>
              <w:rPr>
                <w:sz w:val="20"/>
                <w:szCs w:val="20"/>
                <w:color w:val="auto"/>
              </w:rPr>
            </w:pPr>
            <w:r>
              <w:rPr>
                <w:rFonts w:ascii="Arial" w:cs="Arial" w:eastAsia="Arial" w:hAnsi="Arial"/>
                <w:sz w:val="13"/>
                <w:szCs w:val="13"/>
                <w:color w:val="auto"/>
              </w:rPr>
              <w:t>$(109)</w:t>
            </w:r>
          </w:p>
        </w:tc>
        <w:tc>
          <w:tcPr>
            <w:tcW w:w="1660" w:type="dxa"/>
            <w:vAlign w:val="bottom"/>
            <w:gridSpan w:val="2"/>
          </w:tcPr>
          <w:p>
            <w:pPr>
              <w:jc w:val="right"/>
              <w:ind w:right="528"/>
              <w:spacing w:after="0"/>
              <w:rPr>
                <w:sz w:val="20"/>
                <w:szCs w:val="20"/>
                <w:color w:val="auto"/>
              </w:rPr>
            </w:pPr>
            <w:r>
              <w:rPr>
                <w:rFonts w:ascii="Arial" w:cs="Arial" w:eastAsia="Arial" w:hAnsi="Arial"/>
                <w:sz w:val="13"/>
                <w:szCs w:val="13"/>
                <w:color w:val="auto"/>
              </w:rPr>
              <w:t>$116</w:t>
            </w:r>
          </w:p>
        </w:tc>
        <w:tc>
          <w:tcPr>
            <w:tcW w:w="800" w:type="dxa"/>
            <w:vAlign w:val="bottom"/>
          </w:tcPr>
          <w:p>
            <w:pPr>
              <w:spacing w:after="0"/>
              <w:rPr>
                <w:sz w:val="15"/>
                <w:szCs w:val="15"/>
                <w:color w:val="auto"/>
              </w:rPr>
            </w:pPr>
          </w:p>
        </w:tc>
      </w:tr>
      <w:tr>
        <w:trPr>
          <w:trHeight w:val="165"/>
        </w:trPr>
        <w:tc>
          <w:tcPr>
            <w:tcW w:w="5020" w:type="dxa"/>
            <w:vAlign w:val="bottom"/>
          </w:tcPr>
          <w:p>
            <w:pPr>
              <w:ind w:left="680"/>
              <w:spacing w:after="0"/>
              <w:rPr>
                <w:sz w:val="20"/>
                <w:szCs w:val="20"/>
                <w:color w:val="auto"/>
              </w:rPr>
            </w:pPr>
            <w:r>
              <w:rPr>
                <w:rFonts w:ascii="Arial" w:cs="Arial" w:eastAsia="Arial" w:hAnsi="Arial"/>
                <w:sz w:val="13"/>
                <w:szCs w:val="13"/>
                <w:color w:val="auto"/>
              </w:rPr>
              <w:t>Effect on accumulated postretirement benefit obligation at July 31, 2007</w:t>
            </w:r>
          </w:p>
        </w:tc>
        <w:tc>
          <w:tcPr>
            <w:tcW w:w="3980" w:type="dxa"/>
            <w:vAlign w:val="bottom"/>
            <w:gridSpan w:val="2"/>
          </w:tcPr>
          <w:p>
            <w:pPr>
              <w:jc w:val="right"/>
              <w:ind w:right="508"/>
              <w:spacing w:after="0"/>
              <w:rPr>
                <w:sz w:val="20"/>
                <w:szCs w:val="20"/>
                <w:color w:val="auto"/>
              </w:rPr>
            </w:pPr>
            <w:r>
              <w:rPr>
                <w:rFonts w:ascii="Arial" w:cs="Arial" w:eastAsia="Arial" w:hAnsi="Arial"/>
                <w:sz w:val="13"/>
                <w:szCs w:val="13"/>
                <w:color w:val="auto"/>
              </w:rPr>
              <w:t>(567)</w:t>
            </w:r>
          </w:p>
        </w:tc>
        <w:tc>
          <w:tcPr>
            <w:tcW w:w="1660" w:type="dxa"/>
            <w:vAlign w:val="bottom"/>
            <w:gridSpan w:val="2"/>
          </w:tcPr>
          <w:p>
            <w:pPr>
              <w:jc w:val="right"/>
              <w:ind w:right="528"/>
              <w:spacing w:after="0"/>
              <w:rPr>
                <w:sz w:val="20"/>
                <w:szCs w:val="20"/>
                <w:color w:val="auto"/>
              </w:rPr>
            </w:pPr>
            <w:r>
              <w:rPr>
                <w:rFonts w:ascii="Arial" w:cs="Arial" w:eastAsia="Arial" w:hAnsi="Arial"/>
                <w:sz w:val="13"/>
                <w:szCs w:val="13"/>
                <w:color w:val="auto"/>
              </w:rPr>
              <w:t>644</w:t>
            </w:r>
          </w:p>
        </w:tc>
        <w:tc>
          <w:tcPr>
            <w:tcW w:w="800" w:type="dxa"/>
            <w:vAlign w:val="bottom"/>
          </w:tcPr>
          <w:p>
            <w:pPr>
              <w:spacing w:after="0"/>
              <w:rPr>
                <w:sz w:val="14"/>
                <w:szCs w:val="14"/>
                <w:color w:val="auto"/>
              </w:rPr>
            </w:pPr>
          </w:p>
        </w:tc>
      </w:tr>
      <w:tr>
        <w:trPr>
          <w:trHeight w:val="452"/>
        </w:trPr>
        <w:tc>
          <w:tcPr>
            <w:tcW w:w="5020" w:type="dxa"/>
            <w:vAlign w:val="bottom"/>
          </w:tcPr>
          <w:p>
            <w:pPr>
              <w:spacing w:after="0"/>
              <w:rPr>
                <w:sz w:val="24"/>
                <w:szCs w:val="24"/>
                <w:color w:val="auto"/>
              </w:rPr>
            </w:pPr>
          </w:p>
        </w:tc>
        <w:tc>
          <w:tcPr>
            <w:tcW w:w="3980" w:type="dxa"/>
            <w:vAlign w:val="bottom"/>
            <w:gridSpan w:val="2"/>
          </w:tcPr>
          <w:p>
            <w:pPr>
              <w:jc w:val="right"/>
              <w:ind w:right="3148"/>
              <w:spacing w:after="0"/>
              <w:rPr>
                <w:sz w:val="20"/>
                <w:szCs w:val="20"/>
                <w:color w:val="auto"/>
              </w:rPr>
            </w:pPr>
            <w:r>
              <w:rPr>
                <w:rFonts w:ascii="Arial" w:cs="Arial" w:eastAsia="Arial" w:hAnsi="Arial"/>
                <w:sz w:val="13"/>
                <w:szCs w:val="13"/>
                <w:color w:val="auto"/>
              </w:rPr>
              <w:t>II-36</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5020" w:type="dxa"/>
            <w:vAlign w:val="bottom"/>
            <w:tcBorders>
              <w:bottom w:val="single" w:sz="8" w:color="808080"/>
            </w:tcBorders>
          </w:tcPr>
          <w:p>
            <w:pPr>
              <w:spacing w:after="0"/>
              <w:rPr>
                <w:sz w:val="14"/>
                <w:szCs w:val="14"/>
                <w:color w:val="auto"/>
              </w:rPr>
            </w:pPr>
          </w:p>
        </w:tc>
        <w:tc>
          <w:tcPr>
            <w:tcW w:w="2540" w:type="dxa"/>
            <w:vAlign w:val="bottom"/>
            <w:tcBorders>
              <w:bottom w:val="single" w:sz="8" w:color="808080"/>
            </w:tcBorders>
          </w:tcPr>
          <w:p>
            <w:pPr>
              <w:spacing w:after="0"/>
              <w:rPr>
                <w:sz w:val="14"/>
                <w:szCs w:val="14"/>
                <w:color w:val="auto"/>
              </w:rPr>
            </w:pPr>
          </w:p>
        </w:tc>
        <w:tc>
          <w:tcPr>
            <w:tcW w:w="14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benefit payments, which reflect expected future service, as appropriate, are expected to be paid during the years ending July 31:</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rPr>
              <w:t>Prior to</w:t>
            </w:r>
          </w:p>
        </w:tc>
        <w:tc>
          <w:tcPr>
            <w:tcW w:w="160" w:type="dxa"/>
            <w:vAlign w:val="bottom"/>
          </w:tcPr>
          <w:p>
            <w:pPr>
              <w:spacing w:after="0"/>
              <w:rPr>
                <w:sz w:val="10"/>
                <w:szCs w:val="10"/>
                <w:color w:val="auto"/>
              </w:rPr>
            </w:pPr>
          </w:p>
        </w:tc>
        <w:tc>
          <w:tcPr>
            <w:tcW w:w="1520" w:type="dxa"/>
            <w:vAlign w:val="bottom"/>
            <w:gridSpan w:val="2"/>
          </w:tcPr>
          <w:p>
            <w:pPr>
              <w:jc w:val="right"/>
              <w:ind w:right="920"/>
              <w:spacing w:after="0"/>
              <w:rPr>
                <w:sz w:val="20"/>
                <w:szCs w:val="20"/>
                <w:color w:val="auto"/>
              </w:rPr>
            </w:pPr>
            <w:r>
              <w:rPr>
                <w:rFonts w:ascii="Arial" w:cs="Arial" w:eastAsia="Arial" w:hAnsi="Arial"/>
                <w:sz w:val="10"/>
                <w:szCs w:val="10"/>
                <w:b w:val="1"/>
                <w:bCs w:val="1"/>
                <w:color w:val="auto"/>
              </w:rPr>
              <w:t>After</w:t>
            </w:r>
          </w:p>
        </w:tc>
        <w:tc>
          <w:tcPr>
            <w:tcW w:w="160" w:type="dxa"/>
            <w:vAlign w:val="bottom"/>
          </w:tcPr>
          <w:p>
            <w:pPr>
              <w:spacing w:after="0"/>
              <w:rPr>
                <w:sz w:val="10"/>
                <w:szCs w:val="1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Impact of</w:t>
            </w:r>
          </w:p>
        </w:tc>
      </w:tr>
      <w:tr>
        <w:trPr>
          <w:trHeight w:val="125"/>
        </w:trPr>
        <w:tc>
          <w:tcPr>
            <w:tcW w:w="5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rPr>
              <w:t>Medicare Part D</w:t>
            </w:r>
          </w:p>
        </w:tc>
        <w:tc>
          <w:tcPr>
            <w:tcW w:w="160" w:type="dxa"/>
            <w:vAlign w:val="bottom"/>
          </w:tcPr>
          <w:p>
            <w:pPr>
              <w:spacing w:after="0"/>
              <w:rPr>
                <w:sz w:val="10"/>
                <w:szCs w:val="1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Medicare Part D</w:t>
            </w:r>
          </w:p>
        </w:tc>
        <w:tc>
          <w:tcPr>
            <w:tcW w:w="160" w:type="dxa"/>
            <w:vAlign w:val="bottom"/>
          </w:tcPr>
          <w:p>
            <w:pPr>
              <w:spacing w:after="0"/>
              <w:rPr>
                <w:sz w:val="10"/>
                <w:szCs w:val="1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Medicare Part D</w:t>
            </w:r>
          </w:p>
        </w:tc>
      </w:tr>
      <w:tr>
        <w:trPr>
          <w:trHeight w:val="29"/>
        </w:trPr>
        <w:tc>
          <w:tcPr>
            <w:tcW w:w="52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2009</w:t>
            </w:r>
          </w:p>
        </w:tc>
        <w:tc>
          <w:tcPr>
            <w:tcW w:w="180" w:type="dxa"/>
            <w:vAlign w:val="bottom"/>
          </w:tcPr>
          <w:p>
            <w:pPr>
              <w:spacing w:after="0"/>
              <w:rPr>
                <w:sz w:val="13"/>
                <w:szCs w:val="13"/>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761</w:t>
            </w: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652</w:t>
            </w:r>
          </w:p>
        </w:tc>
        <w:tc>
          <w:tcPr>
            <w:tcW w:w="16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(109)</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874</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751</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2011</w:t>
            </w:r>
          </w:p>
        </w:tc>
        <w:tc>
          <w:tcPr>
            <w:tcW w:w="180" w:type="dxa"/>
            <w:vAlign w:val="bottom"/>
          </w:tcPr>
          <w:p>
            <w:pPr>
              <w:spacing w:after="0"/>
              <w:rPr>
                <w:sz w:val="13"/>
                <w:szCs w:val="13"/>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996</w:t>
            </w: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852</w:t>
            </w:r>
          </w:p>
        </w:tc>
        <w:tc>
          <w:tcPr>
            <w:tcW w:w="16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(144)</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1,122</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952</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(170)</w:t>
            </w:r>
          </w:p>
        </w:tc>
      </w:tr>
      <w:tr>
        <w:trPr>
          <w:trHeight w:val="165"/>
        </w:trPr>
        <w:tc>
          <w:tcPr>
            <w:tcW w:w="5200" w:type="dxa"/>
            <w:vAlign w:val="bottom"/>
          </w:tcPr>
          <w:p>
            <w:pPr>
              <w:spacing w:after="0"/>
              <w:rPr>
                <w:sz w:val="20"/>
                <w:szCs w:val="20"/>
                <w:color w:val="auto"/>
              </w:rPr>
            </w:pPr>
            <w:r>
              <w:rPr>
                <w:rFonts w:ascii="Arial" w:cs="Arial" w:eastAsia="Arial" w:hAnsi="Arial"/>
                <w:sz w:val="13"/>
                <w:szCs w:val="13"/>
                <w:color w:val="auto"/>
              </w:rPr>
              <w:t>2013 through 2017</w:t>
            </w: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8,031</w:t>
            </w:r>
          </w:p>
        </w:tc>
        <w:tc>
          <w:tcPr>
            <w:tcW w:w="160" w:type="dxa"/>
            <w:vAlign w:val="bottom"/>
          </w:tcPr>
          <w:p>
            <w:pPr>
              <w:spacing w:after="0"/>
              <w:rPr>
                <w:sz w:val="14"/>
                <w:szCs w:val="1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6,735</w:t>
            </w:r>
          </w:p>
        </w:tc>
        <w:tc>
          <w:tcPr>
            <w:tcW w:w="160" w:type="dxa"/>
            <w:vAlign w:val="bottom"/>
          </w:tcPr>
          <w:p>
            <w:pPr>
              <w:spacing w:after="0"/>
              <w:rPr>
                <w:sz w:val="14"/>
                <w:szCs w:val="14"/>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(1,296)</w:t>
            </w:r>
          </w:p>
        </w:tc>
      </w:tr>
    </w:tbl>
    <w:p>
      <w:pPr>
        <w:spacing w:after="0" w:line="72"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December 2003, the United States enacted into law the Medicare Prescription Drug, Improvement and Modernization Act of 2003 (the “Act”). The Act establishes a prescription drug benefit under Medicare (Medicare Part D) as well as a federal subsidy to sponsors of retiree health care benefit plans that provide a benefit that is at least actuarially equivalent to Medicare Part D.</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In May 2004, the FASB issued FSP 106-2, “Accounting and Disclosure Requirements Related to the Medicare Prescription Drug, Improvement and Modernization Act of 2003”. FSP 106-2 requires companies to account for the effect of the subsidy on benefits attributable to past service as an actuarial experience gain and as a reduction of the service cost component of net postretirement health care costs for amounts attributable to current service, if the benefit provided is at least actuarially equivalent to Medicare Part D.</w:t>
      </w:r>
    </w:p>
    <w:p>
      <w:pPr>
        <w:spacing w:after="0" w:line="5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adopted FSP 106-2 effective with the fiscal year beginning August 1, 2004. The Company determined that benefits provided to certain participants are expected to be at least actuarially equivalent to Medicare Part D, and, accordingly, the Company will be entitled to a subsidy. The expected subsidy reduced net periodic cost for the years ended July 31, 2007 and 2006 by $522 and $409, respectively, as compared with the amount calculated without considering the effects of the subsidy.</w:t>
      </w:r>
    </w:p>
    <w:p>
      <w:pPr>
        <w:spacing w:after="0" w:line="67"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Assumptions used to develop these reductions include those used in the determination of the annual expense under SFAS No. 106, “Employers’ Accounting for Postretirement Benefits other than Pensions,” as amended by SFAS No. 158, and also include expectations of how the federal program would ultimately operate.</w:t>
      </w:r>
    </w:p>
    <w:p>
      <w:pPr>
        <w:spacing w:after="0" w:line="59" w:lineRule="exact"/>
        <w:rPr>
          <w:sz w:val="20"/>
          <w:szCs w:val="20"/>
          <w:color w:val="auto"/>
        </w:rPr>
      </w:pPr>
    </w:p>
    <w:p>
      <w:pPr>
        <w:ind w:left="680" w:right="240" w:firstLine="399"/>
        <w:spacing w:after="0" w:line="334" w:lineRule="auto"/>
        <w:rPr>
          <w:sz w:val="20"/>
          <w:szCs w:val="20"/>
          <w:color w:val="auto"/>
        </w:rPr>
      </w:pPr>
      <w:r>
        <w:rPr>
          <w:rFonts w:ascii="Arial" w:cs="Arial" w:eastAsia="Arial" w:hAnsi="Arial"/>
          <w:sz w:val="11"/>
          <w:szCs w:val="11"/>
          <w:color w:val="auto"/>
        </w:rPr>
        <w:t>The Company has retirement and profit-sharing plans covering substantially all full-time domestic employees and certain of its foreign subsidiaries. Contributions to the plans are determined annually or quarterly, according to the respective plans, based on earnings of the respective companies and employee contributions. At July 31, 2007 and 2006, $6,590 and $5,928, respectively, of accrued profit-sharing contributions were included in other current liabilities and other long-term liabilities on the accompanying consolidated balance sheets.</w:t>
      </w:r>
    </w:p>
    <w:p>
      <w:pPr>
        <w:spacing w:after="0" w:line="32" w:lineRule="exact"/>
        <w:rPr>
          <w:sz w:val="20"/>
          <w:szCs w:val="20"/>
          <w:color w:val="auto"/>
        </w:rPr>
      </w:pPr>
    </w:p>
    <w:p>
      <w:pPr>
        <w:ind w:left="680" w:right="640" w:firstLine="399"/>
        <w:spacing w:after="0" w:line="320" w:lineRule="auto"/>
        <w:rPr>
          <w:sz w:val="20"/>
          <w:szCs w:val="20"/>
          <w:color w:val="auto"/>
        </w:rPr>
      </w:pPr>
      <w:r>
        <w:rPr>
          <w:rFonts w:ascii="Arial" w:cs="Arial" w:eastAsia="Arial" w:hAnsi="Arial"/>
          <w:sz w:val="12"/>
          <w:szCs w:val="12"/>
          <w:color w:val="auto"/>
        </w:rPr>
        <w:t>The Company also has deferred compensation plans for directors, officers and key executives which are discussed below. At July 31, 2007 and 2006, $10,147 and $7,853, respectively, of deferred compensation was included in current and other long-term liabilities on the accompanying consolidated balance sheets.</w:t>
      </w:r>
    </w:p>
    <w:p>
      <w:pPr>
        <w:spacing w:after="0" w:line="35"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During fiscal 1998, the Company adopted a new deferred compensation plan that invests solely in shares of the Company’s Class A Nonvoting Common Stock. Participants in a predecessor phantom stock plan were allowed to convert their balances in the old plan to this new plan. The new plan was funded initially by the issuance of shares of Class A Nonvoting Common Stock to a Rabbi Trust. All deferrals into the new plan result in purchases of Class A Nonvoting Common Stock by the Rabbi Trust. No deferrals are allowed into a predecessor plan. Shares held by the Rabbi Trust are distributed to participants upon separation from the Company as defined in the plan agreement.</w:t>
      </w:r>
    </w:p>
    <w:p>
      <w:pPr>
        <w:spacing w:after="0" w:line="53"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During fiscal 2002, the Company adopted a new deferred compensation plan that allows future contributions to be invested in shares of the Company’s Class A Nonvoting Common Stock or in certain other investment vehicles. Prior deferred compensation deferrals must remain in the Company’s Class A Nonvoting Common Stock. All</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820"/>
        <w:spacing w:after="0" w:line="264" w:lineRule="auto"/>
        <w:rPr>
          <w:sz w:val="20"/>
          <w:szCs w:val="20"/>
          <w:color w:val="auto"/>
        </w:rPr>
      </w:pPr>
      <w:r>
        <w:rPr>
          <w:rFonts w:ascii="Arial" w:cs="Arial" w:eastAsia="Arial" w:hAnsi="Arial"/>
          <w:sz w:val="13"/>
          <w:szCs w:val="13"/>
          <w:color w:val="auto"/>
        </w:rPr>
        <w:t>participant deferrals into the new plan result in purchases of Class A Nonvoting Common Stock or certain other investment vehicles by the Rabbi Trust. Balances held by the Rabbi Trust are distributed to participants upon separation from the Company as defined in the plan agreement. On May 1, 2006, the plan was amended to require that deferrals into Brady stock must remain in Brady stock and be distributed in shares of Brady stock.</w:t>
      </w:r>
    </w:p>
    <w:p>
      <w:pPr>
        <w:spacing w:after="0" w:line="67" w:lineRule="exact"/>
        <w:rPr>
          <w:sz w:val="20"/>
          <w:szCs w:val="20"/>
          <w:color w:val="auto"/>
        </w:rPr>
      </w:pPr>
    </w:p>
    <w:p>
      <w:pPr>
        <w:ind w:left="680" w:right="1220" w:firstLine="399"/>
        <w:spacing w:after="0" w:line="276" w:lineRule="auto"/>
        <w:rPr>
          <w:sz w:val="20"/>
          <w:szCs w:val="20"/>
          <w:color w:val="auto"/>
        </w:rPr>
      </w:pPr>
      <w:r>
        <w:rPr>
          <w:rFonts w:ascii="Arial" w:cs="Arial" w:eastAsia="Arial" w:hAnsi="Arial"/>
          <w:sz w:val="13"/>
          <w:szCs w:val="13"/>
          <w:color w:val="auto"/>
        </w:rPr>
        <w:t>The amounts charged to expense for the retirement, profit sharing and deferred compensation plans described above were $14,990, $9,862 and $10,980 during the years ended July 31, 2007, 2006 and 2005, respectively.</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4.</w:t>
            </w:r>
          </w:p>
        </w:tc>
        <w:tc>
          <w:tcPr>
            <w:tcW w:w="7180" w:type="dxa"/>
            <w:vAlign w:val="bottom"/>
          </w:tcPr>
          <w:p>
            <w:pPr>
              <w:ind w:left="200"/>
              <w:spacing w:after="0"/>
              <w:rPr>
                <w:sz w:val="20"/>
                <w:szCs w:val="20"/>
                <w:color w:val="auto"/>
              </w:rPr>
            </w:pPr>
            <w:r>
              <w:rPr>
                <w:rFonts w:ascii="Arial" w:cs="Arial" w:eastAsia="Arial" w:hAnsi="Arial"/>
                <w:sz w:val="13"/>
                <w:szCs w:val="13"/>
                <w:b w:val="1"/>
                <w:bCs w:val="1"/>
                <w:color w:val="auto"/>
              </w:rPr>
              <w:t>Income Taxes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20" w:type="dxa"/>
            <w:vAlign w:val="bottom"/>
          </w:tcPr>
          <w:p>
            <w:pPr>
              <w:spacing w:after="0"/>
              <w:rPr>
                <w:sz w:val="21"/>
                <w:szCs w:val="21"/>
                <w:color w:val="auto"/>
              </w:rPr>
            </w:pPr>
          </w:p>
        </w:tc>
        <w:tc>
          <w:tcPr>
            <w:tcW w:w="718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Income taxes consist of the following:</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0"/>
                <w:szCs w:val="10"/>
                <w:b w:val="1"/>
                <w:bCs w:val="1"/>
                <w:color w:val="auto"/>
                <w:w w:val="93"/>
              </w:rPr>
              <w:t>Years Ended July 31,</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1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1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Currently payable:</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7180" w:type="dxa"/>
            <w:vAlign w:val="bottom"/>
          </w:tcPr>
          <w:p>
            <w:pPr>
              <w:ind w:left="20"/>
              <w:spacing w:after="0"/>
              <w:rPr>
                <w:sz w:val="20"/>
                <w:szCs w:val="20"/>
                <w:color w:val="auto"/>
              </w:rPr>
            </w:pPr>
            <w:r>
              <w:rPr>
                <w:rFonts w:ascii="Arial" w:cs="Arial" w:eastAsia="Arial" w:hAnsi="Arial"/>
                <w:sz w:val="13"/>
                <w:szCs w:val="13"/>
                <w:color w:val="auto"/>
              </w:rPr>
              <w:t>Federal</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5,439</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14,201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10,002</w:t>
            </w:r>
          </w:p>
        </w:tc>
      </w:tr>
      <w:tr>
        <w:trPr>
          <w:trHeight w:val="157"/>
        </w:trPr>
        <w:tc>
          <w:tcPr>
            <w:tcW w:w="120" w:type="dxa"/>
            <w:vAlign w:val="bottom"/>
            <w:shd w:val="clear" w:color="auto" w:fill="CCEEFF"/>
          </w:tcPr>
          <w:p>
            <w:pPr>
              <w:spacing w:after="0"/>
              <w:rPr>
                <w:sz w:val="13"/>
                <w:szCs w:val="13"/>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34,835</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26,143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24,286</w:t>
            </w:r>
          </w:p>
        </w:tc>
      </w:tr>
      <w:tr>
        <w:trPr>
          <w:trHeight w:val="157"/>
        </w:trPr>
        <w:tc>
          <w:tcPr>
            <w:tcW w:w="120" w:type="dxa"/>
            <w:vAlign w:val="bottom"/>
          </w:tcPr>
          <w:p>
            <w:pPr>
              <w:spacing w:after="0"/>
              <w:rPr>
                <w:sz w:val="13"/>
                <w:szCs w:val="13"/>
                <w:color w:val="auto"/>
              </w:rPr>
            </w:pPr>
          </w:p>
        </w:tc>
        <w:tc>
          <w:tcPr>
            <w:tcW w:w="7180" w:type="dxa"/>
            <w:vAlign w:val="bottom"/>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2,336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1,836</w:t>
            </w:r>
          </w:p>
        </w:tc>
      </w:tr>
      <w:tr>
        <w:trPr>
          <w:trHeight w:val="20"/>
        </w:trPr>
        <w:tc>
          <w:tcPr>
            <w:tcW w:w="1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42,610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42,356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36,124</w:t>
            </w:r>
          </w:p>
        </w:tc>
      </w:tr>
      <w:tr>
        <w:trPr>
          <w:trHeight w:val="156"/>
        </w:trPr>
        <w:tc>
          <w:tcPr>
            <w:tcW w:w="7300" w:type="dxa"/>
            <w:vAlign w:val="bottom"/>
            <w:gridSpan w:val="2"/>
          </w:tcPr>
          <w:p>
            <w:pPr>
              <w:spacing w:after="0"/>
              <w:rPr>
                <w:sz w:val="20"/>
                <w:szCs w:val="20"/>
                <w:color w:val="auto"/>
              </w:rPr>
            </w:pPr>
            <w:r>
              <w:rPr>
                <w:rFonts w:ascii="Arial" w:cs="Arial" w:eastAsia="Arial" w:hAnsi="Arial"/>
                <w:sz w:val="13"/>
                <w:szCs w:val="13"/>
                <w:color w:val="auto"/>
              </w:rPr>
              <w:t>Deferred provision (credit):</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120" w:type="dxa"/>
            <w:vAlign w:val="bottom"/>
            <w:shd w:val="clear" w:color="auto" w:fill="CCEEFF"/>
          </w:tcPr>
          <w:p>
            <w:pPr>
              <w:spacing w:after="0"/>
              <w:rPr>
                <w:sz w:val="13"/>
                <w:szCs w:val="13"/>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2,728</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(1,215)</w:t>
            </w:r>
          </w:p>
        </w:tc>
      </w:tr>
      <w:tr>
        <w:trPr>
          <w:trHeight w:val="157"/>
        </w:trPr>
        <w:tc>
          <w:tcPr>
            <w:tcW w:w="120" w:type="dxa"/>
            <w:vAlign w:val="bottom"/>
          </w:tcPr>
          <w:p>
            <w:pPr>
              <w:spacing w:after="0"/>
              <w:rPr>
                <w:sz w:val="13"/>
                <w:szCs w:val="13"/>
                <w:color w:val="auto"/>
              </w:rPr>
            </w:pPr>
          </w:p>
        </w:tc>
        <w:tc>
          <w:tcPr>
            <w:tcW w:w="7180" w:type="dxa"/>
            <w:vAlign w:val="bottom"/>
          </w:tcPr>
          <w:p>
            <w:pPr>
              <w:ind w:left="20"/>
              <w:spacing w:after="0"/>
              <w:rPr>
                <w:sz w:val="20"/>
                <w:szCs w:val="20"/>
                <w:color w:val="auto"/>
              </w:rPr>
            </w:pPr>
            <w:r>
              <w:rPr>
                <w:rFonts w:ascii="Arial" w:cs="Arial" w:eastAsia="Arial" w:hAnsi="Arial"/>
                <w:sz w:val="13"/>
                <w:szCs w:val="13"/>
                <w:color w:val="auto"/>
              </w:rPr>
              <w:t>Foreign</w:t>
            </w: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(4,151)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(472)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(855)</w:t>
            </w:r>
          </w:p>
        </w:tc>
      </w:tr>
      <w:tr>
        <w:trPr>
          <w:trHeight w:val="157"/>
        </w:trPr>
        <w:tc>
          <w:tcPr>
            <w:tcW w:w="120" w:type="dxa"/>
            <w:vAlign w:val="bottom"/>
            <w:shd w:val="clear" w:color="auto" w:fill="CCEEFF"/>
          </w:tcPr>
          <w:p>
            <w:pPr>
              <w:spacing w:after="0"/>
              <w:rPr>
                <w:sz w:val="13"/>
                <w:szCs w:val="13"/>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1,353</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(1,296)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(583)</w:t>
            </w:r>
          </w:p>
        </w:tc>
      </w:tr>
      <w:tr>
        <w:trPr>
          <w:trHeight w:val="20"/>
        </w:trPr>
        <w:tc>
          <w:tcPr>
            <w:tcW w:w="1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(70)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(1,843)</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(2,653)</w:t>
            </w:r>
          </w:p>
        </w:tc>
      </w:tr>
      <w:tr>
        <w:trPr>
          <w:trHeight w:val="20"/>
        </w:trPr>
        <w:tc>
          <w:tcPr>
            <w:tcW w:w="1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42,540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40,513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33,471</w:t>
            </w:r>
          </w:p>
        </w:tc>
      </w:tr>
      <w:tr>
        <w:trPr>
          <w:trHeight w:val="29"/>
        </w:trPr>
        <w:tc>
          <w:tcPr>
            <w:tcW w:w="1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Deferred income taxes result from temporary differences in the recognition of revenues and expenses for financial statement and income tax purposes.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before income taxes consists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93"/>
              </w:rPr>
              <w:t>Years Ended July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8"/>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Domestic</w:t>
            </w:r>
          </w:p>
        </w:tc>
        <w:tc>
          <w:tcPr>
            <w:tcW w:w="448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67,448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46,790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36,985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680" w:type="dxa"/>
            <w:vAlign w:val="bottom"/>
          </w:tcPr>
          <w:p>
            <w:pPr>
              <w:spacing w:after="0"/>
              <w:rPr>
                <w:sz w:val="20"/>
                <w:szCs w:val="20"/>
                <w:color w:val="auto"/>
              </w:rPr>
            </w:pPr>
            <w:r>
              <w:rPr>
                <w:rFonts w:ascii="Arial" w:cs="Arial" w:eastAsia="Arial" w:hAnsi="Arial"/>
                <w:sz w:val="13"/>
                <w:szCs w:val="13"/>
                <w:color w:val="auto"/>
              </w:rPr>
              <w:t>Foreign</w:t>
            </w:r>
          </w:p>
        </w:tc>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84,480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97,898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78,433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43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151,928</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144,688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115,418</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320" w:type="dxa"/>
            <w:vAlign w:val="bottom"/>
          </w:tcPr>
          <w:p>
            <w:pPr>
              <w:ind w:left="2180"/>
              <w:spacing w:after="0"/>
              <w:rPr>
                <w:sz w:val="20"/>
                <w:szCs w:val="20"/>
                <w:color w:val="auto"/>
              </w:rPr>
            </w:pPr>
            <w:r>
              <w:rPr>
                <w:rFonts w:ascii="Arial" w:cs="Arial" w:eastAsia="Arial" w:hAnsi="Arial"/>
                <w:sz w:val="13"/>
                <w:szCs w:val="13"/>
                <w:color w:val="auto"/>
              </w:rPr>
              <w:t>II-38</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approximate tax effects of temporary differences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0"/>
                <w:szCs w:val="10"/>
                <w:b w:val="1"/>
                <w:bCs w:val="1"/>
                <w:color w:val="auto"/>
                <w:w w:val="93"/>
              </w:rPr>
              <w:t>July 31, 2007</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jc w:val="right"/>
              <w:ind w:right="620"/>
              <w:spacing w:after="0" w:line="98" w:lineRule="exact"/>
              <w:rPr>
                <w:sz w:val="20"/>
                <w:szCs w:val="20"/>
                <w:color w:val="auto"/>
              </w:rPr>
            </w:pPr>
            <w:r>
              <w:rPr>
                <w:rFonts w:ascii="Arial" w:cs="Arial" w:eastAsia="Arial" w:hAnsi="Arial"/>
                <w:sz w:val="10"/>
                <w:szCs w:val="10"/>
                <w:b w:val="1"/>
                <w:bCs w:val="1"/>
                <w:color w:val="auto"/>
              </w:rPr>
              <w:t>Assets</w:t>
            </w:r>
          </w:p>
        </w:tc>
        <w:tc>
          <w:tcPr>
            <w:tcW w:w="100" w:type="dxa"/>
            <w:vAlign w:val="bottom"/>
          </w:tcPr>
          <w:p>
            <w:pPr>
              <w:spacing w:after="0"/>
              <w:rPr>
                <w:sz w:val="8"/>
                <w:szCs w:val="8"/>
                <w:color w:val="auto"/>
              </w:rPr>
            </w:pPr>
          </w:p>
        </w:tc>
        <w:tc>
          <w:tcPr>
            <w:tcW w:w="980" w:type="dxa"/>
            <w:vAlign w:val="bottom"/>
            <w:gridSpan w:val="2"/>
          </w:tcPr>
          <w:p>
            <w:pPr>
              <w:jc w:val="center"/>
              <w:ind w:right="500"/>
              <w:spacing w:after="0" w:line="98" w:lineRule="exact"/>
              <w:rPr>
                <w:sz w:val="20"/>
                <w:szCs w:val="20"/>
                <w:color w:val="auto"/>
              </w:rPr>
            </w:pPr>
            <w:r>
              <w:rPr>
                <w:rFonts w:ascii="Arial" w:cs="Arial" w:eastAsia="Arial" w:hAnsi="Arial"/>
                <w:sz w:val="10"/>
                <w:szCs w:val="10"/>
                <w:b w:val="1"/>
                <w:bCs w:val="1"/>
                <w:color w:val="auto"/>
                <w:w w:val="95"/>
              </w:rPr>
              <w:t>Liabilities</w:t>
            </w:r>
          </w:p>
        </w:tc>
        <w:tc>
          <w:tcPr>
            <w:tcW w:w="140" w:type="dxa"/>
            <w:vAlign w:val="bottom"/>
          </w:tcPr>
          <w:p>
            <w:pPr>
              <w:spacing w:after="0"/>
              <w:rPr>
                <w:sz w:val="8"/>
                <w:szCs w:val="8"/>
                <w:color w:val="auto"/>
              </w:rPr>
            </w:pPr>
          </w:p>
        </w:tc>
        <w:tc>
          <w:tcPr>
            <w:tcW w:w="540" w:type="dxa"/>
            <w:vAlign w:val="bottom"/>
          </w:tcPr>
          <w:p>
            <w:pPr>
              <w:ind w:left="8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6,289</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Prepaid catalog costs</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(1,785)</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(1,785)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Employee benefits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2,318</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Allowance for doubtful accounts</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851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851</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1,939</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Current</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11,397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(1,785)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9,612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Depreciation</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(3,777)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(3,777)</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Amortization</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8,170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(19,629)</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(11,459)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Capitalized R&amp;D expenditures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2,333</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Deferred compensation</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13,799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13,799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Postretirement benefits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6,630</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Tax loss carryforwards</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25,926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25,926</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Less valuation allowance</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(19,687)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(19,687)</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Other, net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(1,898)</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(1,565)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Noncurrent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(25,304)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12,200</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48,901</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(27,089)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21,812</w:t>
            </w:r>
          </w:p>
        </w:tc>
        <w:tc>
          <w:tcPr>
            <w:tcW w:w="0" w:type="dxa"/>
            <w:vAlign w:val="bottom"/>
          </w:tcPr>
          <w:p>
            <w:pPr>
              <w:spacing w:after="0"/>
              <w:rPr>
                <w:sz w:val="1"/>
                <w:szCs w:val="1"/>
                <w:color w:val="auto"/>
              </w:rPr>
            </w:pPr>
          </w:p>
        </w:tc>
      </w:tr>
      <w:tr>
        <w:trPr>
          <w:trHeight w:val="295"/>
        </w:trPr>
        <w:tc>
          <w:tcPr>
            <w:tcW w:w="70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gridSpan w:val="3"/>
          </w:tcPr>
          <w:p>
            <w:pPr>
              <w:jc w:val="center"/>
              <w:ind w:right="420"/>
              <w:spacing w:after="0"/>
              <w:rPr>
                <w:sz w:val="20"/>
                <w:szCs w:val="20"/>
                <w:color w:val="auto"/>
              </w:rPr>
            </w:pPr>
            <w:r>
              <w:rPr>
                <w:rFonts w:ascii="Arial" w:cs="Arial" w:eastAsia="Arial" w:hAnsi="Arial"/>
                <w:sz w:val="10"/>
                <w:szCs w:val="10"/>
                <w:b w:val="1"/>
                <w:bCs w:val="1"/>
                <w:color w:val="auto"/>
                <w:w w:val="93"/>
              </w:rPr>
              <w:t>July 31, 2006</w:t>
            </w:r>
          </w:p>
        </w:tc>
        <w:tc>
          <w:tcPr>
            <w:tcW w:w="1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jc w:val="right"/>
              <w:ind w:right="620"/>
              <w:spacing w:after="0" w:line="98" w:lineRule="exact"/>
              <w:rPr>
                <w:sz w:val="20"/>
                <w:szCs w:val="20"/>
                <w:color w:val="auto"/>
              </w:rPr>
            </w:pPr>
            <w:r>
              <w:rPr>
                <w:rFonts w:ascii="Arial" w:cs="Arial" w:eastAsia="Arial" w:hAnsi="Arial"/>
                <w:sz w:val="10"/>
                <w:szCs w:val="10"/>
                <w:b w:val="1"/>
                <w:bCs w:val="1"/>
                <w:color w:val="auto"/>
              </w:rPr>
              <w:t>Assets</w:t>
            </w:r>
          </w:p>
        </w:tc>
        <w:tc>
          <w:tcPr>
            <w:tcW w:w="100" w:type="dxa"/>
            <w:vAlign w:val="bottom"/>
          </w:tcPr>
          <w:p>
            <w:pPr>
              <w:spacing w:after="0"/>
              <w:rPr>
                <w:sz w:val="8"/>
                <w:szCs w:val="8"/>
                <w:color w:val="auto"/>
              </w:rPr>
            </w:pPr>
          </w:p>
        </w:tc>
        <w:tc>
          <w:tcPr>
            <w:tcW w:w="980" w:type="dxa"/>
            <w:vAlign w:val="bottom"/>
            <w:gridSpan w:val="2"/>
          </w:tcPr>
          <w:p>
            <w:pPr>
              <w:jc w:val="center"/>
              <w:ind w:right="500"/>
              <w:spacing w:after="0" w:line="98" w:lineRule="exact"/>
              <w:rPr>
                <w:sz w:val="20"/>
                <w:szCs w:val="20"/>
                <w:color w:val="auto"/>
              </w:rPr>
            </w:pPr>
            <w:r>
              <w:rPr>
                <w:rFonts w:ascii="Arial" w:cs="Arial" w:eastAsia="Arial" w:hAnsi="Arial"/>
                <w:sz w:val="10"/>
                <w:szCs w:val="10"/>
                <w:b w:val="1"/>
                <w:bCs w:val="1"/>
                <w:color w:val="auto"/>
                <w:w w:val="95"/>
              </w:rPr>
              <w:t>Liabilities</w:t>
            </w:r>
          </w:p>
        </w:tc>
        <w:tc>
          <w:tcPr>
            <w:tcW w:w="140" w:type="dxa"/>
            <w:vAlign w:val="bottom"/>
          </w:tcPr>
          <w:p>
            <w:pPr>
              <w:spacing w:after="0"/>
              <w:rPr>
                <w:sz w:val="8"/>
                <w:szCs w:val="8"/>
                <w:color w:val="auto"/>
              </w:rPr>
            </w:pPr>
          </w:p>
        </w:tc>
        <w:tc>
          <w:tcPr>
            <w:tcW w:w="540" w:type="dxa"/>
            <w:vAlign w:val="bottom"/>
          </w:tcPr>
          <w:p>
            <w:pPr>
              <w:ind w:left="8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5,058</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Prepaid catalog costs</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(2,196)</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(2,196)</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Employee benefits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3,258</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Allowance for doubtful accounts</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774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774</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2,698</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Current</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11,788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(2,196)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9,592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Depreciation</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(4,300)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(4,300)</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Amortization</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12,917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(20,232)</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(7,315)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Capital R&amp;D expenditures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2,800</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Deferred compensation</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13,446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13,446</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Postretirement benefits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7,490</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Tax loss carryforwards</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17,300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17,300</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Less valuation allowance</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(15,668)</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(15,668)</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Other, net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624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624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Noncurrent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38,909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(24,532)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14,377</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50,697</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(26,728)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23,969</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valuation allowance increased $4,019 and $10,791 during the fiscal years ended July 31, 2007 and 2006, respectively and decreased $657 during the fiscal year ended July 31,</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2005.</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Tax loss carry forwards at July 31, 2007 are comprised of foreign net operating losses of approximately $84,517, of which $67,946 have no expiration date. The remaining balance relates to state net operating losses of $45,350 and state credits of $1,683. The Company expects to utilize all credits; however, state net operating losses will begin to expire in the fiscal year ending July 31, 2008.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Rate Reconciliation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reconciliation of the tax computed by applying the statutory U.S. Federal income tax rate to income before income taxes to the total income tax provision is as follows: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93"/>
              </w:rPr>
              <w:t>Years Ended July 31,</w:t>
            </w:r>
          </w:p>
        </w:tc>
        <w:tc>
          <w:tcPr>
            <w:tcW w:w="3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98"/>
        </w:trPr>
        <w:tc>
          <w:tcPr>
            <w:tcW w:w="792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4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460" w:type="dxa"/>
            <w:vAlign w:val="bottom"/>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160" w:type="dxa"/>
            <w:vAlign w:val="bottom"/>
          </w:tcPr>
          <w:p>
            <w:pPr>
              <w:spacing w:after="0"/>
              <w:rPr>
                <w:sz w:val="8"/>
                <w:szCs w:val="8"/>
                <w:color w:val="auto"/>
              </w:rPr>
            </w:pPr>
          </w:p>
        </w:tc>
      </w:tr>
      <w:tr>
        <w:trPr>
          <w:trHeight w:val="29"/>
        </w:trPr>
        <w:tc>
          <w:tcPr>
            <w:tcW w:w="7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Tax at statutory rate</w:t>
            </w: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35.0%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w:t>
            </w: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State income taxes, net of Federal tax benefit</w:t>
            </w: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1.6%</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0.2%</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0.7%</w:t>
            </w: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International rate differential</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Rate variances arising from foreign subsidiary distributions</w:t>
            </w:r>
          </w:p>
        </w:tc>
        <w:tc>
          <w:tcPr>
            <w:tcW w:w="780" w:type="dxa"/>
            <w:vAlign w:val="bottom"/>
            <w:gridSpan w:val="2"/>
          </w:tcPr>
          <w:p>
            <w:pPr>
              <w:jc w:val="right"/>
              <w:ind w:right="248"/>
              <w:spacing w:after="0"/>
              <w:rPr>
                <w:sz w:val="20"/>
                <w:szCs w:val="20"/>
                <w:color w:val="auto"/>
              </w:rPr>
            </w:pPr>
            <w:r>
              <w:rPr>
                <w:rFonts w:ascii="Arial" w:cs="Arial" w:eastAsia="Arial" w:hAnsi="Arial"/>
                <w:sz w:val="13"/>
                <w:szCs w:val="13"/>
                <w:color w:val="auto"/>
              </w:rPr>
              <w:t>(2.7)%</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0.2%</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Resolution of prior period tax matters</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(2.0)%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(0.6)%</w:t>
            </w: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Other, net</w:t>
            </w:r>
          </w:p>
        </w:tc>
        <w:tc>
          <w:tcPr>
            <w:tcW w:w="780" w:type="dxa"/>
            <w:vAlign w:val="bottom"/>
            <w:gridSpan w:val="2"/>
          </w:tcPr>
          <w:p>
            <w:pPr>
              <w:jc w:val="right"/>
              <w:ind w:right="248"/>
              <w:spacing w:after="0"/>
              <w:rPr>
                <w:sz w:val="20"/>
                <w:szCs w:val="20"/>
                <w:color w:val="auto"/>
              </w:rPr>
            </w:pPr>
            <w:r>
              <w:rPr>
                <w:rFonts w:ascii="Arial" w:cs="Arial" w:eastAsia="Arial" w:hAnsi="Arial"/>
                <w:sz w:val="13"/>
                <w:szCs w:val="13"/>
                <w:color w:val="auto"/>
              </w:rPr>
              <w:t>(0.6)%</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0.3%</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(0.9)%</w:t>
            </w:r>
          </w:p>
        </w:tc>
      </w:tr>
      <w:tr>
        <w:trPr>
          <w:trHeight w:val="20"/>
        </w:trPr>
        <w:tc>
          <w:tcPr>
            <w:tcW w:w="7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Effective tax rate</w:t>
            </w: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28.0%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29.0%</w:t>
            </w:r>
          </w:p>
        </w:tc>
      </w:tr>
      <w:tr>
        <w:trPr>
          <w:trHeight w:val="29"/>
        </w:trPr>
        <w:tc>
          <w:tcPr>
            <w:tcW w:w="79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Unremitted Earnings</w:t>
      </w:r>
    </w:p>
    <w:p>
      <w:pPr>
        <w:spacing w:after="0" w:line="96" w:lineRule="exact"/>
        <w:rPr>
          <w:sz w:val="20"/>
          <w:szCs w:val="20"/>
          <w:color w:val="auto"/>
        </w:rPr>
      </w:pPr>
    </w:p>
    <w:p>
      <w:pPr>
        <w:jc w:val="both"/>
        <w:ind w:left="680" w:right="20" w:firstLine="399"/>
        <w:spacing w:after="0" w:line="371" w:lineRule="auto"/>
        <w:rPr>
          <w:sz w:val="20"/>
          <w:szCs w:val="20"/>
          <w:color w:val="auto"/>
        </w:rPr>
      </w:pPr>
      <w:r>
        <w:rPr>
          <w:rFonts w:ascii="Arial" w:cs="Arial" w:eastAsia="Arial" w:hAnsi="Arial"/>
          <w:sz w:val="11"/>
          <w:szCs w:val="11"/>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cumulative undistributed earnings of such subsidiaries at July 31, 2007 amounted to approximately $282,076.</w:t>
      </w:r>
    </w:p>
    <w:p>
      <w:pPr>
        <w:spacing w:after="0" w:line="171" w:lineRule="exact"/>
        <w:rPr>
          <w:sz w:val="20"/>
          <w:szCs w:val="20"/>
          <w:color w:val="auto"/>
        </w:rPr>
      </w:pPr>
    </w:p>
    <w:p>
      <w:pPr>
        <w:ind w:left="1000" w:hanging="313"/>
        <w:spacing w:after="0"/>
        <w:tabs>
          <w:tab w:leader="none" w:pos="100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Long-Term Obligations</w:t>
      </w:r>
    </w:p>
    <w:p>
      <w:pPr>
        <w:spacing w:after="0" w:line="100"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On March 23, 2007, the Company completed the private placement of $150 million in ten-year fixed notes at 5.33% interest to institutional investors. The notes will be amortized in equal installments over seven years, beginning in 2011, with interest payable on the notes semiannually on September 23 and March 23, beginning in September 2007. The notes have been fully and unconditionally guaranteed on an unsecured basis by the Company’s domestic subsidiaries. The Company used the net proceeds of the offering to reduce outstanding indebtedness under the Company’s revolving loan agreement and fund its ongoing strategic growth plan. The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July 31, 2007, the Company was in compliance with this covenant.</w:t>
      </w:r>
    </w:p>
    <w:p>
      <w:pPr>
        <w:spacing w:after="0" w:line="58"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On October 5, 2006, the Company entered into a $200 million multi-currency revolving loan agreement with a group of five banks that replaced the Company’s previous credit facility that had been entered into on March 31, 2004 and amended on January 19, 2006. At the Company’s option, and subject to certain standard conditions, the available amount under the new credit facility may be increased from $200 million up to $300 million. Under the new 5-year agreement, which has a final maturity date of October 5, 2011, the Company has the option to select either a base interest rate (based upon the higher of the federal funds rate plus one-half of 1% or the prime rate of Bank of America) or a Eurocurrency interest rate (at the LIBOR rate plus a margin based on the Company’s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consolidated leverage ratio). A commitment fee is payable on the unused amount of the facility. The agreement requires the Company to maintain two financial covenants. As of July 31, 2007, the Company was in compliance with the covenants of the agreement.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As of July 31, 2007, there were no outstanding borrowings under credit facility.</w:t>
      </w:r>
    </w:p>
    <w:p>
      <w:pPr>
        <w:spacing w:after="0" w:line="53"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On February 14, 2006, the Company completed the private placement of $200 million in ten-year fixed notes at 5.3% interest to institutional investors. The notes will be amortized in equal installments over seven years, beginning in 2010 with interest payable on the notes semiannually on August 14 and February 14, beginning in August 2006. The notes have been fully and unconditionally guaranteed on an unsecured basis by the Company’s domestic subsidiaries. The Company used the net proceeds of the offering to finance acquisitions completed in fiscal 2006 and 2007.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July 31, 2007, the Company was in compliance with this covenant.</w:t>
      </w:r>
    </w:p>
    <w:p>
      <w:pPr>
        <w:spacing w:after="0" w:line="73"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On June 30, 2004, the Company finalized a debt offering of $150 million of 5.14% fixed rate unsecured senior notes due in 2014 in an offering exempt from the registration requirements of the Securities Act of 1933. The debt offering was in conjunction with the Company’s acquisition of EMED. The notes will be repaid over 7 years beginning in 2008 with interest payable on the notes semiannually on June 28 and December 28 beginning in December 2004. The Company used the proceeds of the offering to reduce outstanding indebtedness under the Company’s revolving credit facilities. The debt has certain prepayment penalties for repaying the debt prior to its maturity date. The agreement also requires the Company to maintain a financial covenant. As of July 31, 2007, the Company was in compliance with this covenant.</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Long-term obligations consist of the following as of July 31:</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Various bank loans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Fixed debt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500,000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350,000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500,019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350,038</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Less current maturities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(21,444)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478,575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350,018</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The fair value of the Company’s long-term obligations approximates $488,780. The fair value of the Company’s long-term obligations is estimated based on quoted market prices for the same or similar issue and on the current rates offered for debt of the same maturities.</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580" w:type="dxa"/>
            <w:vAlign w:val="bottom"/>
            <w:gridSpan w:val="2"/>
          </w:tcPr>
          <w:p>
            <w:pPr>
              <w:jc w:val="right"/>
              <w:ind w:right="2980"/>
              <w:spacing w:after="0"/>
              <w:rPr>
                <w:sz w:val="20"/>
                <w:szCs w:val="20"/>
                <w:color w:val="auto"/>
              </w:rPr>
            </w:pPr>
            <w:r>
              <w:rPr>
                <w:rFonts w:ascii="Arial" w:cs="Arial" w:eastAsia="Arial" w:hAnsi="Arial"/>
                <w:sz w:val="13"/>
                <w:szCs w:val="13"/>
                <w:b w:val="1"/>
                <w:bCs w:val="1"/>
                <w:color w:val="auto"/>
              </w:rPr>
              <w:t>BRADY CORPORATION AND SUBSIDIARIES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6580" w:type="dxa"/>
            <w:vAlign w:val="bottom"/>
            <w:gridSpan w:val="2"/>
          </w:tcPr>
          <w:p>
            <w:pPr>
              <w:jc w:val="right"/>
              <w:ind w:right="222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3"/>
        </w:trPr>
        <w:tc>
          <w:tcPr>
            <w:tcW w:w="100" w:type="dxa"/>
            <w:vAlign w:val="bottom"/>
          </w:tcPr>
          <w:p>
            <w:pPr>
              <w:spacing w:after="0"/>
              <w:rPr>
                <w:sz w:val="24"/>
                <w:szCs w:val="24"/>
                <w:color w:val="auto"/>
              </w:rPr>
            </w:pPr>
          </w:p>
        </w:tc>
        <w:tc>
          <w:tcPr>
            <w:tcW w:w="2680" w:type="dxa"/>
            <w:vAlign w:val="bottom"/>
          </w:tcPr>
          <w:p>
            <w:pPr>
              <w:ind w:left="300"/>
              <w:spacing w:after="0"/>
              <w:rPr>
                <w:sz w:val="20"/>
                <w:szCs w:val="20"/>
                <w:color w:val="auto"/>
              </w:rPr>
            </w:pPr>
            <w:r>
              <w:rPr>
                <w:rFonts w:ascii="Arial" w:cs="Arial" w:eastAsia="Arial" w:hAnsi="Arial"/>
                <w:sz w:val="13"/>
                <w:szCs w:val="13"/>
                <w:color w:val="auto"/>
                <w:w w:val="94"/>
              </w:rPr>
              <w:t>Maturities on long-term debt are as follows:</w:t>
            </w:r>
          </w:p>
        </w:tc>
        <w:tc>
          <w:tcPr>
            <w:tcW w:w="6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780" w:type="dxa"/>
            <w:vAlign w:val="bottom"/>
            <w:gridSpan w:val="2"/>
          </w:tcPr>
          <w:p>
            <w:pPr>
              <w:spacing w:after="0"/>
              <w:rPr>
                <w:sz w:val="20"/>
                <w:szCs w:val="20"/>
                <w:color w:val="auto"/>
              </w:rPr>
            </w:pPr>
            <w:r>
              <w:rPr>
                <w:rFonts w:ascii="Arial" w:cs="Arial" w:eastAsia="Arial" w:hAnsi="Arial"/>
                <w:sz w:val="10"/>
                <w:szCs w:val="10"/>
                <w:b w:val="1"/>
                <w:bCs w:val="1"/>
                <w:color w:val="auto"/>
              </w:rPr>
              <w:t>Years Ending July 31,</w:t>
            </w:r>
          </w:p>
        </w:tc>
        <w:tc>
          <w:tcPr>
            <w:tcW w:w="6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2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2008</w:t>
            </w:r>
          </w:p>
        </w:tc>
        <w:tc>
          <w:tcPr>
            <w:tcW w:w="6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21,444</w:t>
            </w:r>
          </w:p>
        </w:tc>
      </w:tr>
      <w:tr>
        <w:trPr>
          <w:trHeight w:val="157"/>
        </w:trPr>
        <w:tc>
          <w:tcPr>
            <w:tcW w:w="2780" w:type="dxa"/>
            <w:vAlign w:val="bottom"/>
            <w:gridSpan w:val="2"/>
          </w:tcPr>
          <w:p>
            <w:pPr>
              <w:spacing w:after="0"/>
              <w:rPr>
                <w:sz w:val="20"/>
                <w:szCs w:val="20"/>
                <w:color w:val="auto"/>
              </w:rPr>
            </w:pPr>
            <w:r>
              <w:rPr>
                <w:rFonts w:ascii="Arial" w:cs="Arial" w:eastAsia="Arial" w:hAnsi="Arial"/>
                <w:sz w:val="13"/>
                <w:szCs w:val="13"/>
                <w:color w:val="auto"/>
              </w:rPr>
              <w:t>2009</w:t>
            </w:r>
          </w:p>
        </w:tc>
        <w:tc>
          <w:tcPr>
            <w:tcW w:w="6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21,433</w:t>
            </w:r>
          </w:p>
        </w:tc>
      </w:tr>
      <w:tr>
        <w:trPr>
          <w:trHeight w:val="157"/>
        </w:trPr>
        <w:tc>
          <w:tcPr>
            <w:tcW w:w="2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2010</w:t>
            </w:r>
          </w:p>
        </w:tc>
        <w:tc>
          <w:tcPr>
            <w:tcW w:w="6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w:t>
            </w:r>
          </w:p>
        </w:tc>
      </w:tr>
      <w:tr>
        <w:trPr>
          <w:trHeight w:val="157"/>
        </w:trPr>
        <w:tc>
          <w:tcPr>
            <w:tcW w:w="2780" w:type="dxa"/>
            <w:vAlign w:val="bottom"/>
            <w:gridSpan w:val="2"/>
          </w:tcPr>
          <w:p>
            <w:pPr>
              <w:spacing w:after="0"/>
              <w:rPr>
                <w:sz w:val="20"/>
                <w:szCs w:val="20"/>
                <w:color w:val="auto"/>
              </w:rPr>
            </w:pPr>
            <w:r>
              <w:rPr>
                <w:rFonts w:ascii="Arial" w:cs="Arial" w:eastAsia="Arial" w:hAnsi="Arial"/>
                <w:sz w:val="13"/>
                <w:szCs w:val="13"/>
                <w:color w:val="auto"/>
              </w:rPr>
              <w:t>2011</w:t>
            </w:r>
          </w:p>
        </w:tc>
        <w:tc>
          <w:tcPr>
            <w:tcW w:w="6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71,428</w:t>
            </w:r>
          </w:p>
        </w:tc>
      </w:tr>
      <w:tr>
        <w:trPr>
          <w:trHeight w:val="157"/>
        </w:trPr>
        <w:tc>
          <w:tcPr>
            <w:tcW w:w="2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w:t>
            </w:r>
          </w:p>
        </w:tc>
        <w:tc>
          <w:tcPr>
            <w:tcW w:w="6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71,428</w:t>
            </w:r>
          </w:p>
        </w:tc>
      </w:tr>
      <w:tr>
        <w:trPr>
          <w:trHeight w:val="157"/>
        </w:trPr>
        <w:tc>
          <w:tcPr>
            <w:tcW w:w="278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6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264,286</w:t>
            </w:r>
          </w:p>
        </w:tc>
      </w:tr>
      <w:tr>
        <w:trPr>
          <w:trHeight w:val="20"/>
        </w:trPr>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6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500,019</w:t>
            </w:r>
          </w:p>
        </w:tc>
      </w:tr>
      <w:tr>
        <w:trPr>
          <w:trHeight w:val="29"/>
        </w:trPr>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had outstanding letters of credit of $1,680 and $2,887 at July 31, 2007 and 2006, respectively.</w:t>
      </w:r>
    </w:p>
    <w:p>
      <w:pPr>
        <w:spacing w:after="0" w:line="171" w:lineRule="exact"/>
        <w:rPr>
          <w:sz w:val="20"/>
          <w:szCs w:val="20"/>
          <w:color w:val="auto"/>
        </w:rPr>
      </w:pPr>
    </w:p>
    <w:p>
      <w:pPr>
        <w:ind w:left="1000" w:hanging="313"/>
        <w:spacing w:after="0"/>
        <w:tabs>
          <w:tab w:leader="none" w:pos="100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Investment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Information as to the Company’s capital stock at July 31, 2007 and 2006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50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rPr>
              <w:t>July 31, 2007</w:t>
            </w: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0"/>
                <w:szCs w:val="10"/>
                <w:b w:val="1"/>
                <w:bCs w:val="1"/>
                <w:color w:val="auto"/>
              </w:rPr>
              <w:t>July 31, 2006</w:t>
            </w: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500" w:type="dxa"/>
            <w:vAlign w:val="bottom"/>
          </w:tcPr>
          <w:p>
            <w:pPr>
              <w:spacing w:after="0"/>
              <w:rPr>
                <w:sz w:val="7"/>
                <w:szCs w:val="7"/>
                <w:color w:val="auto"/>
              </w:rPr>
            </w:pPr>
          </w:p>
        </w:tc>
        <w:tc>
          <w:tcPr>
            <w:tcW w:w="1120" w:type="dxa"/>
            <w:vAlign w:val="bottom"/>
            <w:gridSpan w:val="2"/>
          </w:tcPr>
          <w:p>
            <w:pPr>
              <w:jc w:val="right"/>
              <w:ind w:right="460"/>
              <w:spacing w:after="0" w:line="81" w:lineRule="exact"/>
              <w:rPr>
                <w:sz w:val="20"/>
                <w:szCs w:val="20"/>
                <w:color w:val="auto"/>
              </w:rPr>
            </w:pPr>
            <w:r>
              <w:rPr>
                <w:rFonts w:ascii="Arial" w:cs="Arial" w:eastAsia="Arial" w:hAnsi="Arial"/>
                <w:sz w:val="9"/>
                <w:szCs w:val="9"/>
                <w:b w:val="1"/>
                <w:bCs w:val="1"/>
                <w:color w:val="auto"/>
              </w:rPr>
              <w:t>Shares</w:t>
            </w:r>
          </w:p>
        </w:tc>
        <w:tc>
          <w:tcPr>
            <w:tcW w:w="320" w:type="dxa"/>
            <w:vAlign w:val="bottom"/>
          </w:tcPr>
          <w:p>
            <w:pPr>
              <w:spacing w:after="0"/>
              <w:rPr>
                <w:sz w:val="7"/>
                <w:szCs w:val="7"/>
                <w:color w:val="auto"/>
              </w:rPr>
            </w:pPr>
          </w:p>
        </w:tc>
        <w:tc>
          <w:tcPr>
            <w:tcW w:w="1200" w:type="dxa"/>
            <w:vAlign w:val="bottom"/>
            <w:gridSpan w:val="2"/>
          </w:tcPr>
          <w:p>
            <w:pPr>
              <w:ind w:left="240"/>
              <w:spacing w:after="0" w:line="81" w:lineRule="exact"/>
              <w:rPr>
                <w:sz w:val="20"/>
                <w:szCs w:val="20"/>
                <w:color w:val="auto"/>
              </w:rPr>
            </w:pPr>
            <w:r>
              <w:rPr>
                <w:rFonts w:ascii="Arial" w:cs="Arial" w:eastAsia="Arial" w:hAnsi="Arial"/>
                <w:sz w:val="9"/>
                <w:szCs w:val="9"/>
                <w:b w:val="1"/>
                <w:bCs w:val="1"/>
                <w:color w:val="auto"/>
              </w:rPr>
              <w:t>Shares</w:t>
            </w:r>
          </w:p>
        </w:tc>
        <w:tc>
          <w:tcPr>
            <w:tcW w:w="7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Amount</w:t>
            </w:r>
          </w:p>
        </w:tc>
        <w:tc>
          <w:tcPr>
            <w:tcW w:w="1100" w:type="dxa"/>
            <w:vAlign w:val="bottom"/>
            <w:gridSpan w:val="2"/>
          </w:tcPr>
          <w:p>
            <w:pPr>
              <w:jc w:val="right"/>
              <w:ind w:right="460"/>
              <w:spacing w:after="0" w:line="81" w:lineRule="exact"/>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7"/>
                <w:szCs w:val="7"/>
                <w:color w:val="auto"/>
              </w:rPr>
            </w:pPr>
          </w:p>
        </w:tc>
        <w:tc>
          <w:tcPr>
            <w:tcW w:w="1200" w:type="dxa"/>
            <w:vAlign w:val="bottom"/>
            <w:gridSpan w:val="2"/>
          </w:tcPr>
          <w:p>
            <w:pPr>
              <w:jc w:val="right"/>
              <w:ind w:right="640"/>
              <w:spacing w:after="0" w:line="81" w:lineRule="exact"/>
              <w:rPr>
                <w:sz w:val="20"/>
                <w:szCs w:val="20"/>
                <w:color w:val="auto"/>
              </w:rPr>
            </w:pPr>
            <w:r>
              <w:rPr>
                <w:rFonts w:ascii="Arial" w:cs="Arial" w:eastAsia="Arial" w:hAnsi="Arial"/>
                <w:sz w:val="9"/>
                <w:szCs w:val="9"/>
                <w:b w:val="1"/>
                <w:bCs w:val="1"/>
                <w:color w:val="auto"/>
              </w:rPr>
              <w:t>Shares</w:t>
            </w:r>
          </w:p>
        </w:tc>
        <w:tc>
          <w:tcPr>
            <w:tcW w:w="4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25"/>
        </w:trPr>
        <w:tc>
          <w:tcPr>
            <w:tcW w:w="3500" w:type="dxa"/>
            <w:vAlign w:val="bottom"/>
          </w:tcPr>
          <w:p>
            <w:pPr>
              <w:spacing w:after="0"/>
              <w:rPr>
                <w:sz w:val="10"/>
                <w:szCs w:val="1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Authorized</w:t>
            </w:r>
          </w:p>
        </w:tc>
        <w:tc>
          <w:tcPr>
            <w:tcW w:w="320" w:type="dxa"/>
            <w:vAlign w:val="bottom"/>
          </w:tcPr>
          <w:p>
            <w:pPr>
              <w:spacing w:after="0"/>
              <w:rPr>
                <w:sz w:val="10"/>
                <w:szCs w:val="10"/>
                <w:color w:val="auto"/>
              </w:rPr>
            </w:pPr>
          </w:p>
        </w:tc>
        <w:tc>
          <w:tcPr>
            <w:tcW w:w="1200" w:type="dxa"/>
            <w:vAlign w:val="bottom"/>
            <w:gridSpan w:val="2"/>
          </w:tcPr>
          <w:p>
            <w:pPr>
              <w:ind w:left="260"/>
              <w:spacing w:after="0"/>
              <w:rPr>
                <w:sz w:val="20"/>
                <w:szCs w:val="20"/>
                <w:color w:val="auto"/>
              </w:rPr>
            </w:pPr>
            <w:r>
              <w:rPr>
                <w:rFonts w:ascii="Arial" w:cs="Arial" w:eastAsia="Arial" w:hAnsi="Arial"/>
                <w:sz w:val="10"/>
                <w:szCs w:val="10"/>
                <w:b w:val="1"/>
                <w:bCs w:val="1"/>
                <w:color w:val="auto"/>
              </w:rPr>
              <w:t>Issued</w:t>
            </w:r>
          </w:p>
        </w:tc>
        <w:tc>
          <w:tcPr>
            <w:tcW w:w="780" w:type="dxa"/>
            <w:vAlign w:val="bottom"/>
            <w:gridSpan w:val="3"/>
            <w:vMerge w:val="continue"/>
          </w:tcPr>
          <w:p>
            <w:pPr>
              <w:spacing w:after="0"/>
              <w:rPr>
                <w:sz w:val="10"/>
                <w:szCs w:val="1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Authorized</w:t>
            </w:r>
          </w:p>
        </w:tc>
        <w:tc>
          <w:tcPr>
            <w:tcW w:w="280" w:type="dxa"/>
            <w:vAlign w:val="bottom"/>
          </w:tcPr>
          <w:p>
            <w:pPr>
              <w:spacing w:after="0"/>
              <w:rPr>
                <w:sz w:val="10"/>
                <w:szCs w:val="1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Issued</w:t>
            </w:r>
          </w:p>
        </w:tc>
        <w:tc>
          <w:tcPr>
            <w:tcW w:w="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Preferred Stock, $.01 par value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5,000,000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5,000,000</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Cumulative Preferred Stock:</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6% Cumulative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rPr>
                <w:sz w:val="20"/>
                <w:szCs w:val="20"/>
                <w:color w:val="auto"/>
              </w:rPr>
            </w:pPr>
            <w:r>
              <w:rPr>
                <w:rFonts w:ascii="Arial" w:cs="Arial" w:eastAsia="Arial" w:hAnsi="Arial"/>
                <w:sz w:val="13"/>
                <w:szCs w:val="13"/>
                <w:color w:val="auto"/>
              </w:rPr>
              <w:t>1972 Series</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1979 Series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Common Stock, $.01 par value:</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Class A Nonvoting</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100,000,000</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50,586,524</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100,000,000</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50,481,743</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rPr>
                <w:sz w:val="20"/>
                <w:szCs w:val="20"/>
                <w:color w:val="auto"/>
              </w:rPr>
            </w:pPr>
            <w:r>
              <w:rPr>
                <w:rFonts w:ascii="Arial" w:cs="Arial" w:eastAsia="Arial" w:hAnsi="Arial"/>
                <w:sz w:val="13"/>
                <w:szCs w:val="13"/>
                <w:color w:val="auto"/>
              </w:rPr>
              <w:t>Class B Voting</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1520" w:type="dxa"/>
            <w:vAlign w:val="bottom"/>
            <w:gridSpan w:val="3"/>
          </w:tcPr>
          <w:p>
            <w:pPr>
              <w:jc w:val="right"/>
              <w:ind w:right="400"/>
              <w:spacing w:after="0"/>
              <w:rPr>
                <w:sz w:val="20"/>
                <w:szCs w:val="20"/>
                <w:color w:val="auto"/>
              </w:rPr>
            </w:pPr>
            <w:r>
              <w:rPr>
                <w:rFonts w:ascii="Arial" w:cs="Arial" w:eastAsia="Arial" w:hAnsi="Arial"/>
                <w:sz w:val="13"/>
                <w:szCs w:val="13"/>
                <w:color w:val="auto"/>
              </w:rPr>
              <w:t>3,538,628</w:t>
            </w:r>
          </w:p>
        </w:tc>
        <w:tc>
          <w:tcPr>
            <w:tcW w:w="120" w:type="dxa"/>
            <w:vAlign w:val="bottom"/>
          </w:tcPr>
          <w:p>
            <w:pPr>
              <w:spacing w:after="0"/>
              <w:rPr>
                <w:sz w:val="13"/>
                <w:szCs w:val="13"/>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35</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1480" w:type="dxa"/>
            <w:vAlign w:val="bottom"/>
            <w:gridSpan w:val="3"/>
          </w:tcPr>
          <w:p>
            <w:pPr>
              <w:jc w:val="right"/>
              <w:ind w:right="400"/>
              <w:spacing w:after="0"/>
              <w:rPr>
                <w:sz w:val="20"/>
                <w:szCs w:val="20"/>
                <w:color w:val="auto"/>
              </w:rPr>
            </w:pPr>
            <w:r>
              <w:rPr>
                <w:rFonts w:ascii="Arial" w:cs="Arial" w:eastAsia="Arial" w:hAnsi="Arial"/>
                <w:sz w:val="13"/>
                <w:szCs w:val="13"/>
                <w:color w:val="auto"/>
              </w:rPr>
              <w:t>3,538,628</w:t>
            </w:r>
          </w:p>
        </w:tc>
        <w:tc>
          <w:tcPr>
            <w:tcW w:w="12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541</w:t>
            </w: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w:t>
            </w: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35"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Other than as required by law, 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Upon liquidation, dissolution or winding up of the Company, and after distribution of any amounts due to holders of Cumulative Preferred Stock,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September 2005, the Company announced that the Board of Directors of the Company approved a share repurchase program for up to 800,000 shares of the Company’s Class A Common Stock during fiscal 2006. The share repurchase plan was implemented by purchasing shares on the open market or in privately negotiated transactions, with repurchased shares available for use in connection with the Company’s stock option plan and for other corporate purposes. The Company completed the repurchase of all 800,000 shares of its Class A Common Stock for $26,495 under the repurchase plan approved by the Board of Directors during the fiscal year ended July 31, 2006.</w:t>
      </w:r>
    </w:p>
    <w:p>
      <w:pPr>
        <w:spacing w:after="0" w:line="53"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In June 2006, the Company sold, pursuant to an underwritten public offering, 4,600,000 shares of its Class A nonvoting common stock at a price of $36 per share. Cash proceeds from the offering, net of underwriting discounts, were $158,148. In addition to underwriting discounts, the Company incurred $403 of additional accounting, legal and other expenses related to the offering that were charged to additional paid-in capital. The proceeds were used to fund acquisitions completed in fiscal 2006 and early fiscal 2007.</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other activity in stockholders’ investment for the years ended July 31, 2007, 2006 and 2005:</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Unearned</w:t>
            </w:r>
          </w:p>
        </w:tc>
        <w:tc>
          <w:tcPr>
            <w:tcW w:w="120" w:type="dxa"/>
            <w:vAlign w:val="bottom"/>
          </w:tcPr>
          <w:p>
            <w:pPr>
              <w:spacing w:after="0"/>
              <w:rPr>
                <w:sz w:val="10"/>
                <w:szCs w:val="10"/>
                <w:color w:val="auto"/>
              </w:rPr>
            </w:pPr>
          </w:p>
        </w:tc>
        <w:tc>
          <w:tcPr>
            <w:tcW w:w="1260" w:type="dxa"/>
            <w:vAlign w:val="bottom"/>
            <w:gridSpan w:val="2"/>
            <w:vMerge w:val="restart"/>
          </w:tcPr>
          <w:p>
            <w:pPr>
              <w:jc w:val="right"/>
              <w:ind w:right="680"/>
              <w:spacing w:after="0"/>
              <w:rPr>
                <w:sz w:val="20"/>
                <w:szCs w:val="20"/>
                <w:color w:val="auto"/>
              </w:rPr>
            </w:pPr>
            <w:r>
              <w:rPr>
                <w:rFonts w:ascii="Arial" w:cs="Arial" w:eastAsia="Arial" w:hAnsi="Arial"/>
                <w:sz w:val="10"/>
                <w:szCs w:val="10"/>
                <w:b w:val="1"/>
                <w:bCs w:val="1"/>
                <w:color w:val="auto"/>
              </w:rPr>
              <w:t>Deferred</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Shares Held</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3"/>
              </w:rPr>
              <w:t>Restricted</w:t>
            </w: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in Rabbi</w:t>
            </w:r>
          </w:p>
        </w:tc>
        <w:tc>
          <w:tcPr>
            <w:tcW w:w="120" w:type="dxa"/>
            <w:vAlign w:val="bottom"/>
          </w:tcPr>
          <w:p>
            <w:pPr>
              <w:spacing w:after="0"/>
              <w:rPr>
                <w:sz w:val="9"/>
                <w:szCs w:val="9"/>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7"/>
              </w:rPr>
              <w:t>Stock</w:t>
            </w:r>
          </w:p>
        </w:tc>
        <w:tc>
          <w:tcPr>
            <w:tcW w:w="120" w:type="dxa"/>
            <w:vAlign w:val="bottom"/>
          </w:tcPr>
          <w:p>
            <w:pPr>
              <w:spacing w:after="0"/>
              <w:rPr>
                <w:sz w:val="10"/>
                <w:szCs w:val="1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w w:val="97"/>
              </w:rPr>
              <w:t>Compensation</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Trust, at cost</w:t>
            </w: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Balances July 31, 2004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15,194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(15,194)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29"/>
        </w:trPr>
        <w:tc>
          <w:tcPr>
            <w:tcW w:w="5500" w:type="dxa"/>
            <w:vAlign w:val="bottom"/>
            <w:vMerge w:val="restart"/>
          </w:tcPr>
          <w:p>
            <w:pPr>
              <w:spacing w:after="0"/>
              <w:rPr>
                <w:sz w:val="20"/>
                <w:szCs w:val="20"/>
                <w:color w:val="auto"/>
              </w:rPr>
            </w:pPr>
            <w:r>
              <w:rPr>
                <w:rFonts w:ascii="Arial" w:cs="Arial" w:eastAsia="Arial" w:hAnsi="Arial"/>
                <w:sz w:val="13"/>
                <w:szCs w:val="13"/>
                <w:color w:val="auto"/>
              </w:rPr>
              <w:t>Shares at July 31, 2004</w:t>
            </w: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988,534</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988,534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Sale of shares at cost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(498)</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579</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Purchase of shares at cost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516</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(1,210)</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(694)</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restricted stock</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(437)</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Balances July 31, 2005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14,775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(15,825)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29"/>
        </w:trPr>
        <w:tc>
          <w:tcPr>
            <w:tcW w:w="5500" w:type="dxa"/>
            <w:vAlign w:val="bottom"/>
            <w:vMerge w:val="restart"/>
          </w:tcPr>
          <w:p>
            <w:pPr>
              <w:spacing w:after="0"/>
              <w:rPr>
                <w:sz w:val="20"/>
                <w:szCs w:val="20"/>
                <w:color w:val="auto"/>
              </w:rPr>
            </w:pPr>
            <w:r>
              <w:rPr>
                <w:rFonts w:ascii="Arial" w:cs="Arial" w:eastAsia="Arial" w:hAnsi="Arial"/>
                <w:sz w:val="13"/>
                <w:szCs w:val="13"/>
                <w:color w:val="auto"/>
              </w:rPr>
              <w:t>Shares at July 31, 2005</w:t>
            </w: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950,222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997,034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Sale of shares at cost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(450)</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451</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Purchase of shares at cost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573</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(1,466)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(893)</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Effect of plan amendment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2,704</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3"/>
                <w:szCs w:val="13"/>
                <w:color w:val="auto"/>
              </w:rPr>
              <w:t>Balances at July 31, 2006</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17,602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(16,840)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762</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Shares at July 31, 2006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1,012,914</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1,012,914</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500" w:type="dxa"/>
            <w:vAlign w:val="bottom"/>
            <w:vMerge w:val="restart"/>
          </w:tcPr>
          <w:p>
            <w:pPr>
              <w:spacing w:after="0"/>
              <w:rPr>
                <w:sz w:val="20"/>
                <w:szCs w:val="20"/>
                <w:color w:val="auto"/>
              </w:rPr>
            </w:pPr>
            <w:r>
              <w:rPr>
                <w:rFonts w:ascii="Arial" w:cs="Arial" w:eastAsia="Arial" w:hAnsi="Arial"/>
                <w:sz w:val="13"/>
                <w:szCs w:val="13"/>
                <w:color w:val="auto"/>
              </w:rPr>
              <w:t>Sale of shares at cost</w:t>
            </w:r>
          </w:p>
        </w:tc>
        <w:tc>
          <w:tcPr>
            <w:tcW w:w="100" w:type="dxa"/>
            <w:vAlign w:val="bottom"/>
          </w:tcPr>
          <w:p>
            <w:pPr>
              <w:spacing w:after="0"/>
              <w:rPr>
                <w:sz w:val="2"/>
                <w:szCs w:val="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(108)</w:t>
            </w:r>
          </w:p>
        </w:tc>
        <w:tc>
          <w:tcPr>
            <w:tcW w:w="0" w:type="dxa"/>
            <w:vAlign w:val="bottom"/>
          </w:tcPr>
          <w:p>
            <w:pPr>
              <w:spacing w:after="0" w:line="20" w:lineRule="exact"/>
              <w:rPr>
                <w:sz w:val="1"/>
                <w:szCs w:val="1"/>
                <w:color w:val="auto"/>
              </w:rPr>
            </w:pPr>
          </w:p>
        </w:tc>
      </w:tr>
      <w:tr>
        <w:trPr>
          <w:trHeight w:val="166"/>
        </w:trPr>
        <w:tc>
          <w:tcPr>
            <w:tcW w:w="5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(5,242)</w:t>
            </w:r>
          </w:p>
        </w:tc>
        <w:tc>
          <w:tcPr>
            <w:tcW w:w="1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5,134</w:t>
            </w: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Purchase of shares at cost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1,215</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3"/>
                <w:szCs w:val="13"/>
                <w:color w:val="auto"/>
              </w:rPr>
              <w:t>Balances at July 31, 2007</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13,575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(12,921)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654</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Shares at July 31, 2007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724,417</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724,417</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Prior to 2002, all Brady Corporation deferred compensation was invested in Brady stock. In 2002, the Company adopted a new deferred compensation plan which allowed investing in other investment funds in addition to Brady stock. Under this plan, participants were allowed to transfer funds between Brady stock and the other investment funds. On May 1, 2006 the plan was amended with the provision that deferrals into Brady stock must</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remain in Brady stock and be distributed in shares of Brady stock. At July 31, 2007, the deferred compensation balance in stockholders’ investment represents the investment at the original cost of shares held in Brady stock for the deferred compensation plan prior to 2002 and the investment at the cost of shares held in Brady stock for the plan subsequent to 2002, adjusted for the plan amendment on May 1, 2006. The balance of shares held in the Rabbi Trust represents the investment in Brady stock at the original cost of all Brady stock held in deferred compensation plans.</w:t>
      </w:r>
    </w:p>
    <w:p>
      <w:pPr>
        <w:spacing w:after="0" w:line="7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The Company’s Employee Monthly Stock Investment Plan (“the Plan”) provides that eligible employees may authorize a fixed dollar amount between $20 and $500 per month to be deducted from their pay. The funds deducted are forwarded to the Plan administrator and are used to purchase Brady stock at the market price. As part of the Plan, Brady pays all brokerage fees for stock purchases and dividend reinvestments.</w:t>
      </w:r>
    </w:p>
    <w:p>
      <w:pPr>
        <w:spacing w:after="0" w:line="67" w:lineRule="exact"/>
        <w:rPr>
          <w:sz w:val="20"/>
          <w:szCs w:val="20"/>
          <w:color w:val="auto"/>
        </w:rPr>
      </w:pPr>
    </w:p>
    <w:p>
      <w:pPr>
        <w:ind w:left="680" w:right="40" w:firstLine="399"/>
        <w:spacing w:after="0" w:line="310" w:lineRule="auto"/>
        <w:rPr>
          <w:sz w:val="20"/>
          <w:szCs w:val="20"/>
          <w:color w:val="auto"/>
        </w:rPr>
      </w:pPr>
      <w:r>
        <w:rPr>
          <w:rFonts w:ascii="Arial" w:cs="Arial" w:eastAsia="Arial" w:hAnsi="Arial"/>
          <w:sz w:val="11"/>
          <w:szCs w:val="11"/>
          <w:color w:val="auto"/>
        </w:rPr>
        <w:t>The Company has an incentive stock plan under which the Board of Directors may grant nonqualified stock options to purchase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All performance-based options that were granted in fiscal 2006 and in prior years expire five years from the date of grant. Beginning in fiscal 2007, any performance options granted expire 10 years from the date of grant.</w:t>
      </w:r>
    </w:p>
    <w:p>
      <w:pPr>
        <w:spacing w:after="0" w:line="4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As of July 31, 2007, the Company has reserved 4,182,739 shares of Class A Nonvoting Common Stock for outstanding stock options and 1,987,500 shares of Class A Nonvoting Common Stock remain for future issuance of stock options under the various plans. The Company uses treasury stock or will issue new Class A Nonvoting Common Stock to deliver shares under these plans.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Changes in the options are as follows(1):</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Options</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3"/>
            <w:vMerge w:val="restart"/>
          </w:tcPr>
          <w:p>
            <w:pPr>
              <w:ind w:left="160"/>
              <w:spacing w:after="0"/>
              <w:rPr>
                <w:sz w:val="20"/>
                <w:szCs w:val="20"/>
                <w:color w:val="auto"/>
              </w:rPr>
            </w:pPr>
            <w:r>
              <w:rPr>
                <w:rFonts w:ascii="Arial" w:cs="Arial" w:eastAsia="Arial" w:hAnsi="Arial"/>
                <w:sz w:val="10"/>
                <w:szCs w:val="10"/>
                <w:b w:val="1"/>
                <w:bCs w:val="1"/>
                <w:color w:val="auto"/>
              </w:rPr>
              <w:t>Option Price</w:t>
            </w:r>
          </w:p>
        </w:tc>
        <w:tc>
          <w:tcPr>
            <w:tcW w:w="13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Outstanding</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July 31, 2004</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6.08 - $20.15</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3,872,484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15.05</w:t>
            </w:r>
          </w:p>
        </w:tc>
        <w:tc>
          <w:tcPr>
            <w:tcW w:w="0" w:type="dxa"/>
            <w:vAlign w:val="bottom"/>
          </w:tcPr>
          <w:p>
            <w:pPr>
              <w:spacing w:after="0"/>
              <w:rPr>
                <w:sz w:val="1"/>
                <w:szCs w:val="1"/>
                <w:color w:val="auto"/>
              </w:rPr>
            </w:pPr>
          </w:p>
        </w:tc>
      </w:tr>
      <w:tr>
        <w:trPr>
          <w:trHeight w:val="29"/>
        </w:trPr>
        <w:tc>
          <w:tcPr>
            <w:tcW w:w="6300" w:type="dxa"/>
            <w:vAlign w:val="bottom"/>
            <w:gridSpan w:val="2"/>
            <w:vMerge w:val="restart"/>
          </w:tcPr>
          <w:p>
            <w:pPr>
              <w:spacing w:after="0"/>
              <w:rPr>
                <w:sz w:val="20"/>
                <w:szCs w:val="20"/>
                <w:color w:val="auto"/>
              </w:rPr>
            </w:pPr>
            <w:r>
              <w:rPr>
                <w:rFonts w:ascii="Arial" w:cs="Arial" w:eastAsia="Arial" w:hAnsi="Arial"/>
                <w:sz w:val="13"/>
                <w:szCs w:val="13"/>
                <w:color w:val="auto"/>
              </w:rPr>
              <w:t>Options granted</w:t>
            </w:r>
          </w:p>
        </w:tc>
        <w:tc>
          <w:tcPr>
            <w:tcW w:w="220" w:type="dxa"/>
            <w:vAlign w:val="bottom"/>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22.63</w:t>
            </w: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w w:val="93"/>
              </w:rPr>
              <w:t>- 31.54</w:t>
            </w: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27.27</w:t>
            </w:r>
          </w:p>
        </w:tc>
        <w:tc>
          <w:tcPr>
            <w:tcW w:w="0" w:type="dxa"/>
            <w:vAlign w:val="bottom"/>
          </w:tcPr>
          <w:p>
            <w:pPr>
              <w:spacing w:after="0" w:line="20" w:lineRule="exact"/>
              <w:rPr>
                <w:sz w:val="1"/>
                <w:szCs w:val="1"/>
                <w:color w:val="auto"/>
              </w:rPr>
            </w:pPr>
          </w:p>
        </w:tc>
      </w:tr>
      <w:tr>
        <w:trPr>
          <w:trHeight w:val="166"/>
        </w:trPr>
        <w:tc>
          <w:tcPr>
            <w:tcW w:w="6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888,000</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Options exercised</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3"/>
              </w:rPr>
              <w:t>- 17.33</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(1,117,431)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14.08</w:t>
            </w:r>
          </w:p>
        </w:tc>
        <w:tc>
          <w:tcPr>
            <w:tcW w:w="0" w:type="dxa"/>
            <w:vAlign w:val="bottom"/>
          </w:tcPr>
          <w:p>
            <w:pPr>
              <w:spacing w:after="0"/>
              <w:rPr>
                <w:sz w:val="1"/>
                <w:szCs w:val="1"/>
                <w:color w:val="auto"/>
              </w:rPr>
            </w:pPr>
          </w:p>
        </w:tc>
      </w:tr>
      <w:tr>
        <w:trPr>
          <w:trHeight w:val="157"/>
        </w:trPr>
        <w:tc>
          <w:tcPr>
            <w:tcW w:w="6300" w:type="dxa"/>
            <w:vAlign w:val="bottom"/>
            <w:gridSpan w:val="2"/>
          </w:tcPr>
          <w:p>
            <w:pPr>
              <w:spacing w:after="0"/>
              <w:rPr>
                <w:sz w:val="20"/>
                <w:szCs w:val="20"/>
                <w:color w:val="auto"/>
              </w:rPr>
            </w:pPr>
            <w:r>
              <w:rPr>
                <w:rFonts w:ascii="Arial" w:cs="Arial" w:eastAsia="Arial" w:hAnsi="Arial"/>
                <w:sz w:val="13"/>
                <w:szCs w:val="13"/>
                <w:color w:val="auto"/>
              </w:rPr>
              <w:t>Options cancelled</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9.59</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w w:val="93"/>
              </w:rPr>
              <w:t>- 17.33</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(113,722)</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15.82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July 31, 2005</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9.59 - $31.54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3,529,331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18.41</w:t>
            </w:r>
          </w:p>
        </w:tc>
        <w:tc>
          <w:tcPr>
            <w:tcW w:w="0" w:type="dxa"/>
            <w:vAlign w:val="bottom"/>
          </w:tcPr>
          <w:p>
            <w:pPr>
              <w:spacing w:after="0"/>
              <w:rPr>
                <w:sz w:val="1"/>
                <w:szCs w:val="1"/>
                <w:color w:val="auto"/>
              </w:rPr>
            </w:pPr>
          </w:p>
        </w:tc>
      </w:tr>
      <w:tr>
        <w:trPr>
          <w:trHeight w:val="29"/>
        </w:trPr>
        <w:tc>
          <w:tcPr>
            <w:tcW w:w="6300" w:type="dxa"/>
            <w:vAlign w:val="bottom"/>
            <w:gridSpan w:val="2"/>
            <w:vMerge w:val="restart"/>
          </w:tcPr>
          <w:p>
            <w:pPr>
              <w:spacing w:after="0"/>
              <w:rPr>
                <w:sz w:val="20"/>
                <w:szCs w:val="20"/>
                <w:color w:val="auto"/>
              </w:rPr>
            </w:pPr>
            <w:r>
              <w:rPr>
                <w:rFonts w:ascii="Arial" w:cs="Arial" w:eastAsia="Arial" w:hAnsi="Arial"/>
                <w:sz w:val="13"/>
                <w:szCs w:val="13"/>
                <w:color w:val="auto"/>
              </w:rPr>
              <w:t>Options granted</w:t>
            </w:r>
          </w:p>
        </w:tc>
        <w:tc>
          <w:tcPr>
            <w:tcW w:w="220" w:type="dxa"/>
            <w:vAlign w:val="bottom"/>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33.75</w:t>
            </w: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w w:val="93"/>
              </w:rPr>
              <w:t>- 40.37</w:t>
            </w: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36.33</w:t>
            </w:r>
          </w:p>
        </w:tc>
        <w:tc>
          <w:tcPr>
            <w:tcW w:w="0" w:type="dxa"/>
            <w:vAlign w:val="bottom"/>
          </w:tcPr>
          <w:p>
            <w:pPr>
              <w:spacing w:after="0" w:line="20" w:lineRule="exact"/>
              <w:rPr>
                <w:sz w:val="1"/>
                <w:szCs w:val="1"/>
                <w:color w:val="auto"/>
              </w:rPr>
            </w:pPr>
          </w:p>
        </w:tc>
      </w:tr>
      <w:tr>
        <w:trPr>
          <w:trHeight w:val="166"/>
        </w:trPr>
        <w:tc>
          <w:tcPr>
            <w:tcW w:w="6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955,500</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Options exercised</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3"/>
              </w:rPr>
              <w:t>- 28.84</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(596,643)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14.95</w:t>
            </w:r>
          </w:p>
        </w:tc>
        <w:tc>
          <w:tcPr>
            <w:tcW w:w="0" w:type="dxa"/>
            <w:vAlign w:val="bottom"/>
          </w:tcPr>
          <w:p>
            <w:pPr>
              <w:spacing w:after="0"/>
              <w:rPr>
                <w:sz w:val="1"/>
                <w:szCs w:val="1"/>
                <w:color w:val="auto"/>
              </w:rPr>
            </w:pPr>
          </w:p>
        </w:tc>
      </w:tr>
      <w:tr>
        <w:trPr>
          <w:trHeight w:val="157"/>
        </w:trPr>
        <w:tc>
          <w:tcPr>
            <w:tcW w:w="6300" w:type="dxa"/>
            <w:vAlign w:val="bottom"/>
            <w:gridSpan w:val="2"/>
          </w:tcPr>
          <w:p>
            <w:pPr>
              <w:spacing w:after="0"/>
              <w:rPr>
                <w:sz w:val="20"/>
                <w:szCs w:val="20"/>
                <w:color w:val="auto"/>
              </w:rPr>
            </w:pPr>
            <w:r>
              <w:rPr>
                <w:rFonts w:ascii="Arial" w:cs="Arial" w:eastAsia="Arial" w:hAnsi="Arial"/>
                <w:sz w:val="13"/>
                <w:szCs w:val="13"/>
                <w:color w:val="auto"/>
              </w:rPr>
              <w:t>Options cancelled</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16.00</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w w:val="93"/>
              </w:rPr>
              <w:t>- 40.37</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(73,136)</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27.20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July 31, 2006</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9.59 - $40.37</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3,815,052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23.27</w:t>
            </w:r>
          </w:p>
        </w:tc>
        <w:tc>
          <w:tcPr>
            <w:tcW w:w="0" w:type="dxa"/>
            <w:vAlign w:val="bottom"/>
          </w:tcPr>
          <w:p>
            <w:pPr>
              <w:spacing w:after="0"/>
              <w:rPr>
                <w:sz w:val="1"/>
                <w:szCs w:val="1"/>
                <w:color w:val="auto"/>
              </w:rPr>
            </w:pPr>
          </w:p>
        </w:tc>
      </w:tr>
      <w:tr>
        <w:trPr>
          <w:trHeight w:val="29"/>
        </w:trPr>
        <w:tc>
          <w:tcPr>
            <w:tcW w:w="6300" w:type="dxa"/>
            <w:vAlign w:val="bottom"/>
            <w:gridSpan w:val="2"/>
            <w:vMerge w:val="restart"/>
          </w:tcPr>
          <w:p>
            <w:pPr>
              <w:spacing w:after="0"/>
              <w:rPr>
                <w:sz w:val="20"/>
                <w:szCs w:val="20"/>
                <w:color w:val="auto"/>
              </w:rPr>
            </w:pPr>
            <w:r>
              <w:rPr>
                <w:rFonts w:ascii="Arial" w:cs="Arial" w:eastAsia="Arial" w:hAnsi="Arial"/>
                <w:sz w:val="13"/>
                <w:szCs w:val="13"/>
                <w:color w:val="auto"/>
              </w:rPr>
              <w:t>Options granted</w:t>
            </w:r>
          </w:p>
        </w:tc>
        <w:tc>
          <w:tcPr>
            <w:tcW w:w="220" w:type="dxa"/>
            <w:vAlign w:val="bottom"/>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32.93</w:t>
            </w: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w w:val="93"/>
              </w:rPr>
              <w:t>- 38.19</w:t>
            </w: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36.74</w:t>
            </w:r>
          </w:p>
        </w:tc>
        <w:tc>
          <w:tcPr>
            <w:tcW w:w="0" w:type="dxa"/>
            <w:vAlign w:val="bottom"/>
          </w:tcPr>
          <w:p>
            <w:pPr>
              <w:spacing w:after="0" w:line="20" w:lineRule="exact"/>
              <w:rPr>
                <w:sz w:val="1"/>
                <w:szCs w:val="1"/>
                <w:color w:val="auto"/>
              </w:rPr>
            </w:pPr>
          </w:p>
        </w:tc>
      </w:tr>
      <w:tr>
        <w:trPr>
          <w:trHeight w:val="166"/>
        </w:trPr>
        <w:tc>
          <w:tcPr>
            <w:tcW w:w="6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908,000</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Options exercised</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3"/>
              </w:rPr>
              <w:t>- 28.84</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(397,682)</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17.13</w:t>
            </w:r>
          </w:p>
        </w:tc>
        <w:tc>
          <w:tcPr>
            <w:tcW w:w="0" w:type="dxa"/>
            <w:vAlign w:val="bottom"/>
          </w:tcPr>
          <w:p>
            <w:pPr>
              <w:spacing w:after="0"/>
              <w:rPr>
                <w:sz w:val="1"/>
                <w:szCs w:val="1"/>
                <w:color w:val="auto"/>
              </w:rPr>
            </w:pPr>
          </w:p>
        </w:tc>
      </w:tr>
      <w:tr>
        <w:trPr>
          <w:trHeight w:val="157"/>
        </w:trPr>
        <w:tc>
          <w:tcPr>
            <w:tcW w:w="6300" w:type="dxa"/>
            <w:vAlign w:val="bottom"/>
            <w:gridSpan w:val="2"/>
          </w:tcPr>
          <w:p>
            <w:pPr>
              <w:spacing w:after="0"/>
              <w:rPr>
                <w:sz w:val="20"/>
                <w:szCs w:val="20"/>
                <w:color w:val="auto"/>
              </w:rPr>
            </w:pPr>
            <w:r>
              <w:rPr>
                <w:rFonts w:ascii="Arial" w:cs="Arial" w:eastAsia="Arial" w:hAnsi="Arial"/>
                <w:sz w:val="13"/>
                <w:szCs w:val="13"/>
                <w:color w:val="auto"/>
              </w:rPr>
              <w:t>Options cancelled</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16.00</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w w:val="93"/>
              </w:rPr>
              <w:t>- 40.37</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(142,631)</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35.40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July 31, 2007</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9.59 - $40.37</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4,182,739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26.36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540" w:right="3900" w:hanging="4603"/>
        <w:spacing w:after="0" w:line="734" w:lineRule="auto"/>
        <w:tabs>
          <w:tab w:leader="none" w:pos="1183" w:val="left"/>
        </w:tabs>
        <w:numPr>
          <w:ilvl w:val="0"/>
          <w:numId w:val="25"/>
        </w:numPr>
        <w:rPr>
          <w:rFonts w:ascii="Arial" w:cs="Arial" w:eastAsia="Arial" w:hAnsi="Arial"/>
          <w:sz w:val="13"/>
          <w:szCs w:val="13"/>
          <w:color w:val="auto"/>
        </w:rPr>
      </w:pPr>
      <w:r>
        <w:rPr>
          <w:rFonts w:ascii="Arial" w:cs="Arial" w:eastAsia="Arial" w:hAnsi="Arial"/>
          <w:sz w:val="13"/>
          <w:szCs w:val="13"/>
          <w:color w:val="auto"/>
        </w:rPr>
        <w:t>Adjusted for a two-for-one stock split in the form of a 100% stock dividend, effective December 31, 2004. 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total fair value of options vested during the fiscal years ended July 31, 2007, 2006 and 2005 was $4,687, $4,744 and $3,223, respectively. The total intrinsic value of options exercised during the fiscal years ended July 31, 2007, 2006 and 2005 was $8,272, $13,974 and $14,754, respectively.</w:t>
      </w:r>
    </w:p>
    <w:p>
      <w:pPr>
        <w:spacing w:after="0" w:line="59" w:lineRule="exact"/>
        <w:rPr>
          <w:sz w:val="20"/>
          <w:szCs w:val="20"/>
          <w:color w:val="auto"/>
        </w:rPr>
      </w:pPr>
    </w:p>
    <w:p>
      <w:pPr>
        <w:ind w:left="680" w:right="620" w:firstLine="399"/>
        <w:spacing w:after="0" w:line="276" w:lineRule="auto"/>
        <w:rPr>
          <w:sz w:val="20"/>
          <w:szCs w:val="20"/>
          <w:color w:val="auto"/>
        </w:rPr>
      </w:pPr>
      <w:r>
        <w:rPr>
          <w:rFonts w:ascii="Arial" w:cs="Arial" w:eastAsia="Arial" w:hAnsi="Arial"/>
          <w:sz w:val="13"/>
          <w:szCs w:val="13"/>
          <w:color w:val="auto"/>
        </w:rPr>
        <w:t>There were 2,300,239, 2,062,153 and 1,772,930 options exercisable with a weighted average exercise price of $21.07, $17.02 and $14.84 at July 31, 2007, 2006 and 2005,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stock options outstanding at July 31, 2007:</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Options Outstanding</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rPr>
              <w:t>Options Outstanding and</w:t>
            </w:r>
          </w:p>
        </w:tc>
        <w:tc>
          <w:tcPr>
            <w:tcW w:w="0" w:type="dxa"/>
            <w:vAlign w:val="bottom"/>
          </w:tcPr>
          <w:p>
            <w:pPr>
              <w:spacing w:after="0"/>
              <w:rPr>
                <w:sz w:val="1"/>
                <w:szCs w:val="1"/>
                <w:color w:val="auto"/>
              </w:rPr>
            </w:pPr>
          </w:p>
        </w:tc>
      </w:tr>
      <w:tr>
        <w:trPr>
          <w:trHeight w:val="125"/>
        </w:trPr>
        <w:tc>
          <w:tcPr>
            <w:tcW w:w="3620" w:type="dxa"/>
            <w:vAlign w:val="bottom"/>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Exercisable</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4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Number of Shares</w:t>
            </w:r>
          </w:p>
        </w:tc>
        <w:tc>
          <w:tcPr>
            <w:tcW w:w="420" w:type="dxa"/>
            <w:vAlign w:val="bottom"/>
          </w:tcPr>
          <w:p>
            <w:pPr>
              <w:spacing w:after="0"/>
              <w:rPr>
                <w:sz w:val="7"/>
                <w:szCs w:val="7"/>
                <w:color w:val="auto"/>
              </w:rPr>
            </w:pPr>
          </w:p>
        </w:tc>
        <w:tc>
          <w:tcPr>
            <w:tcW w:w="1080" w:type="dxa"/>
            <w:vAlign w:val="bottom"/>
          </w:tcPr>
          <w:p>
            <w:pPr>
              <w:jc w:val="center"/>
              <w:ind w:left="169"/>
              <w:spacing w:after="0" w:line="81" w:lineRule="exact"/>
              <w:rPr>
                <w:sz w:val="20"/>
                <w:szCs w:val="20"/>
                <w:color w:val="auto"/>
              </w:rPr>
            </w:pPr>
            <w:r>
              <w:rPr>
                <w:rFonts w:ascii="Arial" w:cs="Arial" w:eastAsia="Arial" w:hAnsi="Arial"/>
                <w:sz w:val="9"/>
                <w:szCs w:val="9"/>
                <w:b w:val="1"/>
                <w:bCs w:val="1"/>
                <w:color w:val="auto"/>
              </w:rPr>
              <w:t>Weighted Average</w:t>
            </w: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2"/>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12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Pr>
          <w:p>
            <w:pPr>
              <w:spacing w:after="0"/>
              <w:rPr>
                <w:sz w:val="7"/>
                <w:szCs w:val="7"/>
                <w:color w:val="auto"/>
              </w:rPr>
            </w:pPr>
          </w:p>
        </w:tc>
        <w:tc>
          <w:tcPr>
            <w:tcW w:w="500" w:type="dxa"/>
            <w:vAlign w:val="bottom"/>
          </w:tcPr>
          <w:p>
            <w:pPr>
              <w:jc w:val="center"/>
              <w:ind w:right="22"/>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620" w:type="dxa"/>
            <w:vAlign w:val="bottom"/>
            <w:vMerge w:val="restart"/>
          </w:tcPr>
          <w:p>
            <w:pPr>
              <w:ind w:left="1500"/>
              <w:spacing w:after="0"/>
              <w:rPr>
                <w:sz w:val="20"/>
                <w:szCs w:val="20"/>
                <w:color w:val="auto"/>
              </w:rPr>
            </w:pPr>
            <w:r>
              <w:rPr>
                <w:rFonts w:ascii="Arial" w:cs="Arial" w:eastAsia="Arial" w:hAnsi="Arial"/>
                <w:sz w:val="10"/>
                <w:szCs w:val="10"/>
                <w:b w:val="1"/>
                <w:bCs w:val="1"/>
                <w:color w:val="auto"/>
              </w:rPr>
              <w:t>Range of</w:t>
            </w:r>
          </w:p>
        </w:tc>
        <w:tc>
          <w:tcPr>
            <w:tcW w:w="14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jc w:val="center"/>
              <w:ind w:left="149"/>
              <w:spacing w:after="0" w:line="108" w:lineRule="exact"/>
              <w:rPr>
                <w:sz w:val="20"/>
                <w:szCs w:val="20"/>
                <w:color w:val="auto"/>
              </w:rPr>
            </w:pPr>
            <w:r>
              <w:rPr>
                <w:rFonts w:ascii="Arial" w:cs="Arial" w:eastAsia="Arial" w:hAnsi="Arial"/>
                <w:sz w:val="10"/>
                <w:szCs w:val="10"/>
                <w:b w:val="1"/>
                <w:bCs w:val="1"/>
                <w:color w:val="auto"/>
                <w:w w:val="93"/>
              </w:rPr>
              <w:t>Remaining</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Exercisable</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3620" w:type="dxa"/>
            <w:vAlign w:val="bottom"/>
            <w:vMerge w:val="continue"/>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Outstanding at</w:t>
            </w:r>
          </w:p>
        </w:tc>
        <w:tc>
          <w:tcPr>
            <w:tcW w:w="420" w:type="dxa"/>
            <w:vAlign w:val="bottom"/>
          </w:tcPr>
          <w:p>
            <w:pPr>
              <w:spacing w:after="0"/>
              <w:rPr>
                <w:sz w:val="9"/>
                <w:szCs w:val="9"/>
                <w:color w:val="auto"/>
              </w:rPr>
            </w:pPr>
          </w:p>
        </w:tc>
        <w:tc>
          <w:tcPr>
            <w:tcW w:w="1080" w:type="dxa"/>
            <w:vAlign w:val="bottom"/>
          </w:tcPr>
          <w:p>
            <w:pPr>
              <w:jc w:val="center"/>
              <w:ind w:left="149"/>
              <w:spacing w:after="0" w:line="108" w:lineRule="exact"/>
              <w:rPr>
                <w:sz w:val="20"/>
                <w:szCs w:val="20"/>
                <w:color w:val="auto"/>
              </w:rPr>
            </w:pPr>
            <w:r>
              <w:rPr>
                <w:rFonts w:ascii="Arial" w:cs="Arial" w:eastAsia="Arial" w:hAnsi="Arial"/>
                <w:sz w:val="10"/>
                <w:szCs w:val="10"/>
                <w:b w:val="1"/>
                <w:bCs w:val="1"/>
                <w:color w:val="auto"/>
                <w:w w:val="99"/>
              </w:rPr>
              <w:t>Contractual Life</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87"/>
              </w:rPr>
              <w:t>Exercise</w:t>
            </w: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5"/>
              </w:rPr>
              <w:t>at July 31,</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35"/>
        </w:trPr>
        <w:tc>
          <w:tcPr>
            <w:tcW w:w="3620" w:type="dxa"/>
            <w:vAlign w:val="bottom"/>
          </w:tcPr>
          <w:p>
            <w:pPr>
              <w:ind w:left="1700"/>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xercise Prices</w:t>
            </w: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7"/>
              </w:rPr>
              <w:t>July 31, 2007</w:t>
            </w:r>
          </w:p>
        </w:tc>
        <w:tc>
          <w:tcPr>
            <w:tcW w:w="420" w:type="dxa"/>
            <w:vAlign w:val="bottom"/>
          </w:tcPr>
          <w:p>
            <w:pPr>
              <w:spacing w:after="0"/>
              <w:rPr>
                <w:sz w:val="11"/>
                <w:szCs w:val="11"/>
                <w:color w:val="auto"/>
              </w:rPr>
            </w:pPr>
          </w:p>
        </w:tc>
        <w:tc>
          <w:tcPr>
            <w:tcW w:w="1080" w:type="dxa"/>
            <w:vAlign w:val="bottom"/>
          </w:tcPr>
          <w:p>
            <w:pPr>
              <w:jc w:val="center"/>
              <w:ind w:left="169"/>
              <w:spacing w:after="0"/>
              <w:rPr>
                <w:sz w:val="20"/>
                <w:szCs w:val="20"/>
                <w:color w:val="auto"/>
              </w:rPr>
            </w:pPr>
            <w:r>
              <w:rPr>
                <w:rFonts w:ascii="Arial" w:cs="Arial" w:eastAsia="Arial" w:hAnsi="Arial"/>
                <w:sz w:val="10"/>
                <w:szCs w:val="10"/>
                <w:b w:val="1"/>
                <w:bCs w:val="1"/>
                <w:color w:val="auto"/>
                <w:w w:val="94"/>
              </w:rPr>
              <w:t>(in years)</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Price</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Up to $14.99</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503,097</w:t>
            </w: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12.89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263,097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12.24</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$15.00 to $29.99</w:t>
            </w:r>
          </w:p>
        </w:tc>
        <w:tc>
          <w:tcPr>
            <w:tcW w:w="1400" w:type="dxa"/>
            <w:vAlign w:val="bottom"/>
          </w:tcPr>
          <w:p>
            <w:pPr>
              <w:jc w:val="right"/>
              <w:spacing w:after="0"/>
              <w:rPr>
                <w:sz w:val="20"/>
                <w:szCs w:val="20"/>
                <w:color w:val="auto"/>
              </w:rPr>
            </w:pPr>
            <w:r>
              <w:rPr>
                <w:rFonts w:ascii="Arial" w:cs="Arial" w:eastAsia="Arial" w:hAnsi="Arial"/>
                <w:sz w:val="13"/>
                <w:szCs w:val="13"/>
                <w:color w:val="auto"/>
              </w:rPr>
              <w:t>1,943,806</w:t>
            </w: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20.79</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1,717,970</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19.69</w:t>
            </w:r>
          </w:p>
        </w:tc>
        <w:tc>
          <w:tcPr>
            <w:tcW w:w="0" w:type="dxa"/>
            <w:vAlign w:val="bottom"/>
          </w:tcPr>
          <w:p>
            <w:pPr>
              <w:spacing w:after="0"/>
              <w:rPr>
                <w:sz w:val="1"/>
                <w:szCs w:val="1"/>
                <w:color w:val="auto"/>
              </w:rPr>
            </w:pPr>
          </w:p>
        </w:tc>
      </w:tr>
      <w:tr>
        <w:trPr>
          <w:trHeight w:val="157"/>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$30.00 and up</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1,735,836</w:t>
            </w: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36.52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319,172</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35.81</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line="20" w:lineRule="exact"/>
              <w:rPr>
                <w:sz w:val="1"/>
                <w:szCs w:val="1"/>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26.36</w:t>
            </w: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21.07</w:t>
            </w:r>
          </w:p>
        </w:tc>
        <w:tc>
          <w:tcPr>
            <w:tcW w:w="0" w:type="dxa"/>
            <w:vAlign w:val="bottom"/>
          </w:tcPr>
          <w:p>
            <w:pPr>
              <w:spacing w:after="0" w:line="20" w:lineRule="exact"/>
              <w:rPr>
                <w:sz w:val="1"/>
                <w:szCs w:val="1"/>
                <w:color w:val="auto"/>
              </w:rPr>
            </w:pPr>
          </w:p>
        </w:tc>
      </w:tr>
      <w:tr>
        <w:trPr>
          <w:trHeight w:val="156"/>
        </w:trPr>
        <w:tc>
          <w:tcPr>
            <w:tcW w:w="3620" w:type="dxa"/>
            <w:vAlign w:val="bottom"/>
            <w:vMerge w:val="continue"/>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4,182,739</w:t>
            </w: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2,300,239</w:t>
            </w: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62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As of July 31, 2007, the aggregate intrinsic value of the number of options outstanding and the number of options outstanding and exercisable was $39,548 and $32,494, respectively.</w:t>
      </w:r>
    </w:p>
    <w:p>
      <w:pPr>
        <w:spacing w:after="0" w:line="194" w:lineRule="exact"/>
        <w:rPr>
          <w:sz w:val="20"/>
          <w:szCs w:val="20"/>
          <w:color w:val="auto"/>
        </w:rPr>
      </w:pPr>
    </w:p>
    <w:p>
      <w:pPr>
        <w:ind w:left="1000" w:hanging="313"/>
        <w:spacing w:after="0"/>
        <w:tabs>
          <w:tab w:leader="none" w:pos="100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evaluates short-term regional performance based on segment profit or loss and customer sales. Corporate long-term performance is evaluated based on shareholder value enhancement (“SVE”), which incorporates the cost of capital as a hurdle rate for capital expenditures, new product development, acquisitions, and long-term lines of business. Segment profit or loss does not include certain administrative costs, interest, foreign exchange gain or loss, other expenses not allocated to a segment, and income taxes. The accounting policies of the reportable segments are the same as those described in the summary of significant accounting policies.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Company’s reportable segments are geographical regions that are each managed separately. The Company has three reportable segments: Americas, Europe and Asia-Pacific.</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Each reportable segment derives its revenue from the same types of products and services.</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w w:val="96"/>
              </w:rPr>
              <w:t>Corporate</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Americas</w:t>
            </w:r>
          </w:p>
        </w:tc>
        <w:tc>
          <w:tcPr>
            <w:tcW w:w="120" w:type="dxa"/>
            <w:vAlign w:val="bottom"/>
          </w:tcPr>
          <w:p>
            <w:pPr>
              <w:spacing w:after="0"/>
              <w:rPr>
                <w:sz w:val="9"/>
                <w:szCs w:val="9"/>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Europe</w:t>
            </w:r>
          </w:p>
        </w:tc>
        <w:tc>
          <w:tcPr>
            <w:tcW w:w="80" w:type="dxa"/>
            <w:vAlign w:val="bottom"/>
          </w:tcPr>
          <w:p>
            <w:pPr>
              <w:spacing w:after="0"/>
              <w:rPr>
                <w:sz w:val="9"/>
                <w:szCs w:val="9"/>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1"/>
              </w:rPr>
              <w:t>Asia-Pacific</w:t>
            </w:r>
          </w:p>
        </w:tc>
        <w:tc>
          <w:tcPr>
            <w:tcW w:w="140" w:type="dxa"/>
            <w:vAlign w:val="bottom"/>
          </w:tcPr>
          <w:p>
            <w:pPr>
              <w:spacing w:after="0"/>
              <w:rPr>
                <w:sz w:val="9"/>
                <w:szCs w:val="9"/>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Subtotals</w:t>
            </w:r>
          </w:p>
        </w:tc>
        <w:tc>
          <w:tcPr>
            <w:tcW w:w="80" w:type="dxa"/>
            <w:vAlign w:val="bottom"/>
          </w:tcPr>
          <w:p>
            <w:pPr>
              <w:spacing w:after="0"/>
              <w:rPr>
                <w:sz w:val="9"/>
                <w:szCs w:val="9"/>
                <w:color w:val="auto"/>
              </w:rPr>
            </w:pPr>
          </w:p>
        </w:tc>
        <w:tc>
          <w:tcPr>
            <w:tcW w:w="1080" w:type="dxa"/>
            <w:vAlign w:val="bottom"/>
            <w:gridSpan w:val="3"/>
          </w:tcPr>
          <w:p>
            <w:pPr>
              <w:jc w:val="center"/>
              <w:ind w:right="440"/>
              <w:spacing w:after="0" w:line="108" w:lineRule="exact"/>
              <w:rPr>
                <w:sz w:val="20"/>
                <w:szCs w:val="20"/>
                <w:color w:val="auto"/>
              </w:rPr>
            </w:pPr>
            <w:r>
              <w:rPr>
                <w:rFonts w:ascii="Arial" w:cs="Arial" w:eastAsia="Arial" w:hAnsi="Arial"/>
                <w:sz w:val="10"/>
                <w:szCs w:val="10"/>
                <w:b w:val="1"/>
                <w:bCs w:val="1"/>
                <w:color w:val="auto"/>
                <w:w w:val="89"/>
              </w:rPr>
              <w:t>and</w:t>
            </w: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Totals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0"/>
                <w:szCs w:val="10"/>
                <w:b w:val="1"/>
                <w:bCs w:val="1"/>
                <w:color w:val="auto"/>
                <w:w w:val="94"/>
              </w:rPr>
              <w:t>Eliminations</w:t>
            </w:r>
          </w:p>
        </w:tc>
        <w:tc>
          <w:tcPr>
            <w:tcW w:w="7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Year ended July 31, 2007:</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Revenues from external customers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609,855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416,514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336,262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1,362,631</w:t>
            </w:r>
          </w:p>
        </w:tc>
        <w:tc>
          <w:tcPr>
            <w:tcW w:w="80" w:type="dxa"/>
            <w:vAlign w:val="bottom"/>
          </w:tcPr>
          <w:p>
            <w:pPr>
              <w:spacing w:after="0"/>
              <w:rPr>
                <w:sz w:val="13"/>
                <w:szCs w:val="13"/>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1,362,631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Intersegment revenues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52,595</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6,511</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23,554</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82,660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(82,660)</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Depreciation and amortization expense</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23,643</w:t>
            </w: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8,363</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16,913</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48,919</w:t>
            </w:r>
          </w:p>
        </w:tc>
        <w:tc>
          <w:tcPr>
            <w:tcW w:w="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4,937</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53,856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Segment profit (loss)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142,306</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107,552</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57,236</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307,094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(8,208)</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298,886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Assets</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781,868</w:t>
            </w: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347,827</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376,645</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1,506,340</w:t>
            </w:r>
          </w:p>
        </w:tc>
        <w:tc>
          <w:tcPr>
            <w:tcW w:w="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192,517</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1,698,857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Expenditures for property, plant and equipment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19,834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5,849</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15,301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40,984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10,956</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51,940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Year ended July 31, 2006:</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498,916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319,432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200,088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1,018,436</w:t>
            </w:r>
          </w:p>
        </w:tc>
        <w:tc>
          <w:tcPr>
            <w:tcW w:w="8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1,018,436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Intersegment revenues</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54,716</w:t>
            </w: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4,017</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6,376</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65,109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(65,109)</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 expense</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20,407</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6,282</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7,435</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34,124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1,020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35,144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Segment profit (loss)</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122,525</w:t>
            </w: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83,970</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49,316</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255,811</w:t>
            </w: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(10,633)</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245,178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643,206</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255,635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338,424</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1,237,265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127,921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1,365,186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Expenditures for property, plant and equipment</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22,838</w:t>
            </w: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6,397</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7,303</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36,538</w:t>
            </w:r>
          </w:p>
        </w:tc>
        <w:tc>
          <w:tcPr>
            <w:tcW w:w="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2,872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39,410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Year ended July 31, 2005: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Revenues from external customers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417,780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274,691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123,976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816,447</w:t>
            </w:r>
          </w:p>
        </w:tc>
        <w:tc>
          <w:tcPr>
            <w:tcW w:w="80" w:type="dxa"/>
            <w:vAlign w:val="bottom"/>
          </w:tcPr>
          <w:p>
            <w:pPr>
              <w:spacing w:after="0"/>
              <w:rPr>
                <w:sz w:val="13"/>
                <w:szCs w:val="13"/>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816,447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Intersegment revenues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45,284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2,774</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4,402</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52,460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(52,460)</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Depreciation and amortization expense</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17,428</w:t>
            </w: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4,140</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4,323</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25,891</w:t>
            </w:r>
          </w:p>
        </w:tc>
        <w:tc>
          <w:tcPr>
            <w:tcW w:w="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931</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26,822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Segment profit (loss)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98,193</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79,792</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34,228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212,213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(4,845)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207,368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Assets</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446,829</w:t>
            </w: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171,536</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111,048</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729,413</w:t>
            </w:r>
          </w:p>
        </w:tc>
        <w:tc>
          <w:tcPr>
            <w:tcW w:w="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120,734</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850,147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Expenditures for property, plant and equipment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11,858</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1,484</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6,050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19,392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2,528</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8"/>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II-46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rPr>
              <w:t>Years Ended July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3"/>
          </w:tcPr>
          <w:p>
            <w:pPr>
              <w:ind w:left="8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680" w:type="dxa"/>
            <w:vAlign w:val="bottom"/>
            <w:tcBorders>
              <w:bottom w:val="single" w:sz="8" w:color="auto"/>
            </w:tcBorders>
            <w:gridSpan w:val="2"/>
          </w:tcPr>
          <w:p>
            <w:pPr>
              <w:jc w:val="right"/>
              <w:ind w:right="175"/>
              <w:spacing w:after="0" w:line="98" w:lineRule="exact"/>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reconciliation:</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20" w:type="dxa"/>
            <w:vAlign w:val="bottom"/>
            <w:gridSpan w:val="2"/>
          </w:tcPr>
          <w:p>
            <w:pPr>
              <w:spacing w:after="0"/>
              <w:rPr>
                <w:sz w:val="20"/>
                <w:szCs w:val="20"/>
                <w:color w:val="auto"/>
              </w:rPr>
            </w:pPr>
            <w:r>
              <w:rPr>
                <w:rFonts w:ascii="Arial" w:cs="Arial" w:eastAsia="Arial" w:hAnsi="Arial"/>
                <w:sz w:val="13"/>
                <w:szCs w:val="13"/>
                <w:color w:val="auto"/>
              </w:rPr>
              <w:t>Total profit for reportable segments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w w:val="85"/>
              </w:rPr>
              <w:t>307,094</w:t>
            </w:r>
          </w:p>
        </w:tc>
        <w:tc>
          <w:tcPr>
            <w:tcW w:w="260" w:type="dxa"/>
            <w:vAlign w:val="bottom"/>
          </w:tcPr>
          <w:p>
            <w:pPr>
              <w:jc w:val="right"/>
              <w:ind w:right="144"/>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w w:val="85"/>
              </w:rPr>
              <w:t>255,811</w:t>
            </w:r>
          </w:p>
        </w:tc>
        <w:tc>
          <w:tcPr>
            <w:tcW w:w="2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212,213</w:t>
            </w:r>
          </w:p>
        </w:tc>
        <w:tc>
          <w:tcPr>
            <w:tcW w:w="0" w:type="dxa"/>
            <w:vAlign w:val="bottom"/>
          </w:tcPr>
          <w:p>
            <w:pPr>
              <w:spacing w:after="0"/>
              <w:rPr>
                <w:sz w:val="1"/>
                <w:szCs w:val="1"/>
                <w:color w:val="auto"/>
              </w:rPr>
            </w:pPr>
          </w:p>
        </w:tc>
      </w:tr>
      <w:tr>
        <w:trPr>
          <w:trHeight w:val="157"/>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Corporate and eliminations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(8,208)</w:t>
            </w:r>
          </w:p>
        </w:tc>
        <w:tc>
          <w:tcPr>
            <w:tcW w:w="2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0"/>
              </w:rPr>
              <w:t>(10,633)</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(4,845)</w:t>
            </w:r>
          </w:p>
        </w:tc>
        <w:tc>
          <w:tcPr>
            <w:tcW w:w="0" w:type="dxa"/>
            <w:vAlign w:val="bottom"/>
          </w:tcPr>
          <w:p>
            <w:pPr>
              <w:spacing w:after="0"/>
              <w:rPr>
                <w:sz w:val="1"/>
                <w:szCs w:val="1"/>
                <w:color w:val="auto"/>
              </w:rPr>
            </w:pPr>
          </w:p>
        </w:tc>
      </w:tr>
      <w:tr>
        <w:trPr>
          <w:trHeight w:val="157"/>
        </w:trPr>
        <w:tc>
          <w:tcPr>
            <w:tcW w:w="4120" w:type="dxa"/>
            <w:vAlign w:val="bottom"/>
            <w:gridSpan w:val="2"/>
          </w:tcPr>
          <w:p>
            <w:pPr>
              <w:ind w:left="140"/>
              <w:spacing w:after="0"/>
              <w:rPr>
                <w:sz w:val="20"/>
                <w:szCs w:val="20"/>
                <w:color w:val="auto"/>
              </w:rPr>
            </w:pPr>
            <w:r>
              <w:rPr>
                <w:rFonts w:ascii="Arial" w:cs="Arial" w:eastAsia="Arial" w:hAnsi="Arial"/>
                <w:sz w:val="13"/>
                <w:szCs w:val="13"/>
                <w:color w:val="auto"/>
              </w:rPr>
              <w:t>Unallocated amounts: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Administrative costs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308"/>
              <w:spacing w:after="0"/>
              <w:rPr>
                <w:sz w:val="20"/>
                <w:szCs w:val="20"/>
                <w:color w:val="auto"/>
              </w:rPr>
            </w:pPr>
            <w:r>
              <w:rPr>
                <w:rFonts w:ascii="Arial" w:cs="Arial" w:eastAsia="Arial" w:hAnsi="Arial"/>
                <w:sz w:val="13"/>
                <w:szCs w:val="13"/>
                <w:color w:val="auto"/>
              </w:rPr>
              <w:t>(126,899)</w:t>
            </w:r>
          </w:p>
        </w:tc>
        <w:tc>
          <w:tcPr>
            <w:tcW w:w="2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0"/>
              </w:rPr>
              <w:t>(88,662)</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(84,916)</w:t>
            </w:r>
          </w:p>
        </w:tc>
        <w:tc>
          <w:tcPr>
            <w:tcW w:w="0" w:type="dxa"/>
            <w:vAlign w:val="bottom"/>
          </w:tcPr>
          <w:p>
            <w:pPr>
              <w:spacing w:after="0"/>
              <w:rPr>
                <w:sz w:val="1"/>
                <w:szCs w:val="1"/>
                <w:color w:val="auto"/>
              </w:rPr>
            </w:pPr>
          </w:p>
        </w:tc>
      </w:tr>
      <w:tr>
        <w:trPr>
          <w:trHeight w:val="157"/>
        </w:trPr>
        <w:tc>
          <w:tcPr>
            <w:tcW w:w="4120" w:type="dxa"/>
            <w:vAlign w:val="bottom"/>
            <w:gridSpan w:val="2"/>
          </w:tcPr>
          <w:p>
            <w:pPr>
              <w:ind w:left="280"/>
              <w:spacing w:after="0"/>
              <w:rPr>
                <w:sz w:val="20"/>
                <w:szCs w:val="20"/>
                <w:color w:val="auto"/>
              </w:rPr>
            </w:pPr>
            <w:r>
              <w:rPr>
                <w:rFonts w:ascii="Arial" w:cs="Arial" w:eastAsia="Arial" w:hAnsi="Arial"/>
                <w:sz w:val="13"/>
                <w:szCs w:val="13"/>
                <w:color w:val="auto"/>
              </w:rPr>
              <w:t>Investment and other income — net</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2,875</w:t>
            </w:r>
          </w:p>
        </w:tc>
        <w:tc>
          <w:tcPr>
            <w:tcW w:w="26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2,403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1,369</w:t>
            </w:r>
          </w:p>
        </w:tc>
        <w:tc>
          <w:tcPr>
            <w:tcW w:w="0" w:type="dxa"/>
            <w:vAlign w:val="bottom"/>
          </w:tcPr>
          <w:p>
            <w:pPr>
              <w:spacing w:after="0"/>
              <w:rPr>
                <w:sz w:val="1"/>
                <w:szCs w:val="1"/>
                <w:color w:val="auto"/>
              </w:rPr>
            </w:pPr>
          </w:p>
        </w:tc>
      </w:tr>
      <w:tr>
        <w:trPr>
          <w:trHeight w:val="157"/>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w w:val="90"/>
              </w:rPr>
              <w:t>(22,934)</w:t>
            </w:r>
          </w:p>
        </w:tc>
        <w:tc>
          <w:tcPr>
            <w:tcW w:w="2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0"/>
              </w:rPr>
              <w:t>(14,231)</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(8,403)</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400"/>
              <w:spacing w:after="0"/>
              <w:rPr>
                <w:sz w:val="20"/>
                <w:szCs w:val="20"/>
                <w:color w:val="auto"/>
              </w:rPr>
            </w:pPr>
            <w:r>
              <w:rPr>
                <w:rFonts w:ascii="Arial" w:cs="Arial" w:eastAsia="Arial" w:hAnsi="Arial"/>
                <w:sz w:val="13"/>
                <w:szCs w:val="13"/>
                <w:color w:val="auto"/>
              </w:rPr>
              <w:t>Income before income taxes</w:t>
            </w: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w w:val="85"/>
              </w:rPr>
              <w:t>151,928</w:t>
            </w:r>
          </w:p>
        </w:tc>
        <w:tc>
          <w:tcPr>
            <w:tcW w:w="26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w w:val="85"/>
              </w:rPr>
              <w:t>144,688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115,418</w:t>
            </w:r>
          </w:p>
        </w:tc>
        <w:tc>
          <w:tcPr>
            <w:tcW w:w="0" w:type="dxa"/>
            <w:vAlign w:val="bottom"/>
          </w:tcPr>
          <w:p>
            <w:pPr>
              <w:spacing w:after="0"/>
              <w:rPr>
                <w:sz w:val="1"/>
                <w:szCs w:val="1"/>
                <w:color w:val="auto"/>
              </w:rPr>
            </w:pPr>
          </w:p>
        </w:tc>
      </w:tr>
      <w:tr>
        <w:trPr>
          <w:trHeight w:val="158"/>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Income taxes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w w:val="90"/>
              </w:rPr>
              <w:t>(42,540)</w:t>
            </w:r>
          </w:p>
        </w:tc>
        <w:tc>
          <w:tcPr>
            <w:tcW w:w="2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0"/>
              </w:rPr>
              <w:t>(40,513)</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(33,471)</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540"/>
              <w:spacing w:after="0"/>
              <w:rPr>
                <w:sz w:val="20"/>
                <w:szCs w:val="20"/>
                <w:color w:val="auto"/>
              </w:rPr>
            </w:pPr>
            <w:r>
              <w:rPr>
                <w:rFonts w:ascii="Arial" w:cs="Arial" w:eastAsia="Arial" w:hAnsi="Arial"/>
                <w:sz w:val="13"/>
                <w:szCs w:val="13"/>
                <w:color w:val="auto"/>
              </w:rPr>
              <w:t>Net income</w:t>
            </w: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w w:val="85"/>
              </w:rPr>
              <w:t>109,388</w:t>
            </w:r>
          </w:p>
        </w:tc>
        <w:tc>
          <w:tcPr>
            <w:tcW w:w="260" w:type="dxa"/>
            <w:vAlign w:val="bottom"/>
          </w:tcPr>
          <w:p>
            <w:pPr>
              <w:jc w:val="right"/>
              <w:ind w:right="144"/>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w w:val="85"/>
              </w:rPr>
              <w:t>104,175</w:t>
            </w:r>
          </w:p>
        </w:tc>
        <w:tc>
          <w:tcPr>
            <w:tcW w:w="2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81,947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3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3"/>
              </w:rPr>
              <w:t>Revenues*</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gridSpan w:val="5"/>
          </w:tcPr>
          <w:p>
            <w:pPr>
              <w:jc w:val="right"/>
              <w:ind w:right="180"/>
              <w:spacing w:after="0"/>
              <w:rPr>
                <w:sz w:val="20"/>
                <w:szCs w:val="20"/>
                <w:color w:val="auto"/>
              </w:rPr>
            </w:pPr>
            <w:r>
              <w:rPr>
                <w:rFonts w:ascii="Arial" w:cs="Arial" w:eastAsia="Arial" w:hAnsi="Arial"/>
                <w:sz w:val="10"/>
                <w:szCs w:val="10"/>
                <w:b w:val="1"/>
                <w:bCs w:val="1"/>
                <w:color w:val="auto"/>
              </w:rPr>
              <w:t>Long-Lived Assets**</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0"/>
                <w:szCs w:val="10"/>
                <w:b w:val="1"/>
                <w:bCs w:val="1"/>
                <w:color w:val="auto"/>
                <w:w w:val="93"/>
              </w:rPr>
              <w:t>Years Ended July 31,</w:t>
            </w: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0"/>
                <w:szCs w:val="10"/>
                <w:b w:val="1"/>
                <w:bCs w:val="1"/>
                <w:color w:val="auto"/>
              </w:rPr>
              <w:t>As of Years Ended July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7"/>
              <w:spacing w:after="0" w:line="98" w:lineRule="exact"/>
              <w:rPr>
                <w:sz w:val="20"/>
                <w:szCs w:val="20"/>
                <w:color w:val="auto"/>
              </w:rPr>
            </w:pPr>
            <w:r>
              <w:rPr>
                <w:rFonts w:ascii="Arial" w:cs="Arial" w:eastAsia="Arial" w:hAnsi="Arial"/>
                <w:sz w:val="10"/>
                <w:szCs w:val="10"/>
                <w:b w:val="1"/>
                <w:bCs w:val="1"/>
                <w:color w:val="auto"/>
              </w:rPr>
              <w:t>2007</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278"/>
              <w:spacing w:after="0" w:line="98" w:lineRule="exact"/>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jc w:val="right"/>
              <w:ind w:right="288"/>
              <w:spacing w:after="0" w:line="98" w:lineRule="exact"/>
              <w:rPr>
                <w:sz w:val="20"/>
                <w:szCs w:val="20"/>
                <w:color w:val="auto"/>
              </w:rPr>
            </w:pPr>
            <w:r>
              <w:rPr>
                <w:rFonts w:ascii="Arial" w:cs="Arial" w:eastAsia="Arial" w:hAnsi="Arial"/>
                <w:sz w:val="10"/>
                <w:szCs w:val="10"/>
                <w:b w:val="1"/>
                <w:bCs w:val="1"/>
                <w:color w:val="auto"/>
              </w:rPr>
              <w:t>2007</w:t>
            </w:r>
          </w:p>
        </w:tc>
        <w:tc>
          <w:tcPr>
            <w:tcW w:w="260" w:type="dxa"/>
            <w:vAlign w:val="bottom"/>
          </w:tcPr>
          <w:p>
            <w:pPr>
              <w:spacing w:after="0"/>
              <w:rPr>
                <w:sz w:val="8"/>
                <w:szCs w:val="8"/>
                <w:color w:val="auto"/>
              </w:rPr>
            </w:pPr>
          </w:p>
        </w:tc>
        <w:tc>
          <w:tcPr>
            <w:tcW w:w="4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Geographic information:</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20" w:type="dxa"/>
            <w:vAlign w:val="bottom"/>
            <w:gridSpan w:val="2"/>
          </w:tcPr>
          <w:p>
            <w:pPr>
              <w:ind w:left="140"/>
              <w:spacing w:after="0"/>
              <w:rPr>
                <w:sz w:val="20"/>
                <w:szCs w:val="20"/>
                <w:color w:val="auto"/>
              </w:rPr>
            </w:pPr>
            <w:r>
              <w:rPr>
                <w:rFonts w:ascii="Arial" w:cs="Arial" w:eastAsia="Arial" w:hAnsi="Arial"/>
                <w:sz w:val="13"/>
                <w:szCs w:val="13"/>
                <w:color w:val="auto"/>
              </w:rPr>
              <w:t>United States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589,013</w:t>
            </w:r>
          </w:p>
        </w:tc>
        <w:tc>
          <w:tcPr>
            <w:tcW w:w="4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484,387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3"/>
          </w:tcPr>
          <w:p>
            <w:pPr>
              <w:jc w:val="right"/>
              <w:ind w:right="120"/>
              <w:spacing w:after="0"/>
              <w:rPr>
                <w:sz w:val="20"/>
                <w:szCs w:val="20"/>
                <w:color w:val="auto"/>
              </w:rPr>
            </w:pPr>
            <w:r>
              <w:rPr>
                <w:rFonts w:ascii="Arial" w:cs="Arial" w:eastAsia="Arial" w:hAnsi="Arial"/>
                <w:sz w:val="13"/>
                <w:szCs w:val="13"/>
                <w:color w:val="auto"/>
              </w:rPr>
              <w:t>411,614</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537,182</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3"/>
                <w:szCs w:val="13"/>
                <w:color w:val="auto"/>
              </w:rPr>
              <w:t>439,467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321,482</w:t>
            </w:r>
          </w:p>
        </w:tc>
        <w:tc>
          <w:tcPr>
            <w:tcW w:w="0" w:type="dxa"/>
            <w:vAlign w:val="bottom"/>
          </w:tcPr>
          <w:p>
            <w:pPr>
              <w:spacing w:after="0"/>
              <w:rPr>
                <w:sz w:val="1"/>
                <w:szCs w:val="1"/>
                <w:color w:val="auto"/>
              </w:rPr>
            </w:pPr>
          </w:p>
        </w:tc>
      </w:tr>
      <w:tr>
        <w:trPr>
          <w:trHeight w:val="157"/>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China</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184,413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90,519</w:t>
            </w: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41,480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121,181</w:t>
            </w: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114,653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8,669</w:t>
            </w:r>
          </w:p>
        </w:tc>
        <w:tc>
          <w:tcPr>
            <w:tcW w:w="0" w:type="dxa"/>
            <w:vAlign w:val="bottom"/>
          </w:tcPr>
          <w:p>
            <w:pPr>
              <w:spacing w:after="0"/>
              <w:rPr>
                <w:sz w:val="1"/>
                <w:szCs w:val="1"/>
                <w:color w:val="auto"/>
              </w:rPr>
            </w:pPr>
          </w:p>
        </w:tc>
      </w:tr>
      <w:tr>
        <w:trPr>
          <w:trHeight w:val="157"/>
        </w:trPr>
        <w:tc>
          <w:tcPr>
            <w:tcW w:w="4120" w:type="dxa"/>
            <w:vAlign w:val="bottom"/>
            <w:gridSpan w:val="2"/>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671,865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508,639</w:t>
            </w:r>
          </w:p>
        </w:tc>
        <w:tc>
          <w:tcPr>
            <w:tcW w:w="160" w:type="dxa"/>
            <w:vAlign w:val="bottom"/>
          </w:tcPr>
          <w:p>
            <w:pPr>
              <w:spacing w:after="0"/>
              <w:rPr>
                <w:sz w:val="13"/>
                <w:szCs w:val="13"/>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3"/>
                <w:szCs w:val="13"/>
                <w:color w:val="auto"/>
              </w:rPr>
              <w:t>415,813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403,462</w:t>
            </w:r>
          </w:p>
        </w:tc>
        <w:tc>
          <w:tcPr>
            <w:tcW w:w="260" w:type="dxa"/>
            <w:vAlign w:val="bottom"/>
          </w:tcPr>
          <w:p>
            <w:pPr>
              <w:spacing w:after="0"/>
              <w:rPr>
                <w:sz w:val="13"/>
                <w:szCs w:val="13"/>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3"/>
                <w:szCs w:val="13"/>
                <w:color w:val="auto"/>
              </w:rPr>
              <w:t>307,539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172,276</w:t>
            </w:r>
          </w:p>
        </w:tc>
        <w:tc>
          <w:tcPr>
            <w:tcW w:w="0" w:type="dxa"/>
            <w:vAlign w:val="bottom"/>
          </w:tcPr>
          <w:p>
            <w:pPr>
              <w:spacing w:after="0"/>
              <w:rPr>
                <w:sz w:val="1"/>
                <w:szCs w:val="1"/>
                <w:color w:val="auto"/>
              </w:rPr>
            </w:pPr>
          </w:p>
        </w:tc>
      </w:tr>
      <w:tr>
        <w:trPr>
          <w:trHeight w:val="157"/>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Eliminations</w:t>
            </w:r>
          </w:p>
        </w:tc>
        <w:tc>
          <w:tcPr>
            <w:tcW w:w="2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(82,660)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(65,109)</w:t>
            </w: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(52,460)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280"/>
              <w:spacing w:after="0"/>
              <w:rPr>
                <w:sz w:val="20"/>
                <w:szCs w:val="20"/>
                <w:color w:val="auto"/>
              </w:rPr>
            </w:pPr>
            <w:r>
              <w:rPr>
                <w:rFonts w:ascii="Arial" w:cs="Arial" w:eastAsia="Arial" w:hAnsi="Arial"/>
                <w:sz w:val="13"/>
                <w:szCs w:val="13"/>
                <w:color w:val="auto"/>
              </w:rPr>
              <w:t>Consolidated total</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120" w:type="dxa"/>
            <w:vAlign w:val="bottom"/>
            <w:gridSpan w:val="2"/>
            <w:vMerge w:val="continue"/>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1,362,631</w:t>
            </w:r>
          </w:p>
        </w:tc>
        <w:tc>
          <w:tcPr>
            <w:tcW w:w="4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1,018,436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3"/>
          </w:tcPr>
          <w:p>
            <w:pPr>
              <w:jc w:val="right"/>
              <w:ind w:right="120"/>
              <w:spacing w:after="0"/>
              <w:rPr>
                <w:sz w:val="20"/>
                <w:szCs w:val="20"/>
                <w:color w:val="auto"/>
              </w:rPr>
            </w:pPr>
            <w:r>
              <w:rPr>
                <w:rFonts w:ascii="Arial" w:cs="Arial" w:eastAsia="Arial" w:hAnsi="Arial"/>
                <w:sz w:val="13"/>
                <w:szCs w:val="13"/>
                <w:color w:val="auto"/>
              </w:rPr>
              <w:t>816,447</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1,061,825</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3"/>
                <w:szCs w:val="13"/>
                <w:color w:val="auto"/>
              </w:rPr>
              <w:t>861,659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502,427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172"/>
        <w:spacing w:after="0"/>
        <w:tabs>
          <w:tab w:leader="none" w:pos="10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Revenues are attributed based on country of origin.</w:t>
      </w:r>
    </w:p>
    <w:p>
      <w:pPr>
        <w:spacing w:after="0" w:line="47" w:lineRule="exact"/>
        <w:rPr>
          <w:rFonts w:ascii="Arial" w:cs="Arial" w:eastAsia="Arial" w:hAnsi="Arial"/>
          <w:sz w:val="13"/>
          <w:szCs w:val="13"/>
          <w:color w:val="auto"/>
        </w:rPr>
      </w:pPr>
    </w:p>
    <w:p>
      <w:pPr>
        <w:ind w:left="1000" w:hanging="313"/>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Long-lived assets consist of property, plant, and equipment, other intangible assets and goodwill.</w:t>
      </w:r>
    </w:p>
    <w:p>
      <w:pPr>
        <w:spacing w:after="0" w:line="13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000" w:hanging="313"/>
        <w:spacing w:after="0"/>
        <w:tabs>
          <w:tab w:leader="none" w:pos="100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Net Income Per Common Share</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Net income per Common Share is computed by dividing net income (after deducting the applicable preferential Class A Common Stock dividends) by the weighted average Common Shares outstanding of 53,906,769 for 2007, 49,493,976 for 2006, and 48,967,160 for 2005. The preferential dividend on the Class A Common Stock of $.01665 per share has been added to the net income per Class A Common Share for all years presented.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Reconciliations of the numerator and denominator of the basic and diluted per share computations for the Company’s Class A and Class B common stock are summarized as follows:</w:t>
      </w:r>
    </w:p>
    <w:p>
      <w:pPr>
        <w:spacing w:after="0" w:line="12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0"/>
                <w:szCs w:val="10"/>
                <w:b w:val="1"/>
                <w:bCs w:val="1"/>
                <w:color w:val="auto"/>
              </w:rPr>
              <w:t>Years ended July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5"/>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Net income (numerator for basic and diluted Class A net income per share)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109,388</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104,175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81,947</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Preferential dividends</w:t>
            </w:r>
          </w:p>
        </w:tc>
        <w:tc>
          <w:tcPr>
            <w:tcW w:w="1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(836)</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(758)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(751)</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Preferential dividends on dilutive stock options</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40"/>
              <w:spacing w:after="0"/>
              <w:rPr>
                <w:sz w:val="20"/>
                <w:szCs w:val="20"/>
                <w:color w:val="auto"/>
              </w:rPr>
            </w:pPr>
            <w:r>
              <w:rPr>
                <w:rFonts w:ascii="Arial" w:cs="Arial" w:eastAsia="Arial" w:hAnsi="Arial"/>
                <w:sz w:val="13"/>
                <w:szCs w:val="13"/>
                <w:color w:val="auto"/>
              </w:rPr>
              <w:t>Numerator for basic and diluted Class B net income per share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1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108,537</w:t>
            </w:r>
          </w:p>
        </w:tc>
        <w:tc>
          <w:tcPr>
            <w:tcW w:w="12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103,402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81,173</w:t>
            </w:r>
          </w:p>
        </w:tc>
        <w:tc>
          <w:tcPr>
            <w:tcW w:w="0" w:type="dxa"/>
            <w:vAlign w:val="bottom"/>
          </w:tcPr>
          <w:p>
            <w:pPr>
              <w:spacing w:after="0"/>
              <w:rPr>
                <w:sz w:val="1"/>
                <w:szCs w:val="1"/>
                <w:color w:val="auto"/>
              </w:rPr>
            </w:pPr>
          </w:p>
        </w:tc>
      </w:tr>
      <w:tr>
        <w:trPr>
          <w:trHeight w:val="165"/>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Denominator for basic net income per share for both Class A and B</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53,907</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49,494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48,967</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Plus: effect of dilutive stock options</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834</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847</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Treasury shares — deferred compensation plan</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Denominator for diluted net income per share for both Class A and B</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54,741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50,385</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49,859</w:t>
            </w:r>
          </w:p>
        </w:tc>
        <w:tc>
          <w:tcPr>
            <w:tcW w:w="0" w:type="dxa"/>
            <w:vAlign w:val="bottom"/>
          </w:tcPr>
          <w:p>
            <w:pPr>
              <w:spacing w:after="0"/>
              <w:rPr>
                <w:sz w:val="1"/>
                <w:szCs w:val="1"/>
                <w:color w:val="auto"/>
              </w:rPr>
            </w:pPr>
          </w:p>
        </w:tc>
      </w:tr>
      <w:tr>
        <w:trPr>
          <w:trHeight w:val="166"/>
        </w:trPr>
        <w:tc>
          <w:tcPr>
            <w:tcW w:w="7100" w:type="dxa"/>
            <w:vAlign w:val="bottom"/>
          </w:tcPr>
          <w:p>
            <w:pPr>
              <w:ind w:left="140"/>
              <w:spacing w:after="0"/>
              <w:rPr>
                <w:sz w:val="20"/>
                <w:szCs w:val="20"/>
                <w:color w:val="auto"/>
              </w:rPr>
            </w:pPr>
            <w:r>
              <w:rPr>
                <w:rFonts w:ascii="Arial" w:cs="Arial" w:eastAsia="Arial" w:hAnsi="Arial"/>
                <w:sz w:val="13"/>
                <w:szCs w:val="13"/>
                <w:color w:val="auto"/>
              </w:rPr>
              <w:t>Class A common stock net income per share calculation:</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2.00</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2.07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Class B common stock net income per share calculation:</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Basic</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2.01</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Options to purchase 1,132,750, 650,500 and 38,000 shares of Class A common stock were excluded from the computations of diluted net income per share for years ended July 31, 2007, 2006 and 2005, respectively, because the option exercise prices were greater than the average market price of the common shares and, therefore, the effect would be antidilutive.</w:t>
      </w: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Company has entered into various noncancellable operating lease agreements. Rental expense charged to operations on a straight-line basis was $22,779, $15,181 and $14,020 for the years ended July 31, 2007, 2006 and 2005, respectively. Future minimum lease payments required under such leases in effect at July 31, 2007 are as follows, for the years ending July 31:</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23,097</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2009</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18,762</w:t>
            </w: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13,778</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6,639</w:t>
            </w: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3,986</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Thereafter</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5,580</w:t>
            </w:r>
          </w:p>
        </w:tc>
      </w:tr>
      <w:tr>
        <w:trPr>
          <w:trHeight w:val="20"/>
        </w:trPr>
        <w:tc>
          <w:tcPr>
            <w:tcW w:w="9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71,842</w:t>
            </w:r>
          </w:p>
        </w:tc>
      </w:tr>
      <w:tr>
        <w:trPr>
          <w:trHeight w:val="29"/>
        </w:trPr>
        <w:tc>
          <w:tcPr>
            <w:tcW w:w="9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adverse effect on the consolidated financial statements of the Company.</w:t>
      </w:r>
    </w:p>
    <w:p>
      <w:pPr>
        <w:spacing w:after="0" w:line="110" w:lineRule="exact"/>
        <w:rPr>
          <w:sz w:val="20"/>
          <w:szCs w:val="20"/>
          <w:color w:val="auto"/>
        </w:rPr>
      </w:pPr>
    </w:p>
    <w:p>
      <w:pPr>
        <w:ind w:left="1180" w:hanging="493"/>
        <w:spacing w:after="0"/>
        <w:tabs>
          <w:tab w:leader="none" w:pos="118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Unaudited Quarterly Financial Information</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Quarters</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4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ind w:left="100"/>
              <w:spacing w:after="0" w:line="98" w:lineRule="exact"/>
              <w:rPr>
                <w:sz w:val="20"/>
                <w:szCs w:val="20"/>
                <w:color w:val="auto"/>
              </w:rPr>
            </w:pPr>
            <w:r>
              <w:rPr>
                <w:rFonts w:ascii="Arial" w:cs="Arial" w:eastAsia="Arial" w:hAnsi="Arial"/>
                <w:sz w:val="10"/>
                <w:szCs w:val="10"/>
                <w:b w:val="1"/>
                <w:bCs w:val="1"/>
                <w:color w:val="auto"/>
              </w:rPr>
              <w:t>First</w:t>
            </w:r>
          </w:p>
        </w:tc>
        <w:tc>
          <w:tcPr>
            <w:tcW w:w="140" w:type="dxa"/>
            <w:vAlign w:val="bottom"/>
          </w:tcPr>
          <w:p>
            <w:pPr>
              <w:spacing w:after="0"/>
              <w:rPr>
                <w:sz w:val="8"/>
                <w:szCs w:val="8"/>
                <w:color w:val="auto"/>
              </w:rPr>
            </w:pPr>
          </w:p>
        </w:tc>
        <w:tc>
          <w:tcPr>
            <w:tcW w:w="960" w:type="dxa"/>
            <w:vAlign w:val="bottom"/>
            <w:gridSpan w:val="2"/>
          </w:tcPr>
          <w:p>
            <w:pPr>
              <w:ind w:left="60"/>
              <w:spacing w:after="0" w:line="98" w:lineRule="exact"/>
              <w:rPr>
                <w:sz w:val="20"/>
                <w:szCs w:val="20"/>
                <w:color w:val="auto"/>
              </w:rPr>
            </w:pPr>
            <w:r>
              <w:rPr>
                <w:rFonts w:ascii="Arial" w:cs="Arial" w:eastAsia="Arial" w:hAnsi="Arial"/>
                <w:sz w:val="10"/>
                <w:szCs w:val="10"/>
                <w:b w:val="1"/>
                <w:bCs w:val="1"/>
                <w:color w:val="auto"/>
              </w:rPr>
              <w:t>Second</w:t>
            </w:r>
          </w:p>
        </w:tc>
        <w:tc>
          <w:tcPr>
            <w:tcW w:w="140" w:type="dxa"/>
            <w:vAlign w:val="bottom"/>
          </w:tcPr>
          <w:p>
            <w:pPr>
              <w:spacing w:after="0"/>
              <w:rPr>
                <w:sz w:val="8"/>
                <w:szCs w:val="8"/>
                <w:color w:val="auto"/>
              </w:rPr>
            </w:pPr>
          </w:p>
        </w:tc>
        <w:tc>
          <w:tcPr>
            <w:tcW w:w="940" w:type="dxa"/>
            <w:vAlign w:val="bottom"/>
            <w:gridSpan w:val="2"/>
          </w:tcPr>
          <w:p>
            <w:pPr>
              <w:ind w:left="80"/>
              <w:spacing w:after="0" w:line="98" w:lineRule="exact"/>
              <w:rPr>
                <w:sz w:val="20"/>
                <w:szCs w:val="20"/>
                <w:color w:val="auto"/>
              </w:rPr>
            </w:pPr>
            <w:r>
              <w:rPr>
                <w:rFonts w:ascii="Arial" w:cs="Arial" w:eastAsia="Arial" w:hAnsi="Arial"/>
                <w:sz w:val="10"/>
                <w:szCs w:val="10"/>
                <w:b w:val="1"/>
                <w:bCs w:val="1"/>
                <w:color w:val="auto"/>
              </w:rPr>
              <w:t>Third</w:t>
            </w:r>
          </w:p>
        </w:tc>
        <w:tc>
          <w:tcPr>
            <w:tcW w:w="100" w:type="dxa"/>
            <w:vAlign w:val="bottom"/>
          </w:tcPr>
          <w:p>
            <w:pPr>
              <w:spacing w:after="0"/>
              <w:rPr>
                <w:sz w:val="8"/>
                <w:szCs w:val="8"/>
                <w:color w:val="auto"/>
              </w:rPr>
            </w:pPr>
          </w:p>
        </w:tc>
        <w:tc>
          <w:tcPr>
            <w:tcW w:w="1000" w:type="dxa"/>
            <w:vAlign w:val="bottom"/>
            <w:gridSpan w:val="2"/>
          </w:tcPr>
          <w:p>
            <w:pPr>
              <w:ind w:left="40"/>
              <w:spacing w:after="0" w:line="98" w:lineRule="exact"/>
              <w:rPr>
                <w:sz w:val="20"/>
                <w:szCs w:val="20"/>
                <w:color w:val="auto"/>
              </w:rPr>
            </w:pPr>
            <w:r>
              <w:rPr>
                <w:rFonts w:ascii="Arial" w:cs="Arial" w:eastAsia="Arial" w:hAnsi="Arial"/>
                <w:sz w:val="10"/>
                <w:szCs w:val="10"/>
                <w:b w:val="1"/>
                <w:bCs w:val="1"/>
                <w:color w:val="auto"/>
              </w:rPr>
              <w:t>Fourth(1)</w:t>
            </w:r>
          </w:p>
        </w:tc>
        <w:tc>
          <w:tcPr>
            <w:tcW w:w="200" w:type="dxa"/>
            <w:vAlign w:val="bottom"/>
          </w:tcPr>
          <w:p>
            <w:pPr>
              <w:spacing w:after="0"/>
              <w:rPr>
                <w:sz w:val="8"/>
                <w:szCs w:val="8"/>
                <w:color w:val="auto"/>
              </w:rPr>
            </w:pPr>
          </w:p>
        </w:tc>
        <w:tc>
          <w:tcPr>
            <w:tcW w:w="680" w:type="dxa"/>
            <w:vAlign w:val="bottom"/>
          </w:tcPr>
          <w:p>
            <w:pPr>
              <w:ind w:left="12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r>
      <w:tr>
        <w:trPr>
          <w:trHeight w:val="29"/>
        </w:trPr>
        <w:tc>
          <w:tcPr>
            <w:tcW w:w="4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Net Sales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332,259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321,275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346,332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362,765</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1,362,631</w:t>
            </w: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Gross Margin</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164,128</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150,161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169,151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173,604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657,044</w:t>
            </w: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Operating Income</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51,941</w:t>
            </w:r>
          </w:p>
        </w:tc>
        <w:tc>
          <w:tcPr>
            <w:tcW w:w="14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32,724</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46,303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41,019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171,987</w:t>
            </w: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34,448</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19,709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28,987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26,244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109,388</w:t>
            </w: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Net Income Per Class A Common Share:</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0.64</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0.49</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w:t>
            </w: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0.63</w:t>
            </w:r>
          </w:p>
        </w:tc>
        <w:tc>
          <w:tcPr>
            <w:tcW w:w="14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0.36</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0.53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0.48</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2.00</w:t>
            </w: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Net Sales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232,635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230,974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266,494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288,333</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1,018,436</w:t>
            </w: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Gross Margin</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123,991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117,105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140,755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143,904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525,755</w:t>
            </w: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Operating Income</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44,129</w:t>
            </w:r>
          </w:p>
        </w:tc>
        <w:tc>
          <w:tcPr>
            <w:tcW w:w="14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31,276</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44,226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36,885</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156,516</w:t>
            </w: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30,198</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21,254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30,246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22,477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104,175</w:t>
            </w: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Net Income Per Class A Common Share:</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0.62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2.10</w:t>
            </w:r>
          </w:p>
        </w:tc>
      </w:tr>
      <w:tr>
        <w:trPr>
          <w:trHeight w:val="165"/>
        </w:trPr>
        <w:tc>
          <w:tcPr>
            <w:tcW w:w="46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0.60</w:t>
            </w: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0.43</w:t>
            </w: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0.61</w:t>
            </w: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0.43</w:t>
            </w:r>
          </w:p>
        </w:tc>
        <w:tc>
          <w:tcPr>
            <w:tcW w:w="2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3"/>
          <w:szCs w:val="13"/>
          <w:color w:val="auto"/>
        </w:rPr>
        <w:t>(1)  The following significant events affect the comparability of the fourth quarter results for fiscal 2007 and 2006:</w:t>
      </w:r>
    </w:p>
    <w:p>
      <w:pPr>
        <w:spacing w:after="0" w:line="96" w:lineRule="exact"/>
        <w:rPr>
          <w:sz w:val="20"/>
          <w:szCs w:val="20"/>
          <w:color w:val="auto"/>
        </w:rPr>
      </w:pPr>
    </w:p>
    <w:p>
      <w:pPr>
        <w:ind w:left="1060" w:hanging="68"/>
        <w:spacing w:after="0"/>
        <w:tabs>
          <w:tab w:leader="none" w:pos="10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Throughout fiscal 2007, the Company completed seven acquisitions. Refer to Note 2. Acquisitions of Businesses for further information on the companies acquired.</w:t>
      </w:r>
    </w:p>
    <w:p>
      <w:pPr>
        <w:spacing w:after="0" w:line="86" w:lineRule="exact"/>
        <w:rPr>
          <w:rFonts w:ascii="Arial" w:cs="Arial" w:eastAsia="Arial" w:hAnsi="Arial"/>
          <w:sz w:val="13"/>
          <w:szCs w:val="13"/>
          <w:color w:val="auto"/>
        </w:rPr>
      </w:pPr>
    </w:p>
    <w:p>
      <w:pPr>
        <w:ind w:left="1080" w:hanging="88"/>
        <w:spacing w:after="0"/>
        <w:tabs>
          <w:tab w:leader="none" w:pos="10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 the fourth quarter of fiscal 2007, the Company recorded $7.5 million of pretax costs ($5.4 million after-tax, or $0.10 per diluted share) associated with cost reduction activities.</w:t>
      </w: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Disclosure Controls and Procedures: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carried out an evaluation, under the supervision and with the participation of its management, including the Chief Executive Officer and Chief Financial Officer, of the effectiveness of the design and operation of the Company’s “disclosure controls and procedures” (as defined in the Exchange Act Rule 13a — 15(e)) as of the end of the period covered by this report. Based on that evaluation, the Company’s Chief Executive Officer and Chief Financial Officer concluded that the Company’s disclosure controls and procedures are effective as of July 31,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management of Brady Corporation and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principals.</w:t>
      </w:r>
    </w:p>
    <w:p>
      <w:pPr>
        <w:spacing w:after="0" w:line="5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 xml:space="preserve">With the participation of the Chief Executive Officer and the Chief Financial Officer, our management conducted an evaluation of the effectiveness of our internal control over financial reporting as of July 31, 2007, based on the framework and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issued by the Committee of Sponsoring Organizations of the Treadway Commission. Based on the assessment, management concluded that, as of July 31, 2007, the Company’s internal control over financial reporting is effective based on those criteria. Management’s assessment of the effectiveness of the Company’s internal control over financial reporting, as of July 31, 2007, has been audited by Deloitte &amp; Touche LLP, an independent registered public accounting firm, as stated in their report, which is included herein.</w:t>
      </w:r>
    </w:p>
    <w:p>
      <w:pPr>
        <w:spacing w:after="0" w:line="71"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Company is in the process of implementing its enterprise resource planning system, SAP, to many of its locations around the world. This implementation has resulted in certain changes to business processes and internal controls impacting financial reporting. Management is taking the necessary steps to monitor and maintain appropriate internal controls during this period of change.</w:t>
      </w:r>
    </w:p>
    <w:p>
      <w:pPr>
        <w:spacing w:after="0" w:line="67"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There were no other changes in the Company’s internal control over financial reporting that occurred during the Company’s most recently completed fiscal quarter that have materially affected, or are reasonably likely to materially affect, the Company’s internal control over financial reporting.</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Brady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Milwaukee, WI</w:t>
      </w:r>
    </w:p>
    <w:p>
      <w:pPr>
        <w:spacing w:after="0" w:line="6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We have audited management’s assessment, included in the accompanying Management’s Report on Internal Control over Financial Reporting, that Brady Corporation and subsidiaries (the “Company”) maintained effective internal control over financial reporting as of July 31, 2007,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4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23" w:lineRule="exact"/>
        <w:rPr>
          <w:sz w:val="20"/>
          <w:szCs w:val="20"/>
          <w:color w:val="auto"/>
        </w:rPr>
      </w:pPr>
    </w:p>
    <w:p>
      <w:pPr>
        <w:ind w:left="680" w:right="60" w:firstLine="399"/>
        <w:spacing w:after="0" w:line="300" w:lineRule="auto"/>
        <w:rPr>
          <w:sz w:val="20"/>
          <w:szCs w:val="20"/>
          <w:color w:val="auto"/>
        </w:rPr>
      </w:pPr>
      <w:r>
        <w:rPr>
          <w:rFonts w:ascii="Arial" w:cs="Arial" w:eastAsia="Arial" w:hAnsi="Arial"/>
          <w:sz w:val="11"/>
          <w:szCs w:val="1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left="680" w:right="260" w:firstLine="7"/>
        <w:spacing w:after="0" w:line="264" w:lineRule="auto"/>
        <w:tabs>
          <w:tab w:leader="none" w:pos="866" w:val="left"/>
        </w:tabs>
        <w:numPr>
          <w:ilvl w:val="0"/>
          <w:numId w:val="32"/>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4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4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In our opinion, management’s assessment that the Company maintained effective internal control over financial reporting as of July 31, 2007, is fairly stated, in all material respects, based on the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Also in our opinion, the Company maintained, in all material respects, effective internal control over financial reporting as of July 31, 2007, based on the criteria established in </w:t>
      </w:r>
      <w:r>
        <w:rPr>
          <w:rFonts w:ascii="Arial" w:cs="Arial" w:eastAsia="Arial" w:hAnsi="Arial"/>
          <w:sz w:val="13"/>
          <w:szCs w:val="13"/>
          <w:i w:val="1"/>
          <w:iCs w:val="1"/>
          <w:color w:val="auto"/>
        </w:rPr>
        <w:t>Internal Control — Integrated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Framework </w:t>
      </w:r>
      <w:r>
        <w:rPr>
          <w:rFonts w:ascii="Arial" w:cs="Arial" w:eastAsia="Arial" w:hAnsi="Arial"/>
          <w:sz w:val="13"/>
          <w:szCs w:val="13"/>
          <w:color w:val="auto"/>
        </w:rPr>
        <w:t>issued by the Committee of Sponsoring Organizations of the Treadway Commission.</w:t>
      </w:r>
    </w:p>
    <w:p>
      <w:pPr>
        <w:spacing w:after="0" w:line="40" w:lineRule="exact"/>
        <w:rPr>
          <w:sz w:val="20"/>
          <w:szCs w:val="20"/>
          <w:color w:val="auto"/>
        </w:rPr>
      </w:pPr>
    </w:p>
    <w:p>
      <w:pPr>
        <w:ind w:left="680" w:right="200" w:firstLine="399"/>
        <w:spacing w:after="0" w:line="371" w:lineRule="auto"/>
        <w:rPr>
          <w:sz w:val="20"/>
          <w:szCs w:val="20"/>
          <w:color w:val="auto"/>
        </w:rPr>
      </w:pPr>
      <w:r>
        <w:rPr>
          <w:rFonts w:ascii="Arial" w:cs="Arial" w:eastAsia="Arial" w:hAnsi="Arial"/>
          <w:sz w:val="11"/>
          <w:szCs w:val="11"/>
          <w:color w:val="auto"/>
        </w:rPr>
        <w:t>We have also audited, in accordance with the standards of the Public Company Accounting Oversight Board (United States), the consolidated financial statements as of and for the year ended July 31, 2007 of the Company and our report dated September 27, 2007 expressed an unqualified opinion on those financial statements and financial statement schedule.</w:t>
      </w:r>
    </w:p>
    <w:p>
      <w:pPr>
        <w:spacing w:after="0" w:line="9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ELOITTE</w:t>
      </w:r>
      <w:r>
        <w:rPr>
          <w:rFonts w:ascii="Arial" w:cs="Arial" w:eastAsia="Arial" w:hAnsi="Arial"/>
          <w:sz w:val="13"/>
          <w:szCs w:val="13"/>
          <w:color w:val="auto"/>
        </w:rPr>
        <w:t xml:space="preserve"> &amp; T</w:t>
      </w:r>
      <w:r>
        <w:rPr>
          <w:rFonts w:ascii="Arial" w:cs="Arial" w:eastAsia="Arial" w:hAnsi="Arial"/>
          <w:sz w:val="8"/>
          <w:szCs w:val="8"/>
          <w:color w:val="auto"/>
        </w:rPr>
        <w:t>OUCHE</w:t>
      </w:r>
      <w:r>
        <w:rPr>
          <w:rFonts w:ascii="Arial" w:cs="Arial" w:eastAsia="Arial" w:hAnsi="Arial"/>
          <w:sz w:val="13"/>
          <w:szCs w:val="13"/>
          <w:color w:val="auto"/>
        </w:rPr>
        <w:t xml:space="preserve">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Milwaukee, WI</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27, 2007</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93"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360" w:type="dxa"/>
            <w:vAlign w:val="bottom"/>
          </w:tcPr>
          <w:p>
            <w:pPr>
              <w:ind w:left="120"/>
              <w:spacing w:after="0"/>
              <w:rPr>
                <w:sz w:val="20"/>
                <w:szCs w:val="20"/>
                <w:color w:val="auto"/>
              </w:rPr>
            </w:pPr>
            <w:r>
              <w:rPr>
                <w:rFonts w:ascii="Arial" w:cs="Arial" w:eastAsia="Arial" w:hAnsi="Arial"/>
                <w:sz w:val="13"/>
                <w:szCs w:val="13"/>
                <w:b w:val="1"/>
                <w:bCs w:val="1"/>
                <w:color w:val="auto"/>
              </w:rPr>
              <w:t>PART III</w:t>
            </w:r>
          </w:p>
        </w:tc>
      </w:tr>
      <w:tr>
        <w:trPr>
          <w:trHeight w:val="275"/>
        </w:trPr>
        <w:tc>
          <w:tcPr>
            <w:tcW w:w="920" w:type="dxa"/>
            <w:vAlign w:val="bottom"/>
          </w:tcPr>
          <w:p>
            <w:pPr>
              <w:spacing w:after="0"/>
              <w:rPr>
                <w:sz w:val="20"/>
                <w:szCs w:val="20"/>
                <w:color w:val="auto"/>
              </w:rPr>
            </w:pPr>
            <w:r>
              <w:rPr>
                <w:rFonts w:ascii="Arial" w:cs="Arial" w:eastAsia="Arial" w:hAnsi="Arial"/>
                <w:sz w:val="13"/>
                <w:szCs w:val="13"/>
                <w:b w:val="1"/>
                <w:bCs w:val="1"/>
                <w:color w:val="auto"/>
              </w:rPr>
              <w:t>Item 10.</w:t>
            </w:r>
          </w:p>
        </w:tc>
        <w:tc>
          <w:tcPr>
            <w:tcW w:w="3020" w:type="dxa"/>
            <w:vAlign w:val="bottom"/>
          </w:tcPr>
          <w:p>
            <w:pPr>
              <w:spacing w:after="0"/>
              <w:rPr>
                <w:sz w:val="20"/>
                <w:szCs w:val="20"/>
                <w:color w:val="auto"/>
              </w:rPr>
            </w:pPr>
            <w:r>
              <w:rPr>
                <w:rFonts w:ascii="Arial" w:cs="Arial" w:eastAsia="Arial" w:hAnsi="Arial"/>
                <w:sz w:val="13"/>
                <w:szCs w:val="13"/>
                <w:b w:val="1"/>
                <w:bCs w:val="1"/>
                <w:i w:val="1"/>
                <w:iCs w:val="1"/>
                <w:color w:val="auto"/>
                <w:w w:val="97"/>
              </w:rPr>
              <w:t>Directors and Executive Officers of the Registrant</w:t>
            </w:r>
          </w:p>
        </w:tc>
        <w:tc>
          <w:tcPr>
            <w:tcW w:w="680" w:type="dxa"/>
            <w:vAlign w:val="bottom"/>
          </w:tcPr>
          <w:p>
            <w:pPr>
              <w:spacing w:after="0"/>
              <w:rPr>
                <w:sz w:val="23"/>
                <w:szCs w:val="23"/>
                <w:color w:val="auto"/>
              </w:rPr>
            </w:pPr>
          </w:p>
        </w:tc>
        <w:tc>
          <w:tcPr>
            <w:tcW w:w="5360" w:type="dxa"/>
            <w:vAlign w:val="bottom"/>
          </w:tcPr>
          <w:p>
            <w:pPr>
              <w:spacing w:after="0"/>
              <w:rPr>
                <w:sz w:val="23"/>
                <w:szCs w:val="23"/>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302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0"/>
                <w:szCs w:val="10"/>
                <w:b w:val="1"/>
                <w:bCs w:val="1"/>
                <w:color w:val="auto"/>
              </w:rPr>
              <w:t>Age</w:t>
            </w:r>
          </w:p>
        </w:tc>
        <w:tc>
          <w:tcPr>
            <w:tcW w:w="5360" w:type="dxa"/>
            <w:vAlign w:val="bottom"/>
          </w:tcPr>
          <w:p>
            <w:pPr>
              <w:ind w:left="270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r>
      <w:tr>
        <w:trPr>
          <w:trHeight w:val="49"/>
        </w:trPr>
        <w:tc>
          <w:tcPr>
            <w:tcW w:w="394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5360" w:type="dxa"/>
            <w:vAlign w:val="bottom"/>
          </w:tcPr>
          <w:p>
            <w:pPr>
              <w:spacing w:after="0"/>
              <w:rPr>
                <w:sz w:val="4"/>
                <w:szCs w:val="4"/>
                <w:color w:val="auto"/>
              </w:rPr>
            </w:pPr>
          </w:p>
        </w:tc>
      </w:tr>
      <w:tr>
        <w:trPr>
          <w:trHeight w:val="157"/>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Frank M. Jaehnert</w:t>
            </w: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50</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President, CEO and Director</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David Mathieson</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53</w:t>
            </w:r>
          </w:p>
        </w:tc>
        <w:tc>
          <w:tcPr>
            <w:tcW w:w="5360" w:type="dxa"/>
            <w:vAlign w:val="bottom"/>
          </w:tcPr>
          <w:p>
            <w:pPr>
              <w:ind w:left="80"/>
              <w:spacing w:after="0"/>
              <w:rPr>
                <w:sz w:val="20"/>
                <w:szCs w:val="20"/>
                <w:color w:val="auto"/>
              </w:rPr>
            </w:pPr>
            <w:r>
              <w:rPr>
                <w:rFonts w:ascii="Arial" w:cs="Arial" w:eastAsia="Arial" w:hAnsi="Arial"/>
                <w:sz w:val="13"/>
                <w:szCs w:val="13"/>
                <w:color w:val="auto"/>
              </w:rPr>
              <w:t>Sr. V.P., CFO</w:t>
            </w:r>
          </w:p>
        </w:tc>
      </w:tr>
      <w:tr>
        <w:trPr>
          <w:trHeight w:val="157"/>
        </w:trPr>
        <w:tc>
          <w:tcPr>
            <w:tcW w:w="920" w:type="dxa"/>
            <w:vAlign w:val="bottom"/>
            <w:shd w:val="clear" w:color="auto" w:fill="CCEEFF"/>
          </w:tcPr>
          <w:p>
            <w:pPr>
              <w:spacing w:after="0"/>
              <w:rPr>
                <w:sz w:val="20"/>
                <w:szCs w:val="20"/>
                <w:color w:val="auto"/>
              </w:rPr>
            </w:pPr>
            <w:r>
              <w:rPr>
                <w:rFonts w:ascii="Arial" w:cs="Arial" w:eastAsia="Arial" w:hAnsi="Arial"/>
                <w:sz w:val="13"/>
                <w:szCs w:val="13"/>
                <w:color w:val="auto"/>
                <w:w w:val="96"/>
              </w:rPr>
              <w:t>David R. Hawke</w:t>
            </w:r>
          </w:p>
        </w:tc>
        <w:tc>
          <w:tcPr>
            <w:tcW w:w="30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53</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Executive Vice President</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Michael O. Oliver</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54</w:t>
            </w:r>
          </w:p>
        </w:tc>
        <w:tc>
          <w:tcPr>
            <w:tcW w:w="5360" w:type="dxa"/>
            <w:vAlign w:val="bottom"/>
          </w:tcPr>
          <w:p>
            <w:pPr>
              <w:ind w:left="80"/>
              <w:spacing w:after="0"/>
              <w:rPr>
                <w:sz w:val="20"/>
                <w:szCs w:val="20"/>
                <w:color w:val="auto"/>
              </w:rPr>
            </w:pPr>
            <w:r>
              <w:rPr>
                <w:rFonts w:ascii="Arial" w:cs="Arial" w:eastAsia="Arial" w:hAnsi="Arial"/>
                <w:sz w:val="13"/>
                <w:szCs w:val="13"/>
                <w:color w:val="auto"/>
              </w:rPr>
              <w:t>Sr. V.P., Human Resources</w:t>
            </w:r>
          </w:p>
        </w:tc>
      </w:tr>
      <w:tr>
        <w:trPr>
          <w:trHeight w:val="157"/>
        </w:trPr>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Barbara Bolens</w:t>
            </w:r>
          </w:p>
        </w:tc>
        <w:tc>
          <w:tcPr>
            <w:tcW w:w="30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46</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V.P., Treasurer, Director of Investor Relations</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Allan J. Klotsche</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42</w:t>
            </w:r>
          </w:p>
        </w:tc>
        <w:tc>
          <w:tcPr>
            <w:tcW w:w="5360" w:type="dxa"/>
            <w:vAlign w:val="bottom"/>
          </w:tcPr>
          <w:p>
            <w:pPr>
              <w:ind w:left="80"/>
              <w:spacing w:after="0"/>
              <w:rPr>
                <w:sz w:val="20"/>
                <w:szCs w:val="20"/>
                <w:color w:val="auto"/>
              </w:rPr>
            </w:pPr>
            <w:r>
              <w:rPr>
                <w:rFonts w:ascii="Arial" w:cs="Arial" w:eastAsia="Arial" w:hAnsi="Arial"/>
                <w:sz w:val="13"/>
                <w:szCs w:val="13"/>
                <w:color w:val="auto"/>
              </w:rPr>
              <w:t>President — Brady Asia-Pacific and V.P., Brady Corporation</w:t>
            </w:r>
          </w:p>
        </w:tc>
      </w:tr>
      <w:tr>
        <w:trPr>
          <w:trHeight w:val="157"/>
        </w:trPr>
        <w:tc>
          <w:tcPr>
            <w:tcW w:w="920" w:type="dxa"/>
            <w:vAlign w:val="bottom"/>
            <w:shd w:val="clear" w:color="auto" w:fill="CCEEFF"/>
          </w:tcPr>
          <w:p>
            <w:pPr>
              <w:spacing w:after="0"/>
              <w:rPr>
                <w:sz w:val="20"/>
                <w:szCs w:val="20"/>
                <w:color w:val="auto"/>
              </w:rPr>
            </w:pPr>
            <w:r>
              <w:rPr>
                <w:rFonts w:ascii="Arial" w:cs="Arial" w:eastAsia="Arial" w:hAnsi="Arial"/>
                <w:sz w:val="13"/>
                <w:szCs w:val="13"/>
                <w:color w:val="auto"/>
                <w:w w:val="90"/>
              </w:rPr>
              <w:t>Peter C. Sephton</w:t>
            </w:r>
          </w:p>
        </w:tc>
        <w:tc>
          <w:tcPr>
            <w:tcW w:w="30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48</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President — Brady Europe and V.P., Brady Corporation</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Matt O. Williamson</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51</w:t>
            </w:r>
          </w:p>
        </w:tc>
        <w:tc>
          <w:tcPr>
            <w:tcW w:w="5360" w:type="dxa"/>
            <w:vAlign w:val="bottom"/>
          </w:tcPr>
          <w:p>
            <w:pPr>
              <w:ind w:left="80"/>
              <w:spacing w:after="0"/>
              <w:rPr>
                <w:sz w:val="20"/>
                <w:szCs w:val="20"/>
                <w:color w:val="auto"/>
              </w:rPr>
            </w:pPr>
            <w:r>
              <w:rPr>
                <w:rFonts w:ascii="Arial" w:cs="Arial" w:eastAsia="Arial" w:hAnsi="Arial"/>
                <w:sz w:val="13"/>
                <w:szCs w:val="13"/>
                <w:color w:val="auto"/>
              </w:rPr>
              <w:t>President — Brady Americas and V.P., Brady Corporation</w:t>
            </w:r>
          </w:p>
        </w:tc>
      </w:tr>
      <w:tr>
        <w:trPr>
          <w:trHeight w:val="157"/>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Thomas J. Felmer</w:t>
            </w: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45</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President — Direct Marketing Americas and V.P., Brady Corporation</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Robert L. Tatterson</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42</w:t>
            </w:r>
          </w:p>
        </w:tc>
        <w:tc>
          <w:tcPr>
            <w:tcW w:w="5360" w:type="dxa"/>
            <w:vAlign w:val="bottom"/>
          </w:tcPr>
          <w:p>
            <w:pPr>
              <w:ind w:left="80"/>
              <w:spacing w:after="0"/>
              <w:rPr>
                <w:sz w:val="20"/>
                <w:szCs w:val="20"/>
                <w:color w:val="auto"/>
              </w:rPr>
            </w:pPr>
            <w:r>
              <w:rPr>
                <w:rFonts w:ascii="Arial" w:cs="Arial" w:eastAsia="Arial" w:hAnsi="Arial"/>
                <w:sz w:val="13"/>
                <w:szCs w:val="13"/>
                <w:color w:val="auto"/>
              </w:rPr>
              <w:t>V.P. and Chief Technology Officer</w:t>
            </w:r>
          </w:p>
        </w:tc>
      </w:tr>
      <w:tr>
        <w:trPr>
          <w:trHeight w:val="157"/>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Conrad G. Goodkind</w:t>
            </w: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63</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Secretary and Director</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Elizabeth Pungello</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40</w:t>
            </w:r>
          </w:p>
        </w:tc>
        <w:tc>
          <w:tcPr>
            <w:tcW w:w="53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Peter J. Lettenberger</w:t>
            </w: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70</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Robert C. Buchanan</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67</w:t>
            </w:r>
          </w:p>
        </w:tc>
        <w:tc>
          <w:tcPr>
            <w:tcW w:w="53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920" w:type="dxa"/>
            <w:vAlign w:val="bottom"/>
            <w:shd w:val="clear" w:color="auto" w:fill="CCEEFF"/>
          </w:tcPr>
          <w:p>
            <w:pPr>
              <w:spacing w:after="0"/>
              <w:rPr>
                <w:sz w:val="20"/>
                <w:szCs w:val="20"/>
                <w:color w:val="auto"/>
              </w:rPr>
            </w:pPr>
            <w:r>
              <w:rPr>
                <w:rFonts w:ascii="Arial" w:cs="Arial" w:eastAsia="Arial" w:hAnsi="Arial"/>
                <w:sz w:val="13"/>
                <w:szCs w:val="13"/>
                <w:color w:val="auto"/>
                <w:w w:val="97"/>
              </w:rPr>
              <w:t>Roger D. Peirce</w:t>
            </w:r>
          </w:p>
        </w:tc>
        <w:tc>
          <w:tcPr>
            <w:tcW w:w="30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70</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Richard A. Bemis</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66</w:t>
            </w:r>
          </w:p>
        </w:tc>
        <w:tc>
          <w:tcPr>
            <w:tcW w:w="53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920" w:type="dxa"/>
            <w:vAlign w:val="bottom"/>
            <w:shd w:val="clear" w:color="auto" w:fill="CCEEFF"/>
          </w:tcPr>
          <w:p>
            <w:pPr>
              <w:spacing w:after="0"/>
              <w:rPr>
                <w:sz w:val="20"/>
                <w:szCs w:val="20"/>
                <w:color w:val="auto"/>
              </w:rPr>
            </w:pPr>
            <w:r>
              <w:rPr>
                <w:rFonts w:ascii="Arial" w:cs="Arial" w:eastAsia="Arial" w:hAnsi="Arial"/>
                <w:sz w:val="13"/>
                <w:szCs w:val="13"/>
                <w:color w:val="auto"/>
                <w:w w:val="98"/>
              </w:rPr>
              <w:t>Frank W. Harris</w:t>
            </w:r>
          </w:p>
        </w:tc>
        <w:tc>
          <w:tcPr>
            <w:tcW w:w="30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65</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920" w:type="dxa"/>
            <w:vAlign w:val="bottom"/>
          </w:tcPr>
          <w:p>
            <w:pPr>
              <w:spacing w:after="0"/>
              <w:rPr>
                <w:sz w:val="20"/>
                <w:szCs w:val="20"/>
                <w:color w:val="auto"/>
              </w:rPr>
            </w:pPr>
            <w:r>
              <w:rPr>
                <w:rFonts w:ascii="Arial" w:cs="Arial" w:eastAsia="Arial" w:hAnsi="Arial"/>
                <w:sz w:val="13"/>
                <w:szCs w:val="13"/>
                <w:color w:val="auto"/>
              </w:rPr>
              <w:t>Gary E. Nei</w:t>
            </w:r>
          </w:p>
        </w:tc>
        <w:tc>
          <w:tcPr>
            <w:tcW w:w="3020" w:type="dxa"/>
            <w:vAlign w:val="bottom"/>
          </w:tcPr>
          <w:p>
            <w:pPr>
              <w:spacing w:after="0"/>
              <w:rPr>
                <w:sz w:val="13"/>
                <w:szCs w:val="13"/>
                <w:color w:val="auto"/>
              </w:rPr>
            </w:pP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63</w:t>
            </w:r>
          </w:p>
        </w:tc>
        <w:tc>
          <w:tcPr>
            <w:tcW w:w="53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Mary K. Bush</w:t>
            </w:r>
          </w:p>
        </w:tc>
        <w:tc>
          <w:tcPr>
            <w:tcW w:w="30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59</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920" w:type="dxa"/>
            <w:vAlign w:val="bottom"/>
          </w:tcPr>
          <w:p>
            <w:pPr>
              <w:spacing w:after="0"/>
              <w:rPr>
                <w:sz w:val="20"/>
                <w:szCs w:val="20"/>
                <w:color w:val="auto"/>
              </w:rPr>
            </w:pPr>
            <w:r>
              <w:rPr>
                <w:rFonts w:ascii="Arial" w:cs="Arial" w:eastAsia="Arial" w:hAnsi="Arial"/>
                <w:sz w:val="13"/>
                <w:szCs w:val="13"/>
                <w:color w:val="auto"/>
              </w:rPr>
              <w:t>Frank R. Jarc</w:t>
            </w:r>
          </w:p>
        </w:tc>
        <w:tc>
          <w:tcPr>
            <w:tcW w:w="3020" w:type="dxa"/>
            <w:vAlign w:val="bottom"/>
          </w:tcPr>
          <w:p>
            <w:pPr>
              <w:spacing w:after="0"/>
              <w:rPr>
                <w:sz w:val="13"/>
                <w:szCs w:val="13"/>
                <w:color w:val="auto"/>
              </w:rPr>
            </w:pP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65</w:t>
            </w:r>
          </w:p>
        </w:tc>
        <w:tc>
          <w:tcPr>
            <w:tcW w:w="53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920" w:type="dxa"/>
            <w:vAlign w:val="bottom"/>
            <w:shd w:val="clear" w:color="auto" w:fill="CCEEFF"/>
          </w:tcPr>
          <w:p>
            <w:pPr>
              <w:spacing w:after="0"/>
              <w:rPr>
                <w:sz w:val="20"/>
                <w:szCs w:val="20"/>
                <w:color w:val="auto"/>
              </w:rPr>
            </w:pPr>
            <w:r>
              <w:rPr>
                <w:rFonts w:ascii="Arial" w:cs="Arial" w:eastAsia="Arial" w:hAnsi="Arial"/>
                <w:sz w:val="13"/>
                <w:szCs w:val="13"/>
                <w:color w:val="auto"/>
                <w:w w:val="90"/>
              </w:rPr>
              <w:t>Chan W. Galbato</w:t>
            </w:r>
          </w:p>
        </w:tc>
        <w:tc>
          <w:tcPr>
            <w:tcW w:w="30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44</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65"/>
        </w:trPr>
        <w:tc>
          <w:tcPr>
            <w:tcW w:w="3940" w:type="dxa"/>
            <w:vAlign w:val="bottom"/>
            <w:gridSpan w:val="2"/>
          </w:tcPr>
          <w:p>
            <w:pPr>
              <w:spacing w:after="0"/>
              <w:rPr>
                <w:sz w:val="20"/>
                <w:szCs w:val="20"/>
                <w:color w:val="auto"/>
              </w:rPr>
            </w:pPr>
            <w:r>
              <w:rPr>
                <w:rFonts w:ascii="Arial" w:cs="Arial" w:eastAsia="Arial" w:hAnsi="Arial"/>
                <w:sz w:val="13"/>
                <w:szCs w:val="13"/>
                <w:color w:val="auto"/>
              </w:rPr>
              <w:t>Patrick W. Allender</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60</w:t>
            </w:r>
          </w:p>
        </w:tc>
        <w:tc>
          <w:tcPr>
            <w:tcW w:w="5360" w:type="dxa"/>
            <w:vAlign w:val="bottom"/>
          </w:tcPr>
          <w:p>
            <w:pPr>
              <w:ind w:left="80"/>
              <w:spacing w:after="0"/>
              <w:rPr>
                <w:sz w:val="20"/>
                <w:szCs w:val="20"/>
                <w:color w:val="auto"/>
              </w:rPr>
            </w:pPr>
            <w:r>
              <w:rPr>
                <w:rFonts w:ascii="Arial" w:cs="Arial" w:eastAsia="Arial" w:hAnsi="Arial"/>
                <w:sz w:val="13"/>
                <w:szCs w:val="13"/>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-2232660</wp:posOffset>
            </wp:positionV>
            <wp:extent cx="2476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5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Frank M. Jaehnert </w:t>
      </w:r>
      <w:r>
        <w:rPr>
          <w:rFonts w:ascii="Arial" w:cs="Arial" w:eastAsia="Arial" w:hAnsi="Arial"/>
          <w:sz w:val="13"/>
          <w:szCs w:val="13"/>
          <w:color w:val="auto"/>
        </w:rPr>
        <w:t>— Mr. Jaehnert joined the Company in 1995 as Finance Director of the Identification Solutions &amp; Specialty Tapes Group. He served as Chief Financial Officer</w:t>
      </w:r>
      <w:r>
        <w:rPr>
          <w:rFonts w:ascii="Arial" w:cs="Arial" w:eastAsia="Arial" w:hAnsi="Arial"/>
          <w:sz w:val="13"/>
          <w:szCs w:val="13"/>
          <w:i w:val="1"/>
          <w:iCs w:val="1"/>
          <w:color w:val="auto"/>
        </w:rPr>
        <w:t xml:space="preserve"> </w:t>
      </w:r>
      <w:r>
        <w:rPr>
          <w:rFonts w:ascii="Arial" w:cs="Arial" w:eastAsia="Arial" w:hAnsi="Arial"/>
          <w:sz w:val="13"/>
          <w:szCs w:val="13"/>
          <w:color w:val="auto"/>
        </w:rPr>
        <w:t>from November 1996 to January 2002. He served as Senior Vice President of the Company and President, Identification Solutions and Specialty Tapes Group from January 2002 to March 2003. In February 2003, he was appointed to his current position, effective April 1, 2003. He has served as a Director of the Company since April 2003. Before joining the Company, he held various financial and management positions for Robert Bosch GmbH from 1983 to 1995.</w:t>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David Mathieson </w:t>
      </w:r>
      <w:r>
        <w:rPr>
          <w:rFonts w:ascii="Arial" w:cs="Arial" w:eastAsia="Arial" w:hAnsi="Arial"/>
          <w:sz w:val="12"/>
          <w:szCs w:val="12"/>
          <w:color w:val="auto"/>
        </w:rPr>
        <w:t>— Mr. Mathieson joined Brady in 2001 as European Finance Director, based in the U.K. In August 2003, he was appointed Vice President of Finance for North</w:t>
      </w:r>
      <w:r>
        <w:rPr>
          <w:rFonts w:ascii="Arial" w:cs="Arial" w:eastAsia="Arial" w:hAnsi="Arial"/>
          <w:sz w:val="12"/>
          <w:szCs w:val="12"/>
          <w:i w:val="1"/>
          <w:iCs w:val="1"/>
          <w:color w:val="auto"/>
        </w:rPr>
        <w:t xml:space="preserve"> </w:t>
      </w:r>
      <w:r>
        <w:rPr>
          <w:rFonts w:ascii="Arial" w:cs="Arial" w:eastAsia="Arial" w:hAnsi="Arial"/>
          <w:sz w:val="12"/>
          <w:szCs w:val="12"/>
          <w:color w:val="auto"/>
        </w:rPr>
        <w:t>America, and named Vice President and Chief Financial Officer in December 2003. Prior to joining Brady, he was Vice President and Chief Financial Officer of Honeywell Europe, concluding a 20-year career with Honeywell International, Inc., which included positions in Belgium, Denmark, United Kingdom and the United States. A native of Scotland, he is a Fellow of the Chartered Management Accountants Institute in the United Kingdom and studied for this qualification at Glasgow College of Commerce and Glasgow Caledonian University.</w:t>
      </w:r>
    </w:p>
    <w:p>
      <w:pPr>
        <w:spacing w:after="0" w:line="53"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David R. Hawke </w:t>
      </w:r>
      <w:r>
        <w:rPr>
          <w:rFonts w:ascii="Arial" w:cs="Arial" w:eastAsia="Arial" w:hAnsi="Arial"/>
          <w:sz w:val="13"/>
          <w:szCs w:val="13"/>
          <w:color w:val="auto"/>
        </w:rPr>
        <w:t>— Mr. Hawke joined the Company in 1979. He served as General Manager of the Industrial Products Division from 1985 to 1991. From 1991 to February 1995, he</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Managing Director — European Operations. From February 1995 to August 2001, he served as Vice President, Graphics Group. He served as Vice President, Graphics and Workplace Solutions from August 2001 to January 2002. He served as Senior Vice President of the Company and President, Graphics and Workplace Solutions Group from January 2002 to April 2003. In April 2003, he was appointed to his present position, and will retire from that role on September 30, 2007.</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Michael O. Oliver </w:t>
      </w:r>
      <w:r>
        <w:rPr>
          <w:rFonts w:ascii="Arial" w:cs="Arial" w:eastAsia="Arial" w:hAnsi="Arial"/>
          <w:sz w:val="13"/>
          <w:szCs w:val="13"/>
          <w:color w:val="auto"/>
        </w:rPr>
        <w:t>— Mr. Oliver joined the Company in February 1997 as Vice President — Human Resources. He was appointed to his present position in January 2002. Before</w:t>
      </w:r>
      <w:r>
        <w:rPr>
          <w:rFonts w:ascii="Arial" w:cs="Arial" w:eastAsia="Arial" w:hAnsi="Arial"/>
          <w:sz w:val="13"/>
          <w:szCs w:val="13"/>
          <w:i w:val="1"/>
          <w:iCs w:val="1"/>
          <w:color w:val="auto"/>
        </w:rPr>
        <w:t xml:space="preserve"> </w:t>
      </w:r>
      <w:r>
        <w:rPr>
          <w:rFonts w:ascii="Arial" w:cs="Arial" w:eastAsia="Arial" w:hAnsi="Arial"/>
          <w:sz w:val="13"/>
          <w:szCs w:val="13"/>
          <w:color w:val="auto"/>
        </w:rPr>
        <w:t>joining the Company, he held various human resource positions for Unilever from 1990 to 1997.</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Barbara Bolens </w:t>
      </w:r>
      <w:r>
        <w:rPr>
          <w:rFonts w:ascii="Arial" w:cs="Arial" w:eastAsia="Arial" w:hAnsi="Arial"/>
          <w:sz w:val="12"/>
          <w:szCs w:val="12"/>
          <w:color w:val="auto"/>
        </w:rPr>
        <w:t>— Ms. Bolens joined the Company in 1986 and has held a wide variety of positions beginning in customer service and customer service management and progressing</w:t>
      </w:r>
      <w:r>
        <w:rPr>
          <w:rFonts w:ascii="Arial" w:cs="Arial" w:eastAsia="Arial" w:hAnsi="Arial"/>
          <w:sz w:val="12"/>
          <w:szCs w:val="12"/>
          <w:i w:val="1"/>
          <w:iCs w:val="1"/>
          <w:color w:val="auto"/>
        </w:rPr>
        <w:t xml:space="preserve"> </w:t>
      </w:r>
      <w:r>
        <w:rPr>
          <w:rFonts w:ascii="Arial" w:cs="Arial" w:eastAsia="Arial" w:hAnsi="Arial"/>
          <w:sz w:val="12"/>
          <w:szCs w:val="12"/>
          <w:color w:val="auto"/>
        </w:rPr>
        <w:t>through product management and new product development. For 10 years, she had been the Assistant Treasurer and has held several other positions in the Corporate Finance Team throughout that time. She was appointed to her present position in November 2004. Ms. Bolens also holds the position of Director of Investor Relations.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Allan J. Klotsche </w:t>
      </w:r>
      <w:r>
        <w:rPr>
          <w:rFonts w:ascii="Arial" w:cs="Arial" w:eastAsia="Arial" w:hAnsi="Arial"/>
          <w:sz w:val="12"/>
          <w:szCs w:val="12"/>
          <w:color w:val="auto"/>
        </w:rPr>
        <w:t>— Mr. Klotsche joined the Company in 1988. He served in a variety of sales, marketing, technical, and management roles until 1998, when he was appointed V.P.</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General Manager of the Precision Tapes Group. He was appointed to his current position in April 2003.</w:t>
      </w:r>
    </w:p>
    <w:p>
      <w:pPr>
        <w:spacing w:after="0" w:line="8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Peter C. Sephton </w:t>
      </w:r>
      <w:r>
        <w:rPr>
          <w:rFonts w:ascii="Arial" w:cs="Arial" w:eastAsia="Arial" w:hAnsi="Arial"/>
          <w:sz w:val="13"/>
          <w:szCs w:val="13"/>
          <w:color w:val="auto"/>
        </w:rPr>
        <w:t>— Mr. Sephton joined the Company in 1997 as Managing Director — Seton-U.K. From 2001 to 2003 he served as managing director for Brady’s Identification</w:t>
      </w:r>
      <w:r>
        <w:rPr>
          <w:rFonts w:ascii="Arial" w:cs="Arial" w:eastAsia="Arial" w:hAnsi="Arial"/>
          <w:sz w:val="13"/>
          <w:szCs w:val="13"/>
          <w:i w:val="1"/>
          <w:iCs w:val="1"/>
          <w:color w:val="auto"/>
        </w:rPr>
        <w:t xml:space="preserve"> </w:t>
      </w:r>
      <w:r>
        <w:rPr>
          <w:rFonts w:ascii="Arial" w:cs="Arial" w:eastAsia="Arial" w:hAnsi="Arial"/>
          <w:sz w:val="13"/>
          <w:szCs w:val="13"/>
          <w:color w:val="auto"/>
        </w:rPr>
        <w:t>Solutions Business in Europe. In April 2003, he was appointed to his current position. Before joining Brady, he served in a variety of international managerial roles with Tate and Lyle Plc, Sutcliffe Speakman Plc and Morgan Crucible Plc. He is a graduate in accountancy and law from The University of Wales (UCC).</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Matthew O. Williamson </w:t>
      </w:r>
      <w:r>
        <w:rPr>
          <w:rFonts w:ascii="Arial" w:cs="Arial" w:eastAsia="Arial" w:hAnsi="Arial"/>
          <w:sz w:val="13"/>
          <w:szCs w:val="13"/>
          <w:color w:val="auto"/>
        </w:rPr>
        <w:t>— Mr. Williamson joined the Company in 1979. From 1979 to 1994, he served in a variety of sales and marketing leadership roles. In 1995, Mr. Williamson</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the V.P. and General Manager of the Specialty Tape business. From 1996 to 1998, Mr. Williamson served as the V.P. and General Manager of the Identification Solutions and Specialty Tapes Division. From 1998 to 2001, he served as V.P. and General Manager of the Identification Solutions Division. From 2001 to 2003, he served as V.P. and General Manager of the Global High Performance Identification Business. In April 2003, he was appointed to his current position.</w:t>
      </w:r>
    </w:p>
    <w:p>
      <w:pPr>
        <w:spacing w:after="0" w:line="7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i w:val="1"/>
          <w:iCs w:val="1"/>
          <w:color w:val="auto"/>
        </w:rPr>
        <w:t xml:space="preserve">Thomas J. Felmer </w:t>
      </w:r>
      <w:r>
        <w:rPr>
          <w:rFonts w:ascii="Arial" w:cs="Arial" w:eastAsia="Arial" w:hAnsi="Arial"/>
          <w:sz w:val="12"/>
          <w:szCs w:val="12"/>
          <w:color w:val="auto"/>
        </w:rPr>
        <w:t>— Mr. Felmer joined the Company in 1989 and has held several sales and marketing positions until being named Vice President and General Manager of Brady’s</w:t>
      </w:r>
      <w:r>
        <w:rPr>
          <w:rFonts w:ascii="Arial" w:cs="Arial" w:eastAsia="Arial" w:hAnsi="Arial"/>
          <w:sz w:val="12"/>
          <w:szCs w:val="12"/>
          <w:i w:val="1"/>
          <w:iCs w:val="1"/>
          <w:color w:val="auto"/>
        </w:rPr>
        <w:t xml:space="preserve"> </w:t>
      </w:r>
      <w:r>
        <w:rPr>
          <w:rFonts w:ascii="Arial" w:cs="Arial" w:eastAsia="Arial" w:hAnsi="Arial"/>
          <w:sz w:val="12"/>
          <w:szCs w:val="12"/>
          <w:color w:val="auto"/>
        </w:rPr>
        <w:t>U.S. Signmark Division in 1994. In 1999, Mr. Felmer moved to Europe where he led the European Signmark business for two years, then gained additional responsibility for the combined European Seton and Signmark businesses, which he also led for two years. In 2003, Mr. Felmer returned to Milwaukee where he was responsible for Brady’s global sales and marketing processes, Brady Software businesses, and due diligence/integration of the EMED acquisition. In June 2004, he was appointed to his current position.</w:t>
      </w:r>
    </w:p>
    <w:p>
      <w:pPr>
        <w:spacing w:after="0" w:line="5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Robert L. Tatterson </w:t>
      </w:r>
      <w:r>
        <w:rPr>
          <w:rFonts w:ascii="Arial" w:cs="Arial" w:eastAsia="Arial" w:hAnsi="Arial"/>
          <w:sz w:val="13"/>
          <w:szCs w:val="13"/>
          <w:color w:val="auto"/>
        </w:rPr>
        <w:t>— Mr. Tatterson joined the Company in 2006 as Vice President and Chief Technology Officer. Before joining Brady, he held a variety of positions with increasing</w:t>
      </w:r>
      <w:r>
        <w:rPr>
          <w:rFonts w:ascii="Arial" w:cs="Arial" w:eastAsia="Arial" w:hAnsi="Arial"/>
          <w:sz w:val="13"/>
          <w:szCs w:val="13"/>
          <w:i w:val="1"/>
          <w:iCs w:val="1"/>
          <w:color w:val="auto"/>
        </w:rPr>
        <w:t xml:space="preserve"> </w:t>
      </w:r>
      <w:r>
        <w:rPr>
          <w:rFonts w:ascii="Arial" w:cs="Arial" w:eastAsia="Arial" w:hAnsi="Arial"/>
          <w:sz w:val="13"/>
          <w:szCs w:val="13"/>
          <w:color w:val="auto"/>
        </w:rPr>
        <w:t>responsibility at GE since 1992. Most recently, Mr. Tatterson served as Technology General Manager for GE Plastics’ Display and Optical Film business in Mt. Vernon, Indiana. He is a 6 Sigma Master Blackbelt and holds a Ph.D. in chemical engineering from the University of Michigan in Ann Arbor.</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Conrad G. Goodkind </w:t>
      </w:r>
      <w:r>
        <w:rPr>
          <w:rFonts w:ascii="Arial" w:cs="Arial" w:eastAsia="Arial" w:hAnsi="Arial"/>
          <w:sz w:val="13"/>
          <w:szCs w:val="13"/>
          <w:color w:val="auto"/>
        </w:rPr>
        <w:t>— Mr. Goodkind has served as Secretary of the Company since November 1999, and was elected to the Board of Directors in September 2007. He will serve as</w:t>
      </w:r>
      <w:r>
        <w:rPr>
          <w:rFonts w:ascii="Arial" w:cs="Arial" w:eastAsia="Arial" w:hAnsi="Arial"/>
          <w:sz w:val="13"/>
          <w:szCs w:val="13"/>
          <w:i w:val="1"/>
          <w:iCs w:val="1"/>
          <w:color w:val="auto"/>
        </w:rPr>
        <w:t xml:space="preserve"> </w:t>
      </w:r>
      <w:r>
        <w:rPr>
          <w:rFonts w:ascii="Arial" w:cs="Arial" w:eastAsia="Arial" w:hAnsi="Arial"/>
          <w:sz w:val="13"/>
          <w:szCs w:val="13"/>
          <w:color w:val="auto"/>
        </w:rPr>
        <w:t>a member of the Governance, Finance and Retirement Committees. He is a partner in the law firm of Quarles &amp; Brady LLP, which he joined in 1979. He served as a member of the Executive Committee of Quarles &amp; Brady LLP from 1983 to 2005. Mr. Goodkind was a director of Cade Industries, Inc. from 1989 to 1999, and a director of Able Distributing Co., Inc., from 1994 to 2005.</w:t>
      </w:r>
    </w:p>
    <w:p>
      <w:pPr>
        <w:spacing w:after="0" w:line="7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i w:val="1"/>
          <w:iCs w:val="1"/>
          <w:color w:val="auto"/>
        </w:rPr>
        <w:t xml:space="preserve">Elizabeth Pungello </w:t>
      </w:r>
      <w:r>
        <w:rPr>
          <w:rFonts w:ascii="Arial" w:cs="Arial" w:eastAsia="Arial" w:hAnsi="Arial"/>
          <w:sz w:val="12"/>
          <w:szCs w:val="12"/>
          <w:color w:val="auto"/>
        </w:rPr>
        <w:t>— Dr. Pungello has served as a Director of the Company since November 2003. She is a member of the Company’s Finance, Governance and Technology</w:t>
      </w:r>
      <w:r>
        <w:rPr>
          <w:rFonts w:ascii="Arial" w:cs="Arial" w:eastAsia="Arial" w:hAnsi="Arial"/>
          <w:sz w:val="12"/>
          <w:szCs w:val="12"/>
          <w:i w:val="1"/>
          <w:iCs w:val="1"/>
          <w:color w:val="auto"/>
        </w:rPr>
        <w:t xml:space="preserve"> </w:t>
      </w:r>
      <w:r>
        <w:rPr>
          <w:rFonts w:ascii="Arial" w:cs="Arial" w:eastAsia="Arial" w:hAnsi="Arial"/>
          <w:sz w:val="12"/>
          <w:szCs w:val="12"/>
          <w:color w:val="auto"/>
        </w:rPr>
        <w:t>Committees. Dr. Pungello is the great-granddaughter of Brady founder William H. Brady, Sr., and a developmental psychologist at the Frank Porter Graham Child Development Institute at the University of North Carolina at Chapel Hill. She has served as president of the Brady Education Foundation (formerly the W.H. Brady Foundation) since January 2001.</w:t>
      </w:r>
    </w:p>
    <w:p>
      <w:pPr>
        <w:spacing w:after="0" w:line="50"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i w:val="1"/>
          <w:iCs w:val="1"/>
          <w:color w:val="auto"/>
        </w:rPr>
        <w:t xml:space="preserve">Peter J. Lettenberger </w:t>
      </w:r>
      <w:r>
        <w:rPr>
          <w:rFonts w:ascii="Arial" w:cs="Arial" w:eastAsia="Arial" w:hAnsi="Arial"/>
          <w:sz w:val="12"/>
          <w:szCs w:val="12"/>
          <w:color w:val="auto"/>
        </w:rPr>
        <w:t>— Mr. Lettenberger has served as a Director of the Company since January 1977. Mr. Lettenberger is chair of the Company’s Finance Committee, and serves as</w:t>
      </w:r>
      <w:r>
        <w:rPr>
          <w:rFonts w:ascii="Arial" w:cs="Arial" w:eastAsia="Arial" w:hAnsi="Arial"/>
          <w:sz w:val="12"/>
          <w:szCs w:val="12"/>
          <w:i w:val="1"/>
          <w:iCs w:val="1"/>
          <w:color w:val="auto"/>
        </w:rPr>
        <w:t xml:space="preserve"> </w:t>
      </w:r>
      <w:r>
        <w:rPr>
          <w:rFonts w:ascii="Arial" w:cs="Arial" w:eastAsia="Arial" w:hAnsi="Arial"/>
          <w:sz w:val="12"/>
          <w:szCs w:val="12"/>
          <w:color w:val="auto"/>
        </w:rPr>
        <w:t>a member of the Audit and Corporate Governance Committees. He retired as a partner of Quarles &amp; Brady LLP, general counsel to the Company, which he joined in 1964. Mr. Lettenberger will retire from the Brady Board of Directors at the annual meeting in November 2007 pursuant to the Board’s mandatory retirement age.</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i w:val="1"/>
          <w:iCs w:val="1"/>
          <w:color w:val="auto"/>
        </w:rPr>
        <w:t xml:space="preserve">Robert C. Buchanan </w:t>
      </w:r>
      <w:r>
        <w:rPr>
          <w:rFonts w:ascii="Arial" w:cs="Arial" w:eastAsia="Arial" w:hAnsi="Arial"/>
          <w:sz w:val="13"/>
          <w:szCs w:val="13"/>
          <w:color w:val="auto"/>
        </w:rPr>
        <w:t>— Mr. Buchanan has been a Director of the Company since November 1987. Mr. Buchanan is chair of the Corporate Governance Committee, and serves as a</w:t>
      </w:r>
      <w:r>
        <w:rPr>
          <w:rFonts w:ascii="Arial" w:cs="Arial" w:eastAsia="Arial" w:hAnsi="Arial"/>
          <w:sz w:val="13"/>
          <w:szCs w:val="13"/>
          <w:i w:val="1"/>
          <w:iCs w:val="1"/>
          <w:color w:val="auto"/>
        </w:rPr>
        <w:t xml:space="preserve"> </w:t>
      </w:r>
      <w:r>
        <w:rPr>
          <w:rFonts w:ascii="Arial" w:cs="Arial" w:eastAsia="Arial" w:hAnsi="Arial"/>
          <w:sz w:val="13"/>
          <w:szCs w:val="13"/>
          <w:color w:val="auto"/>
        </w:rPr>
        <w:t>member of the Audit and Compensation Committee. Mr. Buchanan is the retired Chairman of the Board of Fox Valley Corporation in Appleton, Wisconsin. He is also a trustee of The Northwestern Mutual Life Insurance Company, Milwaukee, Wisconsin.</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Roger D. Peirce </w:t>
      </w:r>
      <w:r>
        <w:rPr>
          <w:rFonts w:ascii="Arial" w:cs="Arial" w:eastAsia="Arial" w:hAnsi="Arial"/>
          <w:sz w:val="13"/>
          <w:szCs w:val="13"/>
          <w:color w:val="auto"/>
        </w:rPr>
        <w:t>— Mr. Peirce has served as a Director of the Company since September 1988. Mr. Peirce is a member of the Compensation, Corporate Governance and Audit</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Committees of the Company, and chair of the Retirement Committee. Mr. Peirce is a private investor and consultant and is a director of Journal Communications, Inc. and Allete, Inc. He was the secretary/treasurer of The Jor-Mac Company, Inc., a metal fabricator in Grafton, Wisconsin, from 1997 through 2002. He was President and CEO of Valuation Research Corporation from April 1995 to May 1996. From September 1988 to December 1993, he was President of Super Steel Products Corp. in Milwaukee, Wisconsin. Prior to that he was a managing partner for Arthur Andersen LLP, independent certified public accountants. Mr. Peirce will retire from the Brady Board of Directors at the annual meeting in November 2007 pursuant to the Board’s mandatory retirement age.</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Richard A. Bemis </w:t>
      </w:r>
      <w:r>
        <w:rPr>
          <w:rFonts w:ascii="Arial" w:cs="Arial" w:eastAsia="Arial" w:hAnsi="Arial"/>
          <w:sz w:val="13"/>
          <w:szCs w:val="13"/>
          <w:color w:val="auto"/>
        </w:rPr>
        <w:t>— Mr. Bemis has been a Director of the Company since January 1990 and is a member of its Corporate Governance and Technology Committees. Mr. Bemis is Co-chairman of the Board of Directors of Bemis Manufacturing Company, a manufacturer of molded plastic products in Sheboygan Falls, Wisconsin. He is also a director of Integrys Corporation, Chicago, Illinois.</w:t>
      </w:r>
    </w:p>
    <w:p>
      <w:pPr>
        <w:spacing w:after="0" w:line="67"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Frank W. Harris </w:t>
      </w:r>
      <w:r>
        <w:rPr>
          <w:rFonts w:ascii="Arial" w:cs="Arial" w:eastAsia="Arial" w:hAnsi="Arial"/>
          <w:sz w:val="13"/>
          <w:szCs w:val="13"/>
          <w:color w:val="auto"/>
        </w:rPr>
        <w:t>— Dr. Harris has been a Director of the Company since November 1991. Dr. Harris is a member of its Finance Committee, and chair of the Technology Committee.</w:t>
      </w:r>
      <w:r>
        <w:rPr>
          <w:rFonts w:ascii="Arial" w:cs="Arial" w:eastAsia="Arial" w:hAnsi="Arial"/>
          <w:sz w:val="13"/>
          <w:szCs w:val="13"/>
          <w:i w:val="1"/>
          <w:iCs w:val="1"/>
          <w:color w:val="auto"/>
        </w:rPr>
        <w:t xml:space="preserve"> </w:t>
      </w:r>
      <w:r>
        <w:rPr>
          <w:rFonts w:ascii="Arial" w:cs="Arial" w:eastAsia="Arial" w:hAnsi="Arial"/>
          <w:sz w:val="13"/>
          <w:szCs w:val="13"/>
          <w:color w:val="auto"/>
        </w:rPr>
        <w:t>He is a Emeritus Distinguished Professor of Polymer Science at the University of Akron, and has been on its faculty since 1983. He is also President and CEO of Akron Polymer Systems, a company that develops and markets polymer films, coatings and resins for high-performance applications.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Gary E. Nei </w:t>
      </w:r>
      <w:r>
        <w:rPr>
          <w:rFonts w:ascii="Arial" w:cs="Arial" w:eastAsia="Arial" w:hAnsi="Arial"/>
          <w:sz w:val="13"/>
          <w:szCs w:val="13"/>
          <w:color w:val="auto"/>
        </w:rPr>
        <w:t>— Mr. Nei has been a Director of the Company since November 1992. Mr. Nei is a member of the Company’s Finance Committee and Chair of its Compensation</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 Mr. Nei is Chairman of Nei-Turner Media, a publishing company in Walworth, Wisconsin. He also serves as Chairman of the Beverage Testing Institute, a publishing company in Chicago, Illinois and Chairman of Tastings Imports, an importer of fine wines headquartered in Chicago, Illinois.</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Mary K. Bush </w:t>
      </w:r>
      <w:r>
        <w:rPr>
          <w:rFonts w:ascii="Arial" w:cs="Arial" w:eastAsia="Arial" w:hAnsi="Arial"/>
          <w:sz w:val="13"/>
          <w:szCs w:val="13"/>
          <w:color w:val="auto"/>
        </w:rPr>
        <w:t>— Ms. Bush has been a Director of the Company since May 2000. Ms. Bush is a member of the Company’s Finance and Compensation Committees. Ms. Bush has</w:t>
      </w:r>
      <w:r>
        <w:rPr>
          <w:rFonts w:ascii="Arial" w:cs="Arial" w:eastAsia="Arial" w:hAnsi="Arial"/>
          <w:sz w:val="13"/>
          <w:szCs w:val="13"/>
          <w:i w:val="1"/>
          <w:iCs w:val="1"/>
          <w:color w:val="auto"/>
        </w:rPr>
        <w:t xml:space="preserve"> </w:t>
      </w:r>
      <w:r>
        <w:rPr>
          <w:rFonts w:ascii="Arial" w:cs="Arial" w:eastAsia="Arial" w:hAnsi="Arial"/>
          <w:sz w:val="13"/>
          <w:szCs w:val="13"/>
          <w:color w:val="auto"/>
        </w:rPr>
        <w:t>been President of Bush International, LLC, a Washington D.C. firm that advises foreign governments and U.S. companies on international financial markets. Prior to establishing Bush International, Ms. Bush held several positions in financial institutions and has served three Presidents of the United States as Alternate Director of the International Monetary Fund, Managing Director of the Federal Housing Finance Board, a member of the Board of Sallie Mae, and chairman of the HELP Commission. Ms. Bush also is a member of the boards of directors of Discover Financial Services, Briggs &amp; Stratton Corporation, United Airlines Corporation and ManTech International Corporation. She is also a trustee of the Pioneer Funds and a member of the Advisory Boards of Washington Mutual Investors Fund and Stern Stewart.</w:t>
      </w:r>
    </w:p>
    <w:p>
      <w:pPr>
        <w:spacing w:after="0" w:line="72"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i w:val="1"/>
          <w:iCs w:val="1"/>
          <w:color w:val="auto"/>
        </w:rPr>
        <w:t xml:space="preserve">Frank R. Jarc </w:t>
      </w:r>
      <w:r>
        <w:rPr>
          <w:rFonts w:ascii="Arial" w:cs="Arial" w:eastAsia="Arial" w:hAnsi="Arial"/>
          <w:sz w:val="13"/>
          <w:szCs w:val="13"/>
          <w:color w:val="auto"/>
        </w:rPr>
        <w:t>— Mr. Jarc has been a Director of the Company since May 2000. Mr. Jarc is chair of Brady’s Audit Committee and is a member of the Compensation Committee and</w:t>
      </w:r>
      <w:r>
        <w:rPr>
          <w:rFonts w:ascii="Arial" w:cs="Arial" w:eastAsia="Arial" w:hAnsi="Arial"/>
          <w:sz w:val="13"/>
          <w:szCs w:val="13"/>
          <w:i w:val="1"/>
          <w:iCs w:val="1"/>
          <w:color w:val="auto"/>
        </w:rPr>
        <w:t xml:space="preserve"> </w:t>
      </w:r>
      <w:r>
        <w:rPr>
          <w:rFonts w:ascii="Arial" w:cs="Arial" w:eastAsia="Arial" w:hAnsi="Arial"/>
          <w:sz w:val="13"/>
          <w:szCs w:val="13"/>
          <w:color w:val="auto"/>
        </w:rPr>
        <w:t>the Retirement Committee. He is a consultant specializing in corporate development and international acquisitions. From April 1999 to March 2000 he was Senior Vice President of Corporate Development at Office Depot, an operator of office supply superstores. Between June 1996 and March 1999, he was Executive Vice President and Chief Financial Officer of Viking Office Products, a direct mail marketer of office products. Prior to that, he was Executive Vice President and Chief Financial Officer of R.R. Donnelley and Sons, a global printing company.</w:t>
      </w:r>
    </w:p>
    <w:p>
      <w:pPr>
        <w:spacing w:after="0" w:line="71"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Chan W. Galbato </w:t>
      </w:r>
      <w:r>
        <w:rPr>
          <w:rFonts w:ascii="Arial" w:cs="Arial" w:eastAsia="Arial" w:hAnsi="Arial"/>
          <w:sz w:val="13"/>
          <w:szCs w:val="13"/>
          <w:color w:val="auto"/>
        </w:rPr>
        <w:t>— Mr. Galbato was elected to the Board of Directors in November 2006, and serves as a member of the Audit and Technology Committees. He is President and</w:t>
      </w:r>
      <w:r>
        <w:rPr>
          <w:rFonts w:ascii="Arial" w:cs="Arial" w:eastAsia="Arial" w:hAnsi="Arial"/>
          <w:sz w:val="13"/>
          <w:szCs w:val="13"/>
          <w:i w:val="1"/>
          <w:iCs w:val="1"/>
          <w:color w:val="auto"/>
        </w:rPr>
        <w:t xml:space="preserve"> </w:t>
      </w:r>
      <w:r>
        <w:rPr>
          <w:rFonts w:ascii="Arial" w:cs="Arial" w:eastAsia="Arial" w:hAnsi="Arial"/>
          <w:sz w:val="13"/>
          <w:szCs w:val="13"/>
          <w:color w:val="auto"/>
        </w:rPr>
        <w:t>CEO of the controls division of Invensys plc. Prior to his current position, he served as president of services at Home Depot; president and chief executive officer of Armstrong Floor Products; chief executive officer of Choice Parts; and chief executive officer of Coregis Insurance Company, a GE Capital company.</w:t>
      </w:r>
    </w:p>
    <w:p>
      <w:pPr>
        <w:spacing w:after="0" w:line="67"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i w:val="1"/>
          <w:iCs w:val="1"/>
          <w:color w:val="auto"/>
        </w:rPr>
        <w:t xml:space="preserve">Patrick W. Allender </w:t>
      </w:r>
      <w:r>
        <w:rPr>
          <w:rFonts w:ascii="Arial" w:cs="Arial" w:eastAsia="Arial" w:hAnsi="Arial"/>
          <w:sz w:val="13"/>
          <w:szCs w:val="13"/>
          <w:color w:val="auto"/>
        </w:rPr>
        <w:t>— Mr. Allender was elected to the Brady Corporation Board of Directors in September 2007 and will serve as a member of the Audit and Compensation</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Committees. He is the former Executive Vice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President and Chief Financial Officer of Danaher Corporation, which he joined in 1987 as CFO and secretary. Prior to joining Danaher, Mr. Allender was a partner with Arthur Andersen LLP.</w:t>
      </w:r>
    </w:p>
    <w:p>
      <w:pPr>
        <w:spacing w:after="0" w:line="5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Audit Committee Financial Expert </w:t>
      </w:r>
      <w:r>
        <w:rPr>
          <w:rFonts w:ascii="Arial" w:cs="Arial" w:eastAsia="Arial" w:hAnsi="Arial"/>
          <w:sz w:val="13"/>
          <w:szCs w:val="13"/>
          <w:color w:val="auto"/>
        </w:rPr>
        <w:t>— The Company’s board of directors has determined that at least one audit committee financial expert is serving on its audit committee. Mr. Jarc,</w:t>
      </w:r>
      <w:r>
        <w:rPr>
          <w:rFonts w:ascii="Arial" w:cs="Arial" w:eastAsia="Arial" w:hAnsi="Arial"/>
          <w:sz w:val="13"/>
          <w:szCs w:val="13"/>
          <w:i w:val="1"/>
          <w:iCs w:val="1"/>
          <w:color w:val="auto"/>
        </w:rPr>
        <w:t xml:space="preserve"> </w:t>
      </w:r>
      <w:r>
        <w:rPr>
          <w:rFonts w:ascii="Arial" w:cs="Arial" w:eastAsia="Arial" w:hAnsi="Arial"/>
          <w:sz w:val="13"/>
          <w:szCs w:val="13"/>
          <w:color w:val="auto"/>
        </w:rPr>
        <w:t>chair of the audit committee is a financial expert and is independent as that term is used in Item 7(d)(3)(iv) of Schedule 14A under the Exchange Act.</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Director Independence </w:t>
      </w:r>
      <w:r>
        <w:rPr>
          <w:rFonts w:ascii="Arial" w:cs="Arial" w:eastAsia="Arial" w:hAnsi="Arial"/>
          <w:sz w:val="12"/>
          <w:szCs w:val="12"/>
          <w:color w:val="auto"/>
        </w:rPr>
        <w:t>— A majority of the directors must meet the criteria for independence established by the Board in accordance with the rules of the New York Stock Exchange.</w:t>
      </w:r>
      <w:r>
        <w:rPr>
          <w:rFonts w:ascii="Arial" w:cs="Arial" w:eastAsia="Arial" w:hAnsi="Arial"/>
          <w:sz w:val="12"/>
          <w:szCs w:val="12"/>
          <w:i w:val="1"/>
          <w:iCs w:val="1"/>
          <w:color w:val="auto"/>
        </w:rPr>
        <w:t xml:space="preserve"> </w:t>
      </w:r>
      <w:r>
        <w:rPr>
          <w:rFonts w:ascii="Arial" w:cs="Arial" w:eastAsia="Arial" w:hAnsi="Arial"/>
          <w:sz w:val="12"/>
          <w:szCs w:val="12"/>
          <w:color w:val="auto"/>
        </w:rPr>
        <w:t>In determining the independence of a director, the Board must find that a director has no relationship that may interfere with the exercise of his or her independence from management and the Company. Based on these guidelines all directors, with the exception of Frank Jaehnert, President and CEO, are deemed independent.</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Meetings of Non-management Directors </w:t>
      </w:r>
      <w:r>
        <w:rPr>
          <w:rFonts w:ascii="Arial" w:cs="Arial" w:eastAsia="Arial" w:hAnsi="Arial"/>
          <w:sz w:val="13"/>
          <w:szCs w:val="13"/>
          <w:color w:val="auto"/>
        </w:rPr>
        <w:t>— The non-management directors of the Board regularly meet alone without any members of management present. Mr. Buchanan, Chairman</w:t>
      </w:r>
      <w:r>
        <w:rPr>
          <w:rFonts w:ascii="Arial" w:cs="Arial" w:eastAsia="Arial" w:hAnsi="Arial"/>
          <w:sz w:val="13"/>
          <w:szCs w:val="13"/>
          <w:i w:val="1"/>
          <w:iCs w:val="1"/>
          <w:color w:val="auto"/>
        </w:rPr>
        <w:t xml:space="preserve"> </w:t>
      </w:r>
      <w:r>
        <w:rPr>
          <w:rFonts w:ascii="Arial" w:cs="Arial" w:eastAsia="Arial" w:hAnsi="Arial"/>
          <w:sz w:val="13"/>
          <w:szCs w:val="13"/>
          <w:color w:val="auto"/>
        </w:rPr>
        <w:t>of the Corporate Governance Committee, is the presiding director at these sessions. In fiscal 2007 there were five executive sessions. Interested parties can raise concerns to be addressed at these meetings by calling the confidential Brady hotline at 1-800-368-3613.</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Audit Committee Members </w:t>
      </w:r>
      <w:r>
        <w:rPr>
          <w:rFonts w:ascii="Arial" w:cs="Arial" w:eastAsia="Arial" w:hAnsi="Arial"/>
          <w:sz w:val="12"/>
          <w:szCs w:val="12"/>
          <w:color w:val="auto"/>
        </w:rPr>
        <w:t>— The Audit Committee, which is a separately-designated standing committee of the Board of Directors, is composed of Mr. Jarc (Chairman),</w:t>
      </w:r>
    </w:p>
    <w:p>
      <w:pPr>
        <w:spacing w:after="0" w:line="27"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Mr. Lettenberger, Mr. Peirce, Mr. Buchanan, Mr. Galbato and Mr. Allender. Each member of the Audit Committee has been determined by the Board to be independent under the rules of the SEC and NYSE. The charter for the Audit Committee is available on the Company’s corporate website at www.bradycorp.com.</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 xml:space="preserve">Code of Ethics </w:t>
      </w:r>
      <w:r>
        <w:rPr>
          <w:rFonts w:ascii="Arial" w:cs="Arial" w:eastAsia="Arial" w:hAnsi="Arial"/>
          <w:sz w:val="13"/>
          <w:szCs w:val="13"/>
          <w:color w:val="auto"/>
        </w:rPr>
        <w:t>— For a number of years, the Company has had a code of ethics for its employees. This code of ethics applies to all of the Company’s employees, officers and</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Directors. The code of ethics can be viewed at the Company’s corporate website, www.bradycorp.com, or may be obtained in print by any shareholder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Corporate Governance Guidelines </w:t>
      </w:r>
      <w:r>
        <w:rPr>
          <w:rFonts w:ascii="Arial" w:cs="Arial" w:eastAsia="Arial" w:hAnsi="Arial"/>
          <w:sz w:val="13"/>
          <w:szCs w:val="13"/>
          <w:color w:val="auto"/>
        </w:rPr>
        <w:t>— Brady’s Corporate Governance Principles as well as the charters for the Audit Committee, Corporate Governance Committee, and</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Committee, are available on the Company’s Corporate website, www.bradycorp.com. Shareholders may request printed copies of these documents from Brady Corporation, Investor Relations, P.O. Box 571, Milwaukee, WI 53201.</w:t>
      </w:r>
    </w:p>
    <w:p>
      <w:pPr>
        <w:spacing w:after="0" w:line="67"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Certifications </w:t>
      </w:r>
      <w:r>
        <w:rPr>
          <w:rFonts w:ascii="Arial" w:cs="Arial" w:eastAsia="Arial" w:hAnsi="Arial"/>
          <w:sz w:val="13"/>
          <w:szCs w:val="13"/>
          <w:color w:val="auto"/>
        </w:rPr>
        <w:t>— We have attached the required certifications under Section 302 of the Sarbanes-Oxley Act of 2002 regarding the quality of our public disclosures as Exhibits 31.1</w:t>
      </w:r>
      <w:r>
        <w:rPr>
          <w:rFonts w:ascii="Arial" w:cs="Arial" w:eastAsia="Arial" w:hAnsi="Arial"/>
          <w:sz w:val="13"/>
          <w:szCs w:val="13"/>
          <w:i w:val="1"/>
          <w:iCs w:val="1"/>
          <w:color w:val="auto"/>
        </w:rPr>
        <w:t xml:space="preserve"> </w:t>
      </w:r>
      <w:r>
        <w:rPr>
          <w:rFonts w:ascii="Arial" w:cs="Arial" w:eastAsia="Arial" w:hAnsi="Arial"/>
          <w:sz w:val="13"/>
          <w:szCs w:val="13"/>
          <w:color w:val="auto"/>
        </w:rPr>
        <w:t>and 31.2 to this report. Additionally, on December 13, 2006, the Company filed with the New York Stock Exchange (“NYSE”) an annual certification regarding our compliance with the NYSE’s corporate governance listing standards as required by NYSE Rule 303A.12(a).</w:t>
      </w:r>
    </w:p>
    <w:p>
      <w:pPr>
        <w:spacing w:after="0" w:line="220" w:lineRule="exact"/>
        <w:rPr>
          <w:sz w:val="20"/>
          <w:szCs w:val="20"/>
          <w:color w:val="auto"/>
        </w:rPr>
      </w:pPr>
    </w:p>
    <w:p>
      <w:pPr>
        <w:ind w:left="3500"/>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w:t>
      </w:r>
    </w:p>
    <w:p>
      <w:pPr>
        <w:spacing w:after="0" w:line="5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To the Company’s knowledge, based solely on a review of the copies of such reports furnished to the Company and written representations that no other reports were required, during the fiscal year ended July 31, 2007, all Section 16(a) filing requirements applicable to its officers, directors and greater than 10 percent beneficial owners were complied with, except for the initial Form 3 filing for Chan W. Galbato.</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Discussion and Analysis</w:t>
      </w:r>
    </w:p>
    <w:p>
      <w:pPr>
        <w:spacing w:after="0" w:line="96"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The Compensation Discussion and Analysis explains the compensation philosophy, policies and practices of the Company with respect to its named executive officers. This section focuses on the compensation provided to the Company’s principal executive officer, principal financial officer and its other three most highly compensated executives, who are collectively referred to in this section as the “named executive officers.”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For purposes of this section, named executive officers refers to Frank M. Jaehnert, President, Chief Executive Officer and Director; David Mathieson, Senior Vice President and Chief Financial Officer; David R. Hawke, Executive Vice President; Peter C. Sephton, President — Brady Europe and Vice President, Brady Corporation; and Matthew O. Williamson, President — Brady Americas and Vice President, Brady Corporation.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Compensation Overview and Philosophy</w:t>
      </w:r>
    </w:p>
    <w:p>
      <w:pPr>
        <w:spacing w:after="0" w:line="100" w:lineRule="exact"/>
        <w:rPr>
          <w:sz w:val="20"/>
          <w:szCs w:val="20"/>
          <w:color w:val="auto"/>
        </w:rPr>
      </w:pPr>
    </w:p>
    <w:p>
      <w:pPr>
        <w:jc w:val="both"/>
        <w:ind w:left="680" w:right="420" w:firstLine="399"/>
        <w:spacing w:after="0" w:line="371" w:lineRule="auto"/>
        <w:rPr>
          <w:sz w:val="20"/>
          <w:szCs w:val="20"/>
          <w:color w:val="auto"/>
        </w:rPr>
      </w:pPr>
      <w:r>
        <w:rPr>
          <w:rFonts w:ascii="Arial" w:cs="Arial" w:eastAsia="Arial" w:hAnsi="Arial"/>
          <w:sz w:val="11"/>
          <w:szCs w:val="11"/>
          <w:color w:val="auto"/>
        </w:rPr>
        <w:t>The goal of our executive compensation program is to build long-term value for our shareholders by aligning the financial interests of our management team with those of our shareholders. It is also intended to properly attract, motivate and retain our management team and ensure that executives are in possession of a meaningful amount of Company stock.</w:t>
      </w:r>
    </w:p>
    <w:p>
      <w:pPr>
        <w:spacing w:after="0" w:line="12"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Compensation Committee of the Board of Directors is responsible for monitoring and approving the compensation of the Company’s named executive officers. In compliance with this responsibility, the Committee annually reviews and approves the individual performance of these executives along with any changes in their base salary, the payment of an annual cash incentive and grant of equity awards. The Committee utilizes the services of an independent executive compensation consulting firm (Pearl Meyer &amp; Partners) to assist with the review and evaluation of our compensation levels and policies. Their expertise is also utilized in modifying any existing or proposing any new compensation arrangements. In addition to this professional advice, the Committee relies upon its collective judgment and other available competitive information and data in making executive compensation decisions. The Committee has avoided strict adherence to rigid guidelines, formulas or short-term fluctuations in our stock price when determining or modifying executive compensation.</w:t>
      </w:r>
    </w:p>
    <w:p>
      <w:pPr>
        <w:spacing w:after="0" w:line="59"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color w:val="auto"/>
        </w:rPr>
        <w:t>In order to successfully achieve our Company objectives, a combination of short-term and long-term incentives has been developed. The Compensation Committee believes a proper balance between these elements is necessary and includes a combination of cash and equity, with fixed and variable components. These components are heavily dependent upon Company financial performance, while also taking into account personal performance to a lesser degree. Our short-term incentive is in the form of cash, while the long-term incentive is equity based and includes both performance-based and time-based stock options. We believe these programs are designed to specifically support the achievement of the Company’s profitability and sales goals. We also believe these programs further enhance the performance of the Company by providing effective tools to retain, attract and motivate a group of highly skilled executives. This results in strong financial and operational performance, which supports the preservation and enhancement of shareholder value over time, without incurring undue risk to our shareholders.</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Annually senior management recommends a proposal for compensation for each named executive officer, with the exception of Frank M. Jaehnert, to the Compensation Committee.</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Compensation Committee reviews the proposal for each officer and ultimately approves a compensation arrangement for them.</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Elements of Executive Compensation for Fiscal 2007</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As noted above, it is the Compensation Committee’s philosophy that an executive compensation program should be used to promote both the short and long-term financial objectives of the Company, encourage the executives to act as owners of the Company and attract and retain people who are qualified, motivated and committed to excellence. The Compensation Committee believes this can be accomplished through compensation programs that provide a balanced mix of performance-based cash and equity compensation. The annual bonus and equity compensation provide incentives that reward superior performance and provide financial consequences for underperformance.</w:t>
      </w:r>
    </w:p>
    <w:p>
      <w:pPr>
        <w:spacing w:after="0" w:line="53"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The Compensation Committee is responsible for reviewing the overall level of compensation, as well as the various elements of compensation for each of the named executive officers. In addition to the specific process noted below for base salaries, annual cash incentives and long-term equity compensation, the Compensation Committee</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reviews individual comprehensive “tally sheets” which include the annual cash and equity grants, along with all other benefits over a trailing four-year period. Stock options exercised and the impact of the issuance of stock options on earnings per share dilution are monitored on a regular basis as well.</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Base Salary</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Individual performance and competitiveness in the market are key components in determining base salary and any changes in base salary. Nationally recognized compensation surveys utilizing all companies and industries are obtained annually. A regression analysis is then performed by the Company’s Human Resources team based on the appropriate organization level (company, group, division) and sales volume of the appropriate Brady business. The base salary is designed to compensate executives for their level of responsibility and sustained individual performance. One consideration is the comparison of the individual base salaries to the median for like positions and responsibilities based on these nationally recognized compensation surveys. The Compensation Committee annually reviews base salaries to ensure, on the basis of responsibility and performance, that executive compensation is meeting the Compensation Committees’ principles.</w:t>
      </w:r>
    </w:p>
    <w:p>
      <w:pPr>
        <w:spacing w:after="0" w:line="72" w:lineRule="exact"/>
        <w:rPr>
          <w:sz w:val="20"/>
          <w:szCs w:val="20"/>
          <w:color w:val="auto"/>
        </w:rPr>
      </w:pPr>
    </w:p>
    <w:p>
      <w:pPr>
        <w:ind w:left="680" w:right="200" w:firstLine="399"/>
        <w:spacing w:after="0" w:line="303" w:lineRule="auto"/>
        <w:rPr>
          <w:sz w:val="20"/>
          <w:szCs w:val="20"/>
          <w:color w:val="auto"/>
        </w:rPr>
      </w:pPr>
      <w:r>
        <w:rPr>
          <w:rFonts w:ascii="Arial" w:cs="Arial" w:eastAsia="Arial" w:hAnsi="Arial"/>
          <w:sz w:val="11"/>
          <w:szCs w:val="11"/>
          <w:color w:val="auto"/>
        </w:rPr>
        <w:t>In addition to the nationally recognized compensation surveys, the Compensation Committee uses peer group data for similar positions nationally to test the reasonableness and competitiveness of base salary by position, but also uses judgment to determine the appropriate level of base salary, which we believe reflects individual performance and responsibilities. The peer group utilized includes 29 companies that are in a similar industry with annual revenues up to approximately $5 billion. Included in this peer group is a smaller subset of</w:t>
      </w:r>
    </w:p>
    <w:p>
      <w:pPr>
        <w:ind w:left="680" w:right="180"/>
        <w:spacing w:after="0" w:line="258" w:lineRule="auto"/>
        <w:rPr>
          <w:sz w:val="20"/>
          <w:szCs w:val="20"/>
          <w:color w:val="auto"/>
        </w:rPr>
      </w:pPr>
      <w:r>
        <w:rPr>
          <w:rFonts w:ascii="Arial" w:cs="Arial" w:eastAsia="Arial" w:hAnsi="Arial"/>
          <w:sz w:val="13"/>
          <w:szCs w:val="13"/>
          <w:color w:val="auto"/>
        </w:rPr>
        <w:t>13 companies that have annual revenues of less than $2 billion to provide data for similar sized companies to Brady. The determination of base salary also affects the annual bonus payout since an individual’s annual bonus target is expressed as a percentage of base salary. The Compensation Committee also utilizes the services of an outside consultant (Pearl Meyer &amp; Partners) to assist in understanding the compensation levels in the market.</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a result of the factors noted above, base salary increases varied for the named executive officers. For fiscal 2007, the increases ranged from five to eleven percent.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Annual Cash Incentive Bonus</w:t>
      </w:r>
    </w:p>
    <w:p>
      <w:pPr>
        <w:spacing w:after="0" w:line="100"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All named executive officers participate in an annual cash incentive plan. This plan has a short-term focus (one year) and is mainly based on the fiscal year results. Corporate sales and corporate net income results are included in the plan as well as regional sales and regional segment profit results for those with regional responsibility. In addition, each individual has 20% of their bonus based on their achievement of individual goals.</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As part of the annual review of compensation, the Compensation Committee takes into account total annual cash compensation in the marketplace, as reflected in the above mentioned peer group and nationally recognized compensation surveys. Salary combined with annual target bonus levels that have been established as a percentage of salary are intended to approximate the median of the market total annual cash compensation, as defined in nationally recognized compensation surveys, provided that Brady performs at a level to pay out at 100% of the targeted annual incentive award. Brady’s actual annual bonus payouts will vary above or below the targeted amount based on the actual performance of the Company during the fiscal year. The payouts can range from 0% to 150% of the target. The Compensation Committee expects Management to propose ambitious targets. Any bonus payment above 100% of the target requires superior performance by the Company.</w:t>
      </w:r>
    </w:p>
    <w:p>
      <w:pPr>
        <w:spacing w:after="0" w:line="7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Compensation Committee annually reviews the components of these plans, the required performance levels at each target payout level and the calculation of the individual bonus awards. Sales and net income must exceed the prior year in order for these components of the bonus plan to pay out.</w:t>
      </w:r>
    </w:p>
    <w:p>
      <w:pPr>
        <w:spacing w:after="0" w:line="59"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The individual incentive target amounts are set at a percentage of base salary and the target amounts are larger for individuals with greater levels of responsibility. The target bonus percentage for Mr. Jaehnert is 100% of his base salary, for Mr. Hawke is 75% of his base salary, and for Messrs. Mathieson, Sephton and Williamson are 70% of</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their base salaries. These targets differ between individuals because the market differs for each of the positions. The following table provides the components of the target bonus percentages.</w:t>
      </w:r>
    </w:p>
    <w:p>
      <w:pPr>
        <w:spacing w:after="0" w:line="12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37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Consolidated</w:t>
            </w:r>
          </w:p>
        </w:tc>
        <w:tc>
          <w:tcPr>
            <w:tcW w:w="12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Consolidated</w:t>
            </w:r>
          </w:p>
        </w:tc>
        <w:tc>
          <w:tcPr>
            <w:tcW w:w="9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Regional</w:t>
            </w: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Regional</w:t>
            </w:r>
          </w:p>
        </w:tc>
        <w:tc>
          <w:tcPr>
            <w:tcW w:w="160" w:type="dxa"/>
            <w:vAlign w:val="bottom"/>
          </w:tcPr>
          <w:p>
            <w:pPr>
              <w:spacing w:after="0"/>
              <w:rPr>
                <w:sz w:val="10"/>
                <w:szCs w:val="10"/>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8"/>
              </w:rPr>
              <w:t>Individual</w:t>
            </w:r>
          </w:p>
        </w:tc>
        <w:tc>
          <w:tcPr>
            <w:tcW w:w="200" w:type="dxa"/>
            <w:vAlign w:val="bottom"/>
          </w:tcPr>
          <w:p>
            <w:pPr>
              <w:spacing w:after="0"/>
              <w:rPr>
                <w:sz w:val="10"/>
                <w:szCs w:val="10"/>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rPr>
              <w:t>Target</w:t>
            </w:r>
          </w:p>
        </w:tc>
        <w:tc>
          <w:tcPr>
            <w:tcW w:w="0" w:type="dxa"/>
            <w:vAlign w:val="bottom"/>
          </w:tcPr>
          <w:p>
            <w:pPr>
              <w:spacing w:after="0"/>
              <w:rPr>
                <w:sz w:val="1"/>
                <w:szCs w:val="1"/>
                <w:color w:val="auto"/>
              </w:rPr>
            </w:pPr>
          </w:p>
        </w:tc>
      </w:tr>
      <w:tr>
        <w:trPr>
          <w:trHeight w:val="125"/>
        </w:trPr>
        <w:tc>
          <w:tcPr>
            <w:tcW w:w="3740" w:type="dxa"/>
            <w:vAlign w:val="bottom"/>
            <w:gridSpan w:val="2"/>
            <w:vMerge w:val="continue"/>
          </w:tcPr>
          <w:p>
            <w:pPr>
              <w:spacing w:after="0"/>
              <w:rPr>
                <w:sz w:val="10"/>
                <w:szCs w:val="1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8"/>
              </w:rPr>
              <w:t>Net Sales</w:t>
            </w:r>
          </w:p>
        </w:tc>
        <w:tc>
          <w:tcPr>
            <w:tcW w:w="12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2"/>
              </w:rPr>
              <w:t>Net Income</w:t>
            </w:r>
          </w:p>
        </w:tc>
        <w:tc>
          <w:tcPr>
            <w:tcW w:w="9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4"/>
              </w:rPr>
              <w:t>Sales</w:t>
            </w: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Segment Profit</w:t>
            </w:r>
          </w:p>
        </w:tc>
        <w:tc>
          <w:tcPr>
            <w:tcW w:w="160" w:type="dxa"/>
            <w:vAlign w:val="bottom"/>
          </w:tcPr>
          <w:p>
            <w:pPr>
              <w:spacing w:after="0"/>
              <w:rPr>
                <w:sz w:val="10"/>
                <w:szCs w:val="10"/>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3"/>
              </w:rPr>
              <w:t>Goals</w:t>
            </w:r>
          </w:p>
        </w:tc>
        <w:tc>
          <w:tcPr>
            <w:tcW w:w="200" w:type="dxa"/>
            <w:vAlign w:val="bottom"/>
          </w:tcPr>
          <w:p>
            <w:pPr>
              <w:spacing w:after="0"/>
              <w:rPr>
                <w:sz w:val="10"/>
                <w:szCs w:val="10"/>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rPr>
              <w:t>Payout</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Frank M. Jaehnert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20.0%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20.0%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3740" w:type="dxa"/>
            <w:vAlign w:val="bottom"/>
            <w:gridSpan w:val="2"/>
          </w:tcPr>
          <w:p>
            <w:pPr>
              <w:spacing w:after="0"/>
              <w:rPr>
                <w:sz w:val="20"/>
                <w:szCs w:val="20"/>
                <w:color w:val="auto"/>
              </w:rPr>
            </w:pPr>
            <w:r>
              <w:rPr>
                <w:rFonts w:ascii="Arial" w:cs="Arial" w:eastAsia="Arial" w:hAnsi="Arial"/>
                <w:sz w:val="13"/>
                <w:szCs w:val="13"/>
                <w:color w:val="auto"/>
              </w:rPr>
              <w:t>David Mathieson</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14.0%</w:t>
            </w:r>
          </w:p>
        </w:tc>
        <w:tc>
          <w:tcPr>
            <w:tcW w:w="1200" w:type="dxa"/>
            <w:vAlign w:val="bottom"/>
            <w:gridSpan w:val="2"/>
          </w:tcPr>
          <w:p>
            <w:pPr>
              <w:jc w:val="right"/>
              <w:ind w:right="300"/>
              <w:spacing w:after="0"/>
              <w:rPr>
                <w:sz w:val="20"/>
                <w:szCs w:val="20"/>
                <w:color w:val="auto"/>
              </w:rPr>
            </w:pPr>
            <w:r>
              <w:rPr>
                <w:rFonts w:ascii="Arial" w:cs="Arial" w:eastAsia="Arial" w:hAnsi="Arial"/>
                <w:sz w:val="13"/>
                <w:szCs w:val="13"/>
                <w:color w:val="auto"/>
              </w:rPr>
              <w:t>42.0%</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4"/>
          </w:tcPr>
          <w:p>
            <w:pPr>
              <w:jc w:val="right"/>
              <w:ind w:right="100"/>
              <w:spacing w:after="0"/>
              <w:rPr>
                <w:sz w:val="20"/>
                <w:szCs w:val="20"/>
                <w:color w:val="auto"/>
              </w:rPr>
            </w:pPr>
            <w:r>
              <w:rPr>
                <w:rFonts w:ascii="Arial" w:cs="Arial" w:eastAsia="Arial" w:hAnsi="Arial"/>
                <w:sz w:val="13"/>
                <w:szCs w:val="13"/>
                <w:color w:val="auto"/>
              </w:rPr>
              <w:t>14.0%</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157"/>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R. Hawke</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45.0%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157"/>
        </w:trPr>
        <w:tc>
          <w:tcPr>
            <w:tcW w:w="3740" w:type="dxa"/>
            <w:vAlign w:val="bottom"/>
            <w:gridSpan w:val="2"/>
          </w:tcPr>
          <w:p>
            <w:pPr>
              <w:spacing w:after="0"/>
              <w:rPr>
                <w:sz w:val="20"/>
                <w:szCs w:val="20"/>
                <w:color w:val="auto"/>
              </w:rPr>
            </w:pPr>
            <w:r>
              <w:rPr>
                <w:rFonts w:ascii="Arial" w:cs="Arial" w:eastAsia="Arial" w:hAnsi="Arial"/>
                <w:sz w:val="13"/>
                <w:szCs w:val="13"/>
                <w:color w:val="auto"/>
              </w:rPr>
              <w:t>Peter C. Sephton</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3.5%</w:t>
            </w:r>
          </w:p>
        </w:tc>
        <w:tc>
          <w:tcPr>
            <w:tcW w:w="1200" w:type="dxa"/>
            <w:vAlign w:val="bottom"/>
            <w:gridSpan w:val="2"/>
          </w:tcPr>
          <w:p>
            <w:pPr>
              <w:jc w:val="right"/>
              <w:ind w:right="300"/>
              <w:spacing w:after="0"/>
              <w:rPr>
                <w:sz w:val="20"/>
                <w:szCs w:val="20"/>
                <w:color w:val="auto"/>
              </w:rPr>
            </w:pPr>
            <w:r>
              <w:rPr>
                <w:rFonts w:ascii="Arial" w:cs="Arial" w:eastAsia="Arial" w:hAnsi="Arial"/>
                <w:sz w:val="13"/>
                <w:szCs w:val="13"/>
                <w:color w:val="auto"/>
              </w:rPr>
              <w:t>10.5%</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10.5%</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31.5%</w:t>
            </w:r>
          </w:p>
        </w:tc>
        <w:tc>
          <w:tcPr>
            <w:tcW w:w="980" w:type="dxa"/>
            <w:vAlign w:val="bottom"/>
            <w:gridSpan w:val="4"/>
          </w:tcPr>
          <w:p>
            <w:pPr>
              <w:jc w:val="right"/>
              <w:ind w:right="100"/>
              <w:spacing w:after="0"/>
              <w:rPr>
                <w:sz w:val="20"/>
                <w:szCs w:val="20"/>
                <w:color w:val="auto"/>
              </w:rPr>
            </w:pPr>
            <w:r>
              <w:rPr>
                <w:rFonts w:ascii="Arial" w:cs="Arial" w:eastAsia="Arial" w:hAnsi="Arial"/>
                <w:sz w:val="13"/>
                <w:szCs w:val="13"/>
                <w:color w:val="auto"/>
              </w:rPr>
              <w:t>14.0%</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157"/>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Matthew O. Williamson</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3.5%</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10.5%</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10.5%</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31.5%</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14.0%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6080" w:type="dxa"/>
            <w:vAlign w:val="bottom"/>
            <w:gridSpan w:val="5"/>
          </w:tcPr>
          <w:p>
            <w:pPr>
              <w:ind w:left="320"/>
              <w:spacing w:after="0"/>
              <w:rPr>
                <w:sz w:val="20"/>
                <w:szCs w:val="20"/>
                <w:color w:val="auto"/>
              </w:rPr>
            </w:pPr>
            <w:r>
              <w:rPr>
                <w:rFonts w:ascii="Arial" w:cs="Arial" w:eastAsia="Arial" w:hAnsi="Arial"/>
                <w:sz w:val="13"/>
                <w:szCs w:val="13"/>
                <w:color w:val="auto"/>
                <w:w w:val="96"/>
              </w:rPr>
              <w:t>For the fiscal year ended July 31, 2007, the Company paid the following annual cash incentive bonuses:</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74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4"/>
          </w:tcPr>
          <w:p>
            <w:pPr>
              <w:jc w:val="right"/>
              <w:ind w:right="480"/>
              <w:spacing w:after="0"/>
              <w:rPr>
                <w:sz w:val="20"/>
                <w:szCs w:val="20"/>
                <w:color w:val="auto"/>
              </w:rPr>
            </w:pPr>
            <w:r>
              <w:rPr>
                <w:rFonts w:ascii="Arial" w:cs="Arial" w:eastAsia="Arial" w:hAnsi="Arial"/>
                <w:sz w:val="10"/>
                <w:szCs w:val="10"/>
                <w:b w:val="1"/>
                <w:bCs w:val="1"/>
                <w:color w:val="auto"/>
              </w:rPr>
              <w:t>Bonus ($)</w:t>
            </w:r>
          </w:p>
        </w:tc>
        <w:tc>
          <w:tcPr>
            <w:tcW w:w="70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rPr>
              <w:t>Salary%</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Frank M. Jaehnert</w:t>
            </w: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430,677</w:t>
            </w:r>
          </w:p>
        </w:tc>
        <w:tc>
          <w:tcPr>
            <w:tcW w:w="2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157"/>
        </w:trPr>
        <w:tc>
          <w:tcPr>
            <w:tcW w:w="3740" w:type="dxa"/>
            <w:vAlign w:val="bottom"/>
            <w:gridSpan w:val="2"/>
          </w:tcPr>
          <w:p>
            <w:pPr>
              <w:spacing w:after="0"/>
              <w:rPr>
                <w:sz w:val="20"/>
                <w:szCs w:val="20"/>
                <w:color w:val="auto"/>
              </w:rPr>
            </w:pPr>
            <w:r>
              <w:rPr>
                <w:rFonts w:ascii="Arial" w:cs="Arial" w:eastAsia="Arial" w:hAnsi="Arial"/>
                <w:sz w:val="13"/>
                <w:szCs w:val="13"/>
                <w:color w:val="auto"/>
              </w:rPr>
              <w:t>David Mathieson</w:t>
            </w: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144,413</w:t>
            </w:r>
          </w:p>
        </w:tc>
        <w:tc>
          <w:tcPr>
            <w:tcW w:w="22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157"/>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R. Hawke</w:t>
            </w: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211,809</w:t>
            </w:r>
          </w:p>
        </w:tc>
        <w:tc>
          <w:tcPr>
            <w:tcW w:w="2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57"/>
        </w:trPr>
        <w:tc>
          <w:tcPr>
            <w:tcW w:w="3740" w:type="dxa"/>
            <w:vAlign w:val="bottom"/>
            <w:gridSpan w:val="2"/>
          </w:tcPr>
          <w:p>
            <w:pPr>
              <w:spacing w:after="0"/>
              <w:rPr>
                <w:sz w:val="20"/>
                <w:szCs w:val="20"/>
                <w:color w:val="auto"/>
              </w:rPr>
            </w:pPr>
            <w:r>
              <w:rPr>
                <w:rFonts w:ascii="Arial" w:cs="Arial" w:eastAsia="Arial" w:hAnsi="Arial"/>
                <w:sz w:val="13"/>
                <w:szCs w:val="13"/>
                <w:color w:val="auto"/>
              </w:rPr>
              <w:t>Peter C. Sephton</w:t>
            </w: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326,886</w:t>
            </w:r>
          </w:p>
        </w:tc>
        <w:tc>
          <w:tcPr>
            <w:tcW w:w="22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92.8%</w:t>
            </w:r>
          </w:p>
        </w:tc>
        <w:tc>
          <w:tcPr>
            <w:tcW w:w="0" w:type="dxa"/>
            <w:vAlign w:val="bottom"/>
          </w:tcPr>
          <w:p>
            <w:pPr>
              <w:spacing w:after="0"/>
              <w:rPr>
                <w:sz w:val="1"/>
                <w:szCs w:val="1"/>
                <w:color w:val="auto"/>
              </w:rPr>
            </w:pPr>
          </w:p>
        </w:tc>
      </w:tr>
      <w:tr>
        <w:trPr>
          <w:trHeight w:val="157"/>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Matthew O. Williamson</w:t>
            </w: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234,939</w:t>
            </w:r>
          </w:p>
        </w:tc>
        <w:tc>
          <w:tcPr>
            <w:tcW w:w="2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4880" w:type="dxa"/>
            <w:vAlign w:val="bottom"/>
            <w:gridSpan w:val="3"/>
          </w:tcPr>
          <w:p>
            <w:pPr>
              <w:ind w:left="320"/>
              <w:spacing w:after="0"/>
              <w:rPr>
                <w:sz w:val="20"/>
                <w:szCs w:val="20"/>
                <w:color w:val="auto"/>
              </w:rPr>
            </w:pPr>
            <w:r>
              <w:rPr>
                <w:rFonts w:ascii="Arial" w:cs="Arial" w:eastAsia="Arial" w:hAnsi="Arial"/>
                <w:sz w:val="13"/>
                <w:szCs w:val="13"/>
                <w:color w:val="auto"/>
                <w:w w:val="91"/>
              </w:rPr>
              <w:t>The 2007 allocation of the annual cash incentive bonuses by component is as follows:</w:t>
            </w: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37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Consolidated</w:t>
            </w:r>
          </w:p>
        </w:tc>
        <w:tc>
          <w:tcPr>
            <w:tcW w:w="12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Consolidated</w:t>
            </w:r>
          </w:p>
        </w:tc>
        <w:tc>
          <w:tcPr>
            <w:tcW w:w="9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Regional</w:t>
            </w: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Regional</w:t>
            </w:r>
          </w:p>
        </w:tc>
        <w:tc>
          <w:tcPr>
            <w:tcW w:w="16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8"/>
              </w:rPr>
              <w:t>Individual</w:t>
            </w:r>
          </w:p>
        </w:tc>
        <w:tc>
          <w:tcPr>
            <w:tcW w:w="200" w:type="dxa"/>
            <w:vAlign w:val="bottom"/>
          </w:tcPr>
          <w:p>
            <w:pPr>
              <w:spacing w:after="0"/>
              <w:rPr>
                <w:sz w:val="17"/>
                <w:szCs w:val="17"/>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rPr>
              <w:t>Actual</w:t>
            </w:r>
          </w:p>
        </w:tc>
        <w:tc>
          <w:tcPr>
            <w:tcW w:w="0" w:type="dxa"/>
            <w:vAlign w:val="bottom"/>
          </w:tcPr>
          <w:p>
            <w:pPr>
              <w:spacing w:after="0"/>
              <w:rPr>
                <w:sz w:val="1"/>
                <w:szCs w:val="1"/>
                <w:color w:val="auto"/>
              </w:rPr>
            </w:pPr>
          </w:p>
        </w:tc>
      </w:tr>
      <w:tr>
        <w:trPr>
          <w:trHeight w:val="125"/>
        </w:trPr>
        <w:tc>
          <w:tcPr>
            <w:tcW w:w="3740" w:type="dxa"/>
            <w:vAlign w:val="bottom"/>
            <w:gridSpan w:val="2"/>
            <w:vMerge w:val="continue"/>
          </w:tcPr>
          <w:p>
            <w:pPr>
              <w:spacing w:after="0"/>
              <w:rPr>
                <w:sz w:val="10"/>
                <w:szCs w:val="1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8"/>
              </w:rPr>
              <w:t>Net Sales</w:t>
            </w:r>
          </w:p>
        </w:tc>
        <w:tc>
          <w:tcPr>
            <w:tcW w:w="12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2"/>
              </w:rPr>
              <w:t>Net Income</w:t>
            </w:r>
          </w:p>
        </w:tc>
        <w:tc>
          <w:tcPr>
            <w:tcW w:w="9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Net Sales</w:t>
            </w: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Segment Profit</w:t>
            </w:r>
          </w:p>
        </w:tc>
        <w:tc>
          <w:tcPr>
            <w:tcW w:w="160" w:type="dxa"/>
            <w:vAlign w:val="bottom"/>
          </w:tcPr>
          <w:p>
            <w:pPr>
              <w:spacing w:after="0"/>
              <w:rPr>
                <w:sz w:val="10"/>
                <w:szCs w:val="10"/>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3"/>
              </w:rPr>
              <w:t>Goals</w:t>
            </w:r>
          </w:p>
        </w:tc>
        <w:tc>
          <w:tcPr>
            <w:tcW w:w="200" w:type="dxa"/>
            <w:vAlign w:val="bottom"/>
          </w:tcPr>
          <w:p>
            <w:pPr>
              <w:spacing w:after="0"/>
              <w:rPr>
                <w:sz w:val="10"/>
                <w:szCs w:val="10"/>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rPr>
              <w:t>Payout</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Frank M. Jaehnert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30.0%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20.4%</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17.0%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157"/>
        </w:trPr>
        <w:tc>
          <w:tcPr>
            <w:tcW w:w="3740" w:type="dxa"/>
            <w:vAlign w:val="bottom"/>
            <w:gridSpan w:val="2"/>
          </w:tcPr>
          <w:p>
            <w:pPr>
              <w:spacing w:after="0"/>
              <w:rPr>
                <w:sz w:val="20"/>
                <w:szCs w:val="20"/>
                <w:color w:val="auto"/>
              </w:rPr>
            </w:pPr>
            <w:r>
              <w:rPr>
                <w:rFonts w:ascii="Arial" w:cs="Arial" w:eastAsia="Arial" w:hAnsi="Arial"/>
                <w:sz w:val="13"/>
                <w:szCs w:val="13"/>
                <w:color w:val="auto"/>
              </w:rPr>
              <w:t>David Mathieson</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21.0%</w:t>
            </w:r>
          </w:p>
        </w:tc>
        <w:tc>
          <w:tcPr>
            <w:tcW w:w="1200" w:type="dxa"/>
            <w:vAlign w:val="bottom"/>
            <w:gridSpan w:val="2"/>
          </w:tcPr>
          <w:p>
            <w:pPr>
              <w:jc w:val="right"/>
              <w:ind w:right="300"/>
              <w:spacing w:after="0"/>
              <w:rPr>
                <w:sz w:val="20"/>
                <w:szCs w:val="20"/>
                <w:color w:val="auto"/>
              </w:rPr>
            </w:pPr>
            <w:r>
              <w:rPr>
                <w:rFonts w:ascii="Arial" w:cs="Arial" w:eastAsia="Arial" w:hAnsi="Arial"/>
                <w:sz w:val="13"/>
                <w:szCs w:val="13"/>
                <w:color w:val="auto"/>
              </w:rPr>
              <w:t>14.3%</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4"/>
          </w:tcPr>
          <w:p>
            <w:pPr>
              <w:jc w:val="right"/>
              <w:ind w:right="100"/>
              <w:spacing w:after="0"/>
              <w:rPr>
                <w:sz w:val="20"/>
                <w:szCs w:val="20"/>
                <w:color w:val="auto"/>
              </w:rPr>
            </w:pPr>
            <w:r>
              <w:rPr>
                <w:rFonts w:ascii="Arial" w:cs="Arial" w:eastAsia="Arial" w:hAnsi="Arial"/>
                <w:sz w:val="13"/>
                <w:szCs w:val="13"/>
                <w:color w:val="auto"/>
              </w:rPr>
              <w:t>14.0%</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157"/>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R. Hawke</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22.5%</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15.3%</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57"/>
        </w:trPr>
        <w:tc>
          <w:tcPr>
            <w:tcW w:w="3740" w:type="dxa"/>
            <w:vAlign w:val="bottom"/>
            <w:gridSpan w:val="2"/>
          </w:tcPr>
          <w:p>
            <w:pPr>
              <w:spacing w:after="0"/>
              <w:rPr>
                <w:sz w:val="20"/>
                <w:szCs w:val="20"/>
                <w:color w:val="auto"/>
              </w:rPr>
            </w:pPr>
            <w:r>
              <w:rPr>
                <w:rFonts w:ascii="Arial" w:cs="Arial" w:eastAsia="Arial" w:hAnsi="Arial"/>
                <w:sz w:val="13"/>
                <w:szCs w:val="13"/>
                <w:color w:val="auto"/>
              </w:rPr>
              <w:t>Peter C. Sephton</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5.3%</w:t>
            </w:r>
          </w:p>
        </w:tc>
        <w:tc>
          <w:tcPr>
            <w:tcW w:w="1200" w:type="dxa"/>
            <w:vAlign w:val="bottom"/>
            <w:gridSpan w:val="2"/>
          </w:tcPr>
          <w:p>
            <w:pPr>
              <w:jc w:val="right"/>
              <w:ind w:right="300"/>
              <w:spacing w:after="0"/>
              <w:rPr>
                <w:sz w:val="20"/>
                <w:szCs w:val="20"/>
                <w:color w:val="auto"/>
              </w:rPr>
            </w:pPr>
            <w:r>
              <w:rPr>
                <w:rFonts w:ascii="Arial" w:cs="Arial" w:eastAsia="Arial" w:hAnsi="Arial"/>
                <w:sz w:val="13"/>
                <w:szCs w:val="13"/>
                <w:color w:val="auto"/>
              </w:rPr>
              <w:t>3.6%</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15.7%</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47.2%</w:t>
            </w:r>
          </w:p>
        </w:tc>
        <w:tc>
          <w:tcPr>
            <w:tcW w:w="980" w:type="dxa"/>
            <w:vAlign w:val="bottom"/>
            <w:gridSpan w:val="4"/>
          </w:tcPr>
          <w:p>
            <w:pPr>
              <w:jc w:val="right"/>
              <w:ind w:right="100"/>
              <w:spacing w:after="0"/>
              <w:rPr>
                <w:sz w:val="20"/>
                <w:szCs w:val="20"/>
                <w:color w:val="auto"/>
              </w:rPr>
            </w:pPr>
            <w:r>
              <w:rPr>
                <w:rFonts w:ascii="Arial" w:cs="Arial" w:eastAsia="Arial" w:hAnsi="Arial"/>
                <w:sz w:val="13"/>
                <w:szCs w:val="13"/>
                <w:color w:val="auto"/>
              </w:rPr>
              <w:t>21.0%</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92.8%</w:t>
            </w:r>
          </w:p>
        </w:tc>
        <w:tc>
          <w:tcPr>
            <w:tcW w:w="0" w:type="dxa"/>
            <w:vAlign w:val="bottom"/>
          </w:tcPr>
          <w:p>
            <w:pPr>
              <w:spacing w:after="0"/>
              <w:rPr>
                <w:sz w:val="1"/>
                <w:szCs w:val="1"/>
                <w:color w:val="auto"/>
              </w:rPr>
            </w:pPr>
          </w:p>
        </w:tc>
      </w:tr>
      <w:tr>
        <w:trPr>
          <w:trHeight w:val="157"/>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Matthew O. Williamson</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5.3%</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3.6%</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15.7%</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46.9%</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12.6%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-2246630</wp:posOffset>
            </wp:positionV>
            <wp:extent cx="2476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-529590</wp:posOffset>
            </wp:positionV>
            <wp:extent cx="2476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6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payouts in fiscal 2007 represent an achievement of 150% for the consolidated net sales target of $1.26 billion, 34% for the consolidated net income target of $125 million and 150% for the regional net sales targets and 149% to 150% for the regional segment profit targets for those named executive officers with regional responsibility. A component of the payout was also influenced by the individual’s performance against his individual goals.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Incentives: Long-term Incentive Compensation</w:t>
      </w:r>
    </w:p>
    <w:p>
      <w:pPr>
        <w:spacing w:after="0" w:line="100" w:lineRule="exact"/>
        <w:rPr>
          <w:sz w:val="20"/>
          <w:szCs w:val="20"/>
          <w:color w:val="auto"/>
        </w:rPr>
      </w:pPr>
    </w:p>
    <w:p>
      <w:pPr>
        <w:ind w:left="680" w:right="120" w:firstLine="399"/>
        <w:spacing w:after="0" w:line="281" w:lineRule="auto"/>
        <w:rPr>
          <w:sz w:val="20"/>
          <w:szCs w:val="20"/>
          <w:color w:val="auto"/>
        </w:rPr>
      </w:pPr>
      <w:r>
        <w:rPr>
          <w:rFonts w:ascii="Arial" w:cs="Arial" w:eastAsia="Arial" w:hAnsi="Arial"/>
          <w:sz w:val="12"/>
          <w:szCs w:val="12"/>
          <w:color w:val="auto"/>
        </w:rPr>
        <w:t>The Company utilizes a combination of performance-based stock options and time-based stock options to attract, retain and motivate key employees who directly impact the performance of the Company over a timeframe of greater than a year. The combination of both performance-based stock options and time-based stock options is used to provide a balance between annual company performance and the generation of long-term shareholder value. Stock option based plans are influenced by Brady’s stock price, which directly affects the amount of compensation the executive receives upon vesting and exercising the options. The number of options granted is determined by the Compensation Committee with periodic input from its outside consultant, Pearl Meyer &amp; Partners. In 2007, Pearl Meyer &amp; Partners reviewed the long-term incentive compensation, as well as the total compensation of the Company’s five most highly compensated executives with the five most highly compensated executives of peer companies nationally. The peer group utilized in this analysis was the same as used in the analysis of base salaries discussed above. A comprehensive report was provided to the Compensation Committee of its findings.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Performance-based Stock Options:</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 order to provide greater alignment between the financial performance of the Company and the executive’s long-term incentive compensation, the named executive officers have been issued performance-based stock options which require specific net income target attainment over a three year period in order to vest. The net income target set on the options granted in fiscal 2007 was $125 million in consolidated net income for fiscal 2007, which was an aggressive target to reach and was subsequently not met. Aggressive targets for fiscal 2008 and fiscal 2009 consolidated net income were also set and may be difficult to achieve. As the targets for the fiscal year ended July 31,</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2007 were not met, one-third of these options did not vest. The performance-based stock options that were granted in prior years that had targets tied to fiscal 2007 consolidated net income were met and the options did vest.</w:t>
      </w:r>
    </w:p>
    <w:p>
      <w:pPr>
        <w:spacing w:after="0" w:line="59" w:lineRule="exact"/>
        <w:rPr>
          <w:sz w:val="20"/>
          <w:szCs w:val="20"/>
          <w:color w:val="auto"/>
        </w:rPr>
      </w:pPr>
    </w:p>
    <w:p>
      <w:pPr>
        <w:jc w:val="both"/>
        <w:ind w:left="680" w:right="140" w:firstLine="399"/>
        <w:spacing w:after="0" w:line="289" w:lineRule="auto"/>
        <w:rPr>
          <w:sz w:val="20"/>
          <w:szCs w:val="20"/>
          <w:color w:val="auto"/>
        </w:rPr>
      </w:pPr>
      <w:r>
        <w:rPr>
          <w:rFonts w:ascii="Arial" w:cs="Arial" w:eastAsia="Arial" w:hAnsi="Arial"/>
          <w:sz w:val="12"/>
          <w:szCs w:val="12"/>
          <w:color w:val="auto"/>
        </w:rPr>
        <w:t>The grant date of the options was pre-determined in advance to coincide with the beginning of the Company’s fiscal year. Consistent with the practice, the stock option grants were reviewed and approved by the Compensation Committee in July with an effective grant date of the first working day of August. The grant price is the fair market value of the stock on the grant date and is calculated by taking the average of the high and low stock price on that date. These stock options vest one-third each fiscal year following the grant based on attaining the predetermined minimum consolidated net income target each year. These options have a maximum ten year life following the grant date.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Time-based Stock Options: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timing of the grant of time-based stock options is determined at the mid-November Compensation Committee meeting each year. The grant date is established approximately two weeks following the release of the first quarter earnings in November. Time-based stock option grants in fiscal 2007 were reviewed and approved by the Compensation Committee on November 15, 2006 with an effective grant date of November 30, 2006. The grant price is the fair market value of the stock on the grant date and is calculated by taking the average of the high and low stock price on that date. The time-based stock options vest one-third each year for the first three years and have a ten year life.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and Post-Employment Benefits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 Benefits: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named executive officers receive the same basic benefits that are offered by the Company to other employees, including medical, dental, disability and life insurance.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Retirement Benefits:</w:t>
      </w:r>
    </w:p>
    <w:p>
      <w:pPr>
        <w:spacing w:after="0" w:line="96" w:lineRule="exact"/>
        <w:rPr>
          <w:sz w:val="20"/>
          <w:szCs w:val="20"/>
          <w:color w:val="auto"/>
        </w:rPr>
      </w:pPr>
    </w:p>
    <w:p>
      <w:pPr>
        <w:ind w:left="680" w:right="140" w:firstLine="399"/>
        <w:spacing w:after="0" w:line="281" w:lineRule="auto"/>
        <w:rPr>
          <w:sz w:val="20"/>
          <w:szCs w:val="20"/>
          <w:color w:val="auto"/>
        </w:rPr>
      </w:pPr>
      <w:r>
        <w:rPr>
          <w:rFonts w:ascii="Arial" w:cs="Arial" w:eastAsia="Arial" w:hAnsi="Arial"/>
          <w:sz w:val="12"/>
          <w:szCs w:val="12"/>
          <w:color w:val="auto"/>
        </w:rPr>
        <w:t>Most Brady employees in the United States and certain expatriate employees working for its international subsidiaries are eligible to participate in Brady Corporation’s Funded Retirement Plan (“Funded Retirement Plan”) and the Brady Corporation Matched 401(k) Plan (the “Employee 401(k) Plan”). Under these plans the Company agrees to contribute certain amounts to both Plans. Under the Funded Retirement Plan, the Company contributes 4% of the eligible earnings of each person covered by the Funded Retirement Plan. In addition, participants may elect to have their annual pay reduced by up to 4% and have the amount of this reduction contributed to the Employee 401(k) Plan and matched by an additional, equal contribution by the Company. Participants may also elect to have up to another 21% of their eligible earnings contributed to the Employee 401(k) Plan (without an additional matching contribution by the Company). The assets of the Employee 401(k) Plan and Funded Retirement Plan credited to each participant are invested by the trustee of the Plans as directed by each plan participant in several investment funds as permitted by the Employee 401(k) Plan and Funded Retirement Plan.</w:t>
      </w:r>
    </w:p>
    <w:p>
      <w:pPr>
        <w:spacing w:after="0" w:line="5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Due to the IRS income limitations for participating in the Employee 401(k) Plan and the Funded Retirement Plan, the named executive officers are eligible to participate in the Brady Restoration Plan which is a non-qualified deferred compensation plan that allows an equivalent benefit to the Employee 401(k) Plan and the Funded Retirement Plan for the executives on their income above the IRS limits.</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Benefits are generally payable upon the death, disability, or retirement of the participant or upon termination of employment before retirement, although benefits may be withdrawn from the employee 401(k) Plan and paid to the participant if required for certain emergencies. Under certain specified circumstances, the employee 401(k) Plan allows loans to be drawn on a participant’s account. The participant is immediately fully vested with respect to the contributions attributable to reductions in pay; all other contributions become fully vested over a three-year period of continuous service for the employee 401(k) Plan and after six years of continuous service for the Funded Retirement Plan.</w:t>
      </w:r>
    </w:p>
    <w:p>
      <w:pPr>
        <w:spacing w:after="0" w:line="53"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Deferred Compensation Arrangements — During fiscal 2002, the Company adopted a deferred compensation plan titled the Brady Corporation Executive Deferred Compensation Plan (“Executive Deferred Compensation Plan”), under which executive officers, corporate staff officers and certain key management employees of the Company are permitted to defer portions of their salary and bonus into a plan account, the value of which is measured by the fair value of the underlying investments. The assets of the Executive Deferred Compensation Plan</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are held in a Rabbi Trust and are invested by the trustee as directed by the participant in several investment funds as permitted by the Executive Deferred Compensation Plan. The investment funds available in the Executive Deferred Compensation Plan include Brady Corporation Class A Nonvoting Common Stock and various mutual funds that are provided in the Employee 401(k) Plan.</w:t>
      </w:r>
    </w:p>
    <w:p>
      <w:pPr>
        <w:spacing w:after="0" w:line="67"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At least one year prior to termination of employment, the executive must elect whether to receive his account balance following termination of employment in a single lump sum payment or by means of distribution under an Annual Installment Method. If the executive does not submit an election form or has not submitted one timely, then payment shall be made each year for a period of ten years. The first payment must be one-tenth of the balance held; the second one-ninth; and so on, with the balance held in the Rabbi Trust reduced by each payment.</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Effective January 1, 2005, the Executive Deferred Compensation Plan was amended and restated to comply with the provisions of Section 409A of the Internal Revenue Code. Amounts deferred prior to January 1, 2005 (which were fully vested under the terms of the plan), including past and future earnings credited thereon, will remain subject to the terms in place prior to January 1, 2005.</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Perquisites: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Brady provides the named executive officers with the following perquisites that are not available to other employees:</w:t>
      </w:r>
    </w:p>
    <w:p>
      <w:pPr>
        <w:spacing w:after="0" w:line="96"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Annual allowance for financial and tax planning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Eligible for annual physical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Company car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Long-term care insurance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Personal liability insurance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Club membership</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Ownership Guidelines</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order to encourage our executive officers and directors to acquire and retain ownership of a significant number of shares of the Company’s stock, stock ownership guidelines have been established. This supports our belief that stock ownership better aligns the interests of our executives and directors with the Company’s shareholders.</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7760" w:type="dxa"/>
            <w:vAlign w:val="bottom"/>
          </w:tcPr>
          <w:p>
            <w:pPr>
              <w:ind w:left="400"/>
              <w:spacing w:after="0"/>
              <w:rPr>
                <w:sz w:val="20"/>
                <w:szCs w:val="20"/>
                <w:color w:val="auto"/>
              </w:rPr>
            </w:pPr>
            <w:r>
              <w:rPr>
                <w:rFonts w:ascii="Arial" w:cs="Arial" w:eastAsia="Arial" w:hAnsi="Arial"/>
                <w:sz w:val="13"/>
                <w:szCs w:val="13"/>
                <w:color w:val="auto"/>
              </w:rPr>
              <w:t>The Board of Directors has established the following stock ownership guidelines for our named executive officers:</w:t>
            </w:r>
          </w:p>
        </w:tc>
        <w:tc>
          <w:tcPr>
            <w:tcW w:w="2220" w:type="dxa"/>
            <w:vAlign w:val="bottom"/>
          </w:tcPr>
          <w:p>
            <w:pPr>
              <w:spacing w:after="0"/>
              <w:rPr>
                <w:sz w:val="14"/>
                <w:szCs w:val="14"/>
                <w:color w:val="auto"/>
              </w:rPr>
            </w:pPr>
          </w:p>
        </w:tc>
      </w:tr>
      <w:tr>
        <w:trPr>
          <w:trHeight w:val="100"/>
        </w:trPr>
        <w:tc>
          <w:tcPr>
            <w:tcW w:w="7760" w:type="dxa"/>
            <w:vAlign w:val="bottom"/>
          </w:tcPr>
          <w:p>
            <w:pPr>
              <w:spacing w:after="0"/>
              <w:rPr>
                <w:sz w:val="8"/>
                <w:szCs w:val="8"/>
                <w:color w:val="auto"/>
              </w:rPr>
            </w:pPr>
          </w:p>
        </w:tc>
        <w:tc>
          <w:tcPr>
            <w:tcW w:w="2220" w:type="dxa"/>
            <w:vAlign w:val="bottom"/>
          </w:tcPr>
          <w:p>
            <w:pPr>
              <w:spacing w:after="0"/>
              <w:rPr>
                <w:sz w:val="8"/>
                <w:szCs w:val="8"/>
                <w:color w:val="auto"/>
              </w:rPr>
            </w:pPr>
          </w:p>
        </w:tc>
      </w:tr>
      <w:tr>
        <w:trPr>
          <w:trHeight w:val="157"/>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Frank M. Jaehnert</w:t>
            </w:r>
          </w:p>
        </w:tc>
        <w:tc>
          <w:tcPr>
            <w:tcW w:w="2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100,000 shares</w:t>
            </w:r>
          </w:p>
        </w:tc>
      </w:tr>
      <w:tr>
        <w:trPr>
          <w:trHeight w:val="157"/>
        </w:trPr>
        <w:tc>
          <w:tcPr>
            <w:tcW w:w="7760" w:type="dxa"/>
            <w:vAlign w:val="bottom"/>
          </w:tcPr>
          <w:p>
            <w:pPr>
              <w:spacing w:after="0"/>
              <w:rPr>
                <w:sz w:val="20"/>
                <w:szCs w:val="20"/>
                <w:color w:val="auto"/>
              </w:rPr>
            </w:pPr>
            <w:r>
              <w:rPr>
                <w:rFonts w:ascii="Arial" w:cs="Arial" w:eastAsia="Arial" w:hAnsi="Arial"/>
                <w:sz w:val="13"/>
                <w:szCs w:val="13"/>
                <w:color w:val="auto"/>
              </w:rPr>
              <w:t>David Mathieson</w:t>
            </w:r>
          </w:p>
        </w:tc>
        <w:tc>
          <w:tcPr>
            <w:tcW w:w="2220" w:type="dxa"/>
            <w:vAlign w:val="bottom"/>
          </w:tcPr>
          <w:p>
            <w:pPr>
              <w:jc w:val="right"/>
              <w:ind w:right="34"/>
              <w:spacing w:after="0"/>
              <w:rPr>
                <w:sz w:val="20"/>
                <w:szCs w:val="20"/>
                <w:color w:val="auto"/>
              </w:rPr>
            </w:pPr>
            <w:r>
              <w:rPr>
                <w:rFonts w:ascii="Arial" w:cs="Arial" w:eastAsia="Arial" w:hAnsi="Arial"/>
                <w:sz w:val="13"/>
                <w:szCs w:val="13"/>
                <w:color w:val="auto"/>
              </w:rPr>
              <w:t>30,000 shares</w:t>
            </w:r>
          </w:p>
        </w:tc>
      </w:tr>
      <w:tr>
        <w:trPr>
          <w:trHeight w:val="157"/>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David R. Hawke</w:t>
            </w:r>
          </w:p>
        </w:tc>
        <w:tc>
          <w:tcPr>
            <w:tcW w:w="2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50,000 shares</w:t>
            </w:r>
          </w:p>
        </w:tc>
      </w:tr>
      <w:tr>
        <w:trPr>
          <w:trHeight w:val="157"/>
        </w:trPr>
        <w:tc>
          <w:tcPr>
            <w:tcW w:w="7760" w:type="dxa"/>
            <w:vAlign w:val="bottom"/>
          </w:tcPr>
          <w:p>
            <w:pPr>
              <w:spacing w:after="0"/>
              <w:rPr>
                <w:sz w:val="20"/>
                <w:szCs w:val="20"/>
                <w:color w:val="auto"/>
              </w:rPr>
            </w:pPr>
            <w:r>
              <w:rPr>
                <w:rFonts w:ascii="Arial" w:cs="Arial" w:eastAsia="Arial" w:hAnsi="Arial"/>
                <w:sz w:val="13"/>
                <w:szCs w:val="13"/>
                <w:color w:val="auto"/>
              </w:rPr>
              <w:t>Peter C. Sephton</w:t>
            </w:r>
          </w:p>
        </w:tc>
        <w:tc>
          <w:tcPr>
            <w:tcW w:w="2220" w:type="dxa"/>
            <w:vAlign w:val="bottom"/>
          </w:tcPr>
          <w:p>
            <w:pPr>
              <w:jc w:val="right"/>
              <w:ind w:right="34"/>
              <w:spacing w:after="0"/>
              <w:rPr>
                <w:sz w:val="20"/>
                <w:szCs w:val="20"/>
                <w:color w:val="auto"/>
              </w:rPr>
            </w:pPr>
            <w:r>
              <w:rPr>
                <w:rFonts w:ascii="Arial" w:cs="Arial" w:eastAsia="Arial" w:hAnsi="Arial"/>
                <w:sz w:val="13"/>
                <w:szCs w:val="13"/>
                <w:color w:val="auto"/>
              </w:rPr>
              <w:t>20,000 shares</w:t>
            </w:r>
          </w:p>
        </w:tc>
      </w:tr>
      <w:tr>
        <w:trPr>
          <w:trHeight w:val="157"/>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Matt O. Williamson</w:t>
            </w:r>
          </w:p>
        </w:tc>
        <w:tc>
          <w:tcPr>
            <w:tcW w:w="2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20,000 shares</w:t>
            </w:r>
          </w:p>
        </w:tc>
      </w:tr>
      <w:tr>
        <w:trPr>
          <w:trHeight w:val="244"/>
        </w:trPr>
        <w:tc>
          <w:tcPr>
            <w:tcW w:w="7760" w:type="dxa"/>
            <w:vAlign w:val="bottom"/>
          </w:tcPr>
          <w:p>
            <w:pPr>
              <w:ind w:left="400"/>
              <w:spacing w:after="0"/>
              <w:rPr>
                <w:sz w:val="20"/>
                <w:szCs w:val="20"/>
                <w:color w:val="auto"/>
              </w:rPr>
            </w:pPr>
            <w:r>
              <w:rPr>
                <w:rFonts w:ascii="Arial" w:cs="Arial" w:eastAsia="Arial" w:hAnsi="Arial"/>
                <w:sz w:val="13"/>
                <w:szCs w:val="13"/>
                <w:color w:val="auto"/>
              </w:rPr>
              <w:t>Each director is required to beneficially own 5,000 shares of Company stock.</w:t>
            </w:r>
          </w:p>
        </w:tc>
        <w:tc>
          <w:tcPr>
            <w:tcW w:w="2220" w:type="dxa"/>
            <w:vAlign w:val="bottom"/>
          </w:tcPr>
          <w:p>
            <w:pPr>
              <w:spacing w:after="0"/>
              <w:rPr>
                <w:sz w:val="21"/>
                <w:szCs w:val="21"/>
                <w:color w:val="auto"/>
              </w:rPr>
            </w:pPr>
          </w:p>
        </w:tc>
      </w:tr>
    </w:tbl>
    <w:p>
      <w:pPr>
        <w:spacing w:after="0" w:line="8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Named executive officers have up to five years to achieve these ownership levels. If an executive does not the meet the ownership level at the end of the fifth year, the executive’s after-tax payout on any incentive plans will be in Class A Nonvoting Common Stock to bring the executive up to the required level. The Compensation Committee reviewed the actual stock ownership levels of each of the named executive officers in February 2007 and found that each executive exceeded the required level.</w:t>
      </w:r>
    </w:p>
    <w:p>
      <w:pPr>
        <w:spacing w:after="0" w:line="67"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For purposes of determining whether an executive meets the required ownership level, Company stock owned outright, Company stock held in the Executive Deferred Compensation Plan and Company stock owned in the Employee 401(k) Plan is included. In addition, twenty percent of any vested stock options that are “in the money” are included.</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and Change of Control Agreements</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November 2004, the Board of Directors of Brady Corporation approved change of control agreements for certain executive officers of the Company including Mr. Mathieson, Mr. Sephton, and Mr. Williamson. The agreements call for payment of an amount equal to two times their annual base salary and two times the average bonus payment received in the two years immediately prior to the date the change of control occurs in the event of termination or resignation upon a change of control. The agreements also call for reimbursement of any excise taxes imposed and up to $25,000 of attorney fees to enforce the executive’s rights under the agreement. Payments under the agreement will be spread over two years.</w:t>
      </w:r>
    </w:p>
    <w:p>
      <w:pPr>
        <w:spacing w:after="0" w:line="53"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In May 2003, the Board approved a Change of Control Agreement for Mr. Jaehnert. The agreement calls for payment of an amount equal to three times the annual salary and bonus for Mr. Jaehnert in the event of termination or resignation upon a change of control. The agreement also calls for reimbursement of any excise taxes imposed and up to $25,000 of attorney fees to enforce the executive’s rights under the agreement. Payments under the agreement will be spread over three years.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January 2001, the Board approved Change of Control Agreements for certain of its executive officers, including Mr. Hawke. The agreements call for payment of an amount equal to two times their annual salary and bonus in the event of termination or resignation upon a change in control with payments spread over two years. The agreements also call for reimbursement of any excise taxes imposed and up to $25,000 of attorney fees to enforce the executive’s rights under the agreements. See discussion of the retirement agreement entered into with Mr. Hawke on July 9, 2007, in the narrative following the Summary Compensation Table.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Compliance with Tax Regulations Regarding Executive Compensation</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significant nondeductible compensation in excess of these limits. The Compensation Committee will continue to review these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During fiscal 2007, the Board’s Compensation Committee was composed of Messrs. Bemis, Buchanan, Jarc, Nei and Peirce and Ms. Bush. None of these persons has at any time been an employee of the Company or any of its subsidiaries. There are no relationships among the Company’s executive officers, members of the Compensation Committee or entities whose executives serve on the Board that require disclosure under applicable SEC regulations.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Report</w:t>
      </w:r>
    </w:p>
    <w:p>
      <w:pPr>
        <w:spacing w:after="0" w:line="100"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The Compensation Committee has reviewed and discussed the Compensation Discussion and Analysis with management; and based on the review and discussions, the Compensation Committee recommended to the Board of Directors that the Compensation Discussion and Analysis be included in the Company’s annual report on Form 10-K.</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Gary E. Nei, Chairman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Patrick W. Allender</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Richard A. Bemis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Robert C. Buchanan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Mary K. Bush</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Frank R. Jarc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Roger D. Peirce</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Compensation Table</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table sets forth compensation awarded to, earned by, or paid to the named executive officers, who were serving as executive officers as of July 31, 2007 for services rendered to the Company and its subsidiaries during the fiscal year ended July 31, 2007.</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Non-Equity</w:t>
            </w: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9"/>
              </w:rPr>
              <w:t>All Other</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Fiscal</w:t>
            </w:r>
          </w:p>
        </w:tc>
        <w:tc>
          <w:tcPr>
            <w:tcW w:w="7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Salary</w:t>
            </w: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Option Awards</w:t>
            </w:r>
          </w:p>
        </w:tc>
        <w:tc>
          <w:tcPr>
            <w:tcW w:w="10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1100" w:type="dxa"/>
            <w:vAlign w:val="bottom"/>
            <w:gridSpan w:val="2"/>
            <w:vMerge w:val="continue"/>
          </w:tcPr>
          <w:p>
            <w:pPr>
              <w:spacing w:after="0"/>
              <w:rPr>
                <w:sz w:val="9"/>
                <w:szCs w:val="9"/>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8"/>
        </w:trPr>
        <w:tc>
          <w:tcPr>
            <w:tcW w:w="438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Principal Position</w:t>
            </w: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Compensation</w:t>
            </w:r>
          </w:p>
        </w:tc>
        <w:tc>
          <w:tcPr>
            <w:tcW w:w="11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Compensation</w:t>
            </w: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3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Year</w:t>
            </w:r>
          </w:p>
        </w:tc>
        <w:tc>
          <w:tcPr>
            <w:tcW w:w="580" w:type="dxa"/>
            <w:vAlign w:val="bottom"/>
          </w:tcPr>
          <w:p>
            <w:pPr>
              <w:ind w:left="24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0"/>
                <w:szCs w:val="10"/>
                <w:color w:val="auto"/>
              </w:rPr>
            </w:pPr>
          </w:p>
        </w:tc>
        <w:tc>
          <w:tcPr>
            <w:tcW w:w="1000" w:type="dxa"/>
            <w:vAlign w:val="bottom"/>
          </w:tcPr>
          <w:p>
            <w:pPr>
              <w:jc w:val="right"/>
              <w:ind w:right="318"/>
              <w:spacing w:after="0"/>
              <w:rPr>
                <w:sz w:val="20"/>
                <w:szCs w:val="20"/>
                <w:color w:val="auto"/>
              </w:rPr>
            </w:pPr>
            <w:r>
              <w:rPr>
                <w:rFonts w:ascii="Arial" w:cs="Arial" w:eastAsia="Arial" w:hAnsi="Arial"/>
                <w:sz w:val="10"/>
                <w:szCs w:val="10"/>
                <w:b w:val="1"/>
                <w:bCs w:val="1"/>
                <w:color w:val="auto"/>
              </w:rPr>
              <w:t>($)(1)</w:t>
            </w:r>
          </w:p>
        </w:tc>
        <w:tc>
          <w:tcPr>
            <w:tcW w:w="20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7"/>
              </w:rPr>
              <w:t>($)(2)</w:t>
            </w:r>
          </w:p>
        </w:tc>
        <w:tc>
          <w:tcPr>
            <w:tcW w:w="20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7"/>
              </w:rPr>
              <w:t>($)(3)</w:t>
            </w:r>
          </w:p>
        </w:tc>
        <w:tc>
          <w:tcPr>
            <w:tcW w:w="200" w:type="dxa"/>
            <w:vAlign w:val="bottom"/>
          </w:tcPr>
          <w:p>
            <w:pPr>
              <w:spacing w:after="0"/>
              <w:rPr>
                <w:sz w:val="10"/>
                <w:szCs w:val="10"/>
                <w:color w:val="auto"/>
              </w:rPr>
            </w:pPr>
          </w:p>
        </w:tc>
        <w:tc>
          <w:tcPr>
            <w:tcW w:w="680" w:type="dxa"/>
            <w:vAlign w:val="bottom"/>
          </w:tcPr>
          <w:p>
            <w:pPr>
              <w:jc w:val="right"/>
              <w:ind w:right="21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F.M. Jaehnert</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2007</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638,987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860,224</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430,677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146,592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2,076,480</w:t>
            </w:r>
          </w:p>
        </w:tc>
        <w:tc>
          <w:tcPr>
            <w:tcW w:w="0" w:type="dxa"/>
            <w:vAlign w:val="bottom"/>
          </w:tcPr>
          <w:p>
            <w:pPr>
              <w:spacing w:after="0"/>
              <w:rPr>
                <w:sz w:val="1"/>
                <w:szCs w:val="1"/>
                <w:color w:val="auto"/>
              </w:rPr>
            </w:pPr>
          </w:p>
        </w:tc>
      </w:tr>
      <w:tr>
        <w:trPr>
          <w:trHeight w:val="148"/>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President &amp;</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Chief Executive Officer</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gridSpan w:val="2"/>
          </w:tcPr>
          <w:p>
            <w:pPr>
              <w:spacing w:after="0" w:line="149" w:lineRule="exact"/>
              <w:rPr>
                <w:sz w:val="20"/>
                <w:szCs w:val="20"/>
                <w:color w:val="auto"/>
              </w:rPr>
            </w:pPr>
            <w:r>
              <w:rPr>
                <w:rFonts w:ascii="Arial" w:cs="Arial" w:eastAsia="Arial" w:hAnsi="Arial"/>
                <w:sz w:val="13"/>
                <w:szCs w:val="13"/>
                <w:color w:val="auto"/>
              </w:rPr>
              <w:t>D. Mathieson</w:t>
            </w: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3"/>
                <w:szCs w:val="13"/>
                <w:color w:val="auto"/>
              </w:rPr>
              <w:t>2007</w:t>
            </w:r>
          </w:p>
        </w:tc>
        <w:tc>
          <w:tcPr>
            <w:tcW w:w="780" w:type="dxa"/>
            <w:vAlign w:val="bottom"/>
            <w:gridSpan w:val="2"/>
          </w:tcPr>
          <w:p>
            <w:pPr>
              <w:ind w:left="160"/>
              <w:spacing w:after="0" w:line="149" w:lineRule="exact"/>
              <w:rPr>
                <w:sz w:val="20"/>
                <w:szCs w:val="20"/>
                <w:color w:val="auto"/>
              </w:rPr>
            </w:pPr>
            <w:r>
              <w:rPr>
                <w:rFonts w:ascii="Arial" w:cs="Arial" w:eastAsia="Arial" w:hAnsi="Arial"/>
                <w:sz w:val="13"/>
                <w:szCs w:val="13"/>
                <w:color w:val="auto"/>
              </w:rPr>
              <w:t>293,046</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438,301</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3"/>
                <w:szCs w:val="13"/>
                <w:color w:val="auto"/>
              </w:rPr>
              <w:t>144,413</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68,349</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944,109</w:t>
            </w:r>
          </w:p>
        </w:tc>
        <w:tc>
          <w:tcPr>
            <w:tcW w:w="0" w:type="dxa"/>
            <w:vAlign w:val="bottom"/>
          </w:tcPr>
          <w:p>
            <w:pPr>
              <w:spacing w:after="0"/>
              <w:rPr>
                <w:sz w:val="1"/>
                <w:szCs w:val="1"/>
                <w:color w:val="auto"/>
              </w:rPr>
            </w:pPr>
          </w:p>
        </w:tc>
      </w:tr>
      <w:tr>
        <w:trPr>
          <w:trHeight w:val="157"/>
        </w:trPr>
        <w:tc>
          <w:tcPr>
            <w:tcW w:w="4380" w:type="dxa"/>
            <w:vAlign w:val="bottom"/>
            <w:gridSpan w:val="2"/>
          </w:tcPr>
          <w:p>
            <w:pPr>
              <w:spacing w:after="0"/>
              <w:rPr>
                <w:sz w:val="20"/>
                <w:szCs w:val="20"/>
                <w:color w:val="auto"/>
              </w:rPr>
            </w:pPr>
            <w:r>
              <w:rPr>
                <w:rFonts w:ascii="Arial" w:cs="Arial" w:eastAsia="Arial" w:hAnsi="Arial"/>
                <w:sz w:val="13"/>
                <w:szCs w:val="13"/>
                <w:color w:val="auto"/>
              </w:rPr>
              <w:t>Vice President &amp;</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380" w:type="dxa"/>
            <w:vAlign w:val="bottom"/>
            <w:gridSpan w:val="2"/>
          </w:tcPr>
          <w:p>
            <w:pPr>
              <w:spacing w:after="0"/>
              <w:rPr>
                <w:sz w:val="20"/>
                <w:szCs w:val="20"/>
                <w:color w:val="auto"/>
              </w:rPr>
            </w:pPr>
            <w:r>
              <w:rPr>
                <w:rFonts w:ascii="Arial" w:cs="Arial" w:eastAsia="Arial" w:hAnsi="Arial"/>
                <w:sz w:val="13"/>
                <w:szCs w:val="13"/>
                <w:color w:val="auto"/>
              </w:rPr>
              <w:t>Chief Financial Officer</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D.R. Hawke</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2007</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401,153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371,772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211,809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1,071,485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2,056,219</w:t>
            </w:r>
          </w:p>
        </w:tc>
        <w:tc>
          <w:tcPr>
            <w:tcW w:w="0" w:type="dxa"/>
            <w:vAlign w:val="bottom"/>
          </w:tcPr>
          <w:p>
            <w:pPr>
              <w:spacing w:after="0"/>
              <w:rPr>
                <w:sz w:val="1"/>
                <w:szCs w:val="1"/>
                <w:color w:val="auto"/>
              </w:rPr>
            </w:pPr>
          </w:p>
        </w:tc>
      </w:tr>
      <w:tr>
        <w:trPr>
          <w:trHeight w:val="157"/>
        </w:trPr>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Executive Vice President</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80" w:type="dxa"/>
            <w:vAlign w:val="bottom"/>
            <w:gridSpan w:val="2"/>
          </w:tcPr>
          <w:p>
            <w:pPr>
              <w:spacing w:after="0" w:line="149" w:lineRule="exact"/>
              <w:rPr>
                <w:sz w:val="20"/>
                <w:szCs w:val="20"/>
                <w:color w:val="auto"/>
              </w:rPr>
            </w:pPr>
            <w:r>
              <w:rPr>
                <w:rFonts w:ascii="Arial" w:cs="Arial" w:eastAsia="Arial" w:hAnsi="Arial"/>
                <w:sz w:val="13"/>
                <w:szCs w:val="13"/>
                <w:color w:val="auto"/>
              </w:rPr>
              <w:t>P.C. Sephton(4)</w:t>
            </w: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3"/>
                <w:szCs w:val="13"/>
                <w:color w:val="auto"/>
              </w:rPr>
              <w:t>2007</w:t>
            </w:r>
          </w:p>
        </w:tc>
        <w:tc>
          <w:tcPr>
            <w:tcW w:w="780" w:type="dxa"/>
            <w:vAlign w:val="bottom"/>
            <w:gridSpan w:val="2"/>
          </w:tcPr>
          <w:p>
            <w:pPr>
              <w:ind w:left="160"/>
              <w:spacing w:after="0" w:line="149" w:lineRule="exact"/>
              <w:rPr>
                <w:sz w:val="20"/>
                <w:szCs w:val="20"/>
                <w:color w:val="auto"/>
              </w:rPr>
            </w:pPr>
            <w:r>
              <w:rPr>
                <w:rFonts w:ascii="Arial" w:cs="Arial" w:eastAsia="Arial" w:hAnsi="Arial"/>
                <w:sz w:val="13"/>
                <w:szCs w:val="13"/>
                <w:color w:val="auto"/>
              </w:rPr>
              <w:t>352,970</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418,232</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3"/>
                <w:szCs w:val="13"/>
                <w:color w:val="auto"/>
              </w:rPr>
              <w:t>326,886</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95,539</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1,193,627</w:t>
            </w:r>
          </w:p>
        </w:tc>
        <w:tc>
          <w:tcPr>
            <w:tcW w:w="0" w:type="dxa"/>
            <w:vAlign w:val="bottom"/>
          </w:tcPr>
          <w:p>
            <w:pPr>
              <w:spacing w:after="0"/>
              <w:rPr>
                <w:sz w:val="1"/>
                <w:szCs w:val="1"/>
                <w:color w:val="auto"/>
              </w:rPr>
            </w:pPr>
          </w:p>
        </w:tc>
      </w:tr>
      <w:tr>
        <w:trPr>
          <w:trHeight w:val="165"/>
        </w:trPr>
        <w:tc>
          <w:tcPr>
            <w:tcW w:w="4380" w:type="dxa"/>
            <w:vAlign w:val="bottom"/>
            <w:gridSpan w:val="2"/>
          </w:tcPr>
          <w:p>
            <w:pPr>
              <w:spacing w:after="0"/>
              <w:rPr>
                <w:sz w:val="20"/>
                <w:szCs w:val="20"/>
                <w:color w:val="auto"/>
              </w:rPr>
            </w:pPr>
            <w:r>
              <w:rPr>
                <w:rFonts w:ascii="Arial" w:cs="Arial" w:eastAsia="Arial" w:hAnsi="Arial"/>
                <w:sz w:val="13"/>
                <w:szCs w:val="13"/>
                <w:color w:val="auto"/>
              </w:rPr>
              <w:t>Vice President — Brady Europe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 O. Williamson</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2007</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279,340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418,232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234,939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66,817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999,328</w:t>
            </w:r>
          </w:p>
        </w:tc>
        <w:tc>
          <w:tcPr>
            <w:tcW w:w="0" w:type="dxa"/>
            <w:vAlign w:val="bottom"/>
          </w:tcPr>
          <w:p>
            <w:pPr>
              <w:spacing w:after="0"/>
              <w:rPr>
                <w:sz w:val="1"/>
                <w:szCs w:val="1"/>
                <w:color w:val="auto"/>
              </w:rPr>
            </w:pPr>
          </w:p>
        </w:tc>
      </w:tr>
      <w:tr>
        <w:trPr>
          <w:trHeight w:val="157"/>
        </w:trPr>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Vice President — Brady Americas</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180" w:hanging="243"/>
        <w:spacing w:after="0" w:line="258" w:lineRule="auto"/>
        <w:tabs>
          <w:tab w:leader="none" w:pos="11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the amounts expensed in fiscal 2007 relating to grants of performance-based stock options and time-based stock options. The Company accounts for stock-based compensation in accordance with SFAS No. 123(R), which requires it to recognize compensation expense for stock options granted to employees and directors based on the estimated fair value of the awards at the time of grant.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2007.</w:t>
      </w:r>
    </w:p>
    <w:p>
      <w:pPr>
        <w:spacing w:after="0" w:line="61" w:lineRule="exact"/>
        <w:rPr>
          <w:rFonts w:ascii="Arial" w:cs="Arial" w:eastAsia="Arial" w:hAnsi="Arial"/>
          <w:sz w:val="13"/>
          <w:szCs w:val="13"/>
          <w:color w:val="auto"/>
        </w:rPr>
      </w:pPr>
    </w:p>
    <w:p>
      <w:pPr>
        <w:ind w:left="1180" w:right="80"/>
        <w:spacing w:after="0" w:line="276" w:lineRule="auto"/>
        <w:rPr>
          <w:rFonts w:ascii="Arial" w:cs="Arial" w:eastAsia="Arial" w:hAnsi="Arial"/>
          <w:sz w:val="13"/>
          <w:szCs w:val="13"/>
          <w:color w:val="auto"/>
        </w:rPr>
      </w:pPr>
      <w:r>
        <w:rPr>
          <w:rFonts w:ascii="Arial" w:cs="Arial" w:eastAsia="Arial" w:hAnsi="Arial"/>
          <w:sz w:val="13"/>
          <w:szCs w:val="13"/>
          <w:color w:val="auto"/>
        </w:rPr>
        <w:t>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Reflects incentive plan compensation earned during the listed fiscal year, which was paid during the next fiscal year.</w:t>
      </w:r>
    </w:p>
    <w:p>
      <w:pPr>
        <w:spacing w:after="0" w:line="47" w:lineRule="exact"/>
        <w:rPr>
          <w:rFonts w:ascii="Arial" w:cs="Arial" w:eastAsia="Arial" w:hAnsi="Arial"/>
          <w:sz w:val="13"/>
          <w:szCs w:val="13"/>
          <w:color w:val="auto"/>
        </w:rPr>
      </w:pPr>
    </w:p>
    <w:p>
      <w:pPr>
        <w:ind w:left="1180" w:right="100" w:hanging="243"/>
        <w:spacing w:after="0" w:line="260" w:lineRule="auto"/>
        <w:tabs>
          <w:tab w:leader="none" w:pos="11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amounts in this column for Messrs. Jaehnert, Mathieson, Hawke, and Williamson include: matching contributions to the Company’s Matched 401(k) Plan, Funded Retirement Plan and Restoration Plan, the costs of group term life insurance for each named executive officer, use of a Company car and associated expenses, the cost of long-term care insurance, the cost of personal liability insurance and other perquisites. The perquisites may include an annual allowance for financial and tax planning, the cost of an annual physical health exam, and club membership dues.</w:t>
      </w:r>
    </w:p>
    <w:p>
      <w:pPr>
        <w:spacing w:after="0" w:line="59" w:lineRule="exact"/>
        <w:rPr>
          <w:rFonts w:ascii="Arial" w:cs="Arial" w:eastAsia="Arial" w:hAnsi="Arial"/>
          <w:sz w:val="13"/>
          <w:szCs w:val="13"/>
          <w:color w:val="auto"/>
        </w:rPr>
      </w:pPr>
    </w:p>
    <w:p>
      <w:pPr>
        <w:ind w:left="1180" w:right="240"/>
        <w:spacing w:after="0" w:line="264" w:lineRule="auto"/>
        <w:rPr>
          <w:rFonts w:ascii="Arial" w:cs="Arial" w:eastAsia="Arial" w:hAnsi="Arial"/>
          <w:sz w:val="13"/>
          <w:szCs w:val="13"/>
          <w:color w:val="auto"/>
        </w:rPr>
      </w:pPr>
      <w:r>
        <w:rPr>
          <w:rFonts w:ascii="Arial" w:cs="Arial" w:eastAsia="Arial" w:hAnsi="Arial"/>
          <w:sz w:val="13"/>
          <w:szCs w:val="13"/>
          <w:color w:val="auto"/>
        </w:rPr>
        <w:t>In addition to the amounts described in the table below, $975,857 is included in this column for Mr. Hawke to account for the accrual of payments required under the agreement entered into on July 9, 2007, between the Company and Mr. Hawke regarding the retirement from his current position. See the narrative below for further explanation of the agreement.</w:t>
      </w:r>
    </w:p>
    <w:p>
      <w:pPr>
        <w:spacing w:after="0" w:line="57" w:lineRule="exact"/>
        <w:rPr>
          <w:sz w:val="20"/>
          <w:szCs w:val="20"/>
          <w:color w:val="auto"/>
        </w:rPr>
      </w:pPr>
    </w:p>
    <w:p>
      <w:pPr>
        <w:ind w:left="1180" w:right="320"/>
        <w:spacing w:after="0" w:line="276" w:lineRule="auto"/>
        <w:rPr>
          <w:sz w:val="20"/>
          <w:szCs w:val="20"/>
          <w:color w:val="auto"/>
        </w:rPr>
      </w:pPr>
      <w:r>
        <w:rPr>
          <w:rFonts w:ascii="Arial" w:cs="Arial" w:eastAsia="Arial" w:hAnsi="Arial"/>
          <w:sz w:val="13"/>
          <w:szCs w:val="13"/>
          <w:color w:val="auto"/>
        </w:rPr>
        <w:t>The amounts in this column for Mr. Sephton include: matching contributions for the Brady U.K. Pension Plan, the cost of group term life insurance, use of a Company car and associated expenses and other perquisites as listed above.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9"/>
              </w:rPr>
              <w:t>Retirement</w:t>
            </w:r>
          </w:p>
        </w:tc>
        <w:tc>
          <w:tcPr>
            <w:tcW w:w="8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GroupTerm</w:t>
            </w:r>
          </w:p>
        </w:tc>
        <w:tc>
          <w:tcPr>
            <w:tcW w:w="8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Company</w:t>
            </w: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Long-term</w:t>
            </w:r>
          </w:p>
        </w:tc>
        <w:tc>
          <w:tcPr>
            <w:tcW w:w="7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Personal</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1"/>
              </w:rPr>
              <w:t>Fiscal</w:t>
            </w:r>
          </w:p>
        </w:tc>
        <w:tc>
          <w:tcPr>
            <w:tcW w:w="10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4"/>
              </w:rPr>
              <w:t>Plan</w:t>
            </w:r>
          </w:p>
        </w:tc>
        <w:tc>
          <w:tcPr>
            <w:tcW w:w="88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Life</w:t>
            </w:r>
          </w:p>
        </w:tc>
        <w:tc>
          <w:tcPr>
            <w:tcW w:w="800" w:type="dxa"/>
            <w:vAlign w:val="bottom"/>
            <w:gridSpan w:val="2"/>
            <w:vMerge w:val="continue"/>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8"/>
              </w:rPr>
              <w:t>Care</w:t>
            </w: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Liability</w:t>
            </w: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7"/>
              </w:rPr>
              <w:t>Other</w:t>
            </w: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18"/>
        </w:trPr>
        <w:tc>
          <w:tcPr>
            <w:tcW w:w="382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60" w:type="dxa"/>
            <w:vAlign w:val="bottom"/>
            <w:gridSpan w:val="2"/>
            <w:vMerge w:val="continue"/>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Contributions</w:t>
            </w:r>
          </w:p>
        </w:tc>
        <w:tc>
          <w:tcPr>
            <w:tcW w:w="8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Insurance</w:t>
            </w:r>
          </w:p>
        </w:tc>
        <w:tc>
          <w:tcPr>
            <w:tcW w:w="800" w:type="dxa"/>
            <w:vAlign w:val="bottom"/>
            <w:gridSpan w:val="2"/>
          </w:tcPr>
          <w:p>
            <w:pPr>
              <w:ind w:left="220"/>
              <w:spacing w:after="0"/>
              <w:rPr>
                <w:sz w:val="20"/>
                <w:szCs w:val="20"/>
                <w:color w:val="auto"/>
              </w:rPr>
            </w:pPr>
            <w:r>
              <w:rPr>
                <w:rFonts w:ascii="Arial" w:cs="Arial" w:eastAsia="Arial" w:hAnsi="Arial"/>
                <w:sz w:val="10"/>
                <w:szCs w:val="10"/>
                <w:b w:val="1"/>
                <w:bCs w:val="1"/>
                <w:color w:val="auto"/>
              </w:rPr>
              <w:t>Car</w:t>
            </w: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Insurance</w:t>
            </w:r>
          </w:p>
        </w:tc>
        <w:tc>
          <w:tcPr>
            <w:tcW w:w="7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Insurance</w:t>
            </w:r>
          </w:p>
        </w:tc>
        <w:tc>
          <w:tcPr>
            <w:tcW w:w="6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20" w:type="dxa"/>
            <w:vAlign w:val="bottom"/>
            <w:vMerge w:val="continue"/>
          </w:tcPr>
          <w:p>
            <w:pPr>
              <w:spacing w:after="0"/>
              <w:rPr>
                <w:sz w:val="10"/>
                <w:szCs w:val="10"/>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Year</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600" w:type="dxa"/>
            <w:vAlign w:val="bottom"/>
          </w:tcPr>
          <w:p>
            <w:pPr>
              <w:ind w:left="24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400" w:type="dxa"/>
            <w:vAlign w:val="bottom"/>
          </w:tcPr>
          <w:p>
            <w:pPr>
              <w:jc w:val="right"/>
              <w:ind w:right="78"/>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0"/>
                <w:szCs w:val="10"/>
                <w:color w:val="auto"/>
              </w:rPr>
            </w:pPr>
          </w:p>
        </w:tc>
        <w:tc>
          <w:tcPr>
            <w:tcW w:w="580" w:type="dxa"/>
            <w:vAlign w:val="bottom"/>
          </w:tcPr>
          <w:p>
            <w:pPr>
              <w:jc w:val="right"/>
              <w:ind w:right="15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F.M. Jaehnert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2007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104,230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4,259</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26,935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1,683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7,885</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146,592</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D. Mathieson</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2007</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36,801</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744</w:t>
            </w:r>
          </w:p>
        </w:tc>
        <w:tc>
          <w:tcPr>
            <w:tcW w:w="800" w:type="dxa"/>
            <w:vAlign w:val="bottom"/>
            <w:gridSpan w:val="2"/>
          </w:tcPr>
          <w:p>
            <w:pPr>
              <w:ind w:left="240"/>
              <w:spacing w:after="0"/>
              <w:rPr>
                <w:sz w:val="20"/>
                <w:szCs w:val="20"/>
                <w:color w:val="auto"/>
              </w:rPr>
            </w:pPr>
            <w:r>
              <w:rPr>
                <w:rFonts w:ascii="Arial" w:cs="Arial" w:eastAsia="Arial" w:hAnsi="Arial"/>
                <w:sz w:val="13"/>
                <w:szCs w:val="13"/>
                <w:color w:val="auto"/>
              </w:rPr>
              <w:t>23,149</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1,368</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5,362</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925</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68,349</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D.R. Hawke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2007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57,097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3,042</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18,448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1,683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7,015</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8,343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95,628</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P.C. Sephton(4)</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2007</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56,475</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2,349</w:t>
            </w:r>
          </w:p>
        </w:tc>
        <w:tc>
          <w:tcPr>
            <w:tcW w:w="800" w:type="dxa"/>
            <w:vAlign w:val="bottom"/>
            <w:gridSpan w:val="2"/>
          </w:tcPr>
          <w:p>
            <w:pPr>
              <w:ind w:left="240"/>
              <w:spacing w:after="0"/>
              <w:rPr>
                <w:sz w:val="20"/>
                <w:szCs w:val="20"/>
                <w:color w:val="auto"/>
              </w:rPr>
            </w:pPr>
            <w:r>
              <w:rPr>
                <w:rFonts w:ascii="Arial" w:cs="Arial" w:eastAsia="Arial" w:hAnsi="Arial"/>
                <w:sz w:val="13"/>
                <w:szCs w:val="13"/>
                <w:color w:val="auto"/>
              </w:rPr>
              <w:t>36,715</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95,539</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M. O. Williamson</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2007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36,396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733</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22,510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1,683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5,495</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66,817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-529590</wp:posOffset>
            </wp:positionV>
            <wp:extent cx="2476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5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180" w:right="120" w:hanging="243"/>
        <w:spacing w:after="0" w:line="276" w:lineRule="auto"/>
        <w:tabs>
          <w:tab w:leader="none" w:pos="11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amounts in this table for Mr. Sephton, who works and lives in the United Kingdom, were paid to him in British Pounds. The amounts shown in U.S. dollars in the table above were converted from British Pounds at the average exchange rate for fiscal 2007: $1 = £0.5135.</w:t>
      </w:r>
    </w:p>
    <w:p>
      <w:pPr>
        <w:spacing w:after="0" w:line="59"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On July 9, 2007, the Company entered into a retirement agreement with Mr. Hawke. Pursuant to the retirement agreement, as of September 30, 2007, Mr. Hawke’s current position will be eliminated and Mr. Hawke will assume the position of Chief Operating Officer of the Brady Foundation until his retirement from the Corporation on September 30, 2009. The retirement agreement provides that Mr. Hawke will receive his current base salary, less required withholding, and customary fringe benefits from October 1, 2007 through September 30, 2009. As of August 1, 2007, Mr. Hawke was no longer entitled to new grants under the Company’s stock option plans and was no longer eligible to participate in the Company’s cash incentive plan. However, Mr. Hawke retained all rights with respect to vesting and exercising of stock options granted prior to that date and retained his current rights under the Company’s fiscal 2007 cash incentive plan. During the period from August 1, 2007 through September 30, 2009, Mr. Hawke’s employment may only be terminated by the Company for cause, which is defined in the retirement agreement as misconduct or other wrongdoing contrary to the interests of the Company.</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Grants of Plan-Based Awards for 2007</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grants of plan-based awards made during fiscal 2007 to the named executive officers.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4"/>
              </w:rPr>
              <w:t>All Other</w:t>
            </w: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6"/>
              </w:rPr>
              <w:t>Option</w:t>
            </w: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89"/>
              </w:rPr>
              <w:t>Awards;</w:t>
            </w: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jc w:val="center"/>
              <w:ind w:right="100"/>
              <w:spacing w:after="0" w:line="98" w:lineRule="exact"/>
              <w:rPr>
                <w:sz w:val="20"/>
                <w:szCs w:val="20"/>
                <w:color w:val="auto"/>
              </w:rPr>
            </w:pPr>
            <w:r>
              <w:rPr>
                <w:rFonts w:ascii="Arial" w:cs="Arial" w:eastAsia="Arial" w:hAnsi="Arial"/>
                <w:sz w:val="9"/>
                <w:szCs w:val="9"/>
                <w:b w:val="1"/>
                <w:bCs w:val="1"/>
                <w:color w:val="auto"/>
                <w:w w:val="99"/>
              </w:rPr>
              <w:t>Grant</w:t>
            </w:r>
          </w:p>
        </w:tc>
        <w:tc>
          <w:tcPr>
            <w:tcW w:w="0" w:type="dxa"/>
            <w:vAlign w:val="bottom"/>
          </w:tcPr>
          <w:p>
            <w:pPr>
              <w:spacing w:after="0"/>
              <w:rPr>
                <w:sz w:val="1"/>
                <w:szCs w:val="1"/>
                <w:color w:val="auto"/>
              </w:rPr>
            </w:pPr>
          </w:p>
        </w:tc>
      </w:tr>
      <w:tr>
        <w:trPr>
          <w:trHeight w:val="98"/>
        </w:trPr>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gridSpan w:val="7"/>
          </w:tcPr>
          <w:p>
            <w:pPr>
              <w:ind w:left="400"/>
              <w:spacing w:after="0" w:line="98" w:lineRule="exact"/>
              <w:rPr>
                <w:sz w:val="20"/>
                <w:szCs w:val="20"/>
                <w:color w:val="auto"/>
              </w:rPr>
            </w:pPr>
            <w:r>
              <w:rPr>
                <w:rFonts w:ascii="Arial" w:cs="Arial" w:eastAsia="Arial" w:hAnsi="Arial"/>
                <w:sz w:val="9"/>
                <w:szCs w:val="9"/>
                <w:b w:val="1"/>
                <w:bCs w:val="1"/>
                <w:color w:val="auto"/>
              </w:rPr>
              <w:t>Estimated Future Payouts</w:t>
            </w:r>
          </w:p>
        </w:tc>
        <w:tc>
          <w:tcPr>
            <w:tcW w:w="1460" w:type="dxa"/>
            <w:vAlign w:val="bottom"/>
            <w:gridSpan w:val="6"/>
          </w:tcPr>
          <w:p>
            <w:pPr>
              <w:jc w:val="center"/>
              <w:ind w:left="271"/>
              <w:spacing w:after="0" w:line="98" w:lineRule="exact"/>
              <w:rPr>
                <w:sz w:val="20"/>
                <w:szCs w:val="20"/>
                <w:color w:val="auto"/>
              </w:rPr>
            </w:pPr>
            <w:r>
              <w:rPr>
                <w:rFonts w:ascii="Arial" w:cs="Arial" w:eastAsia="Arial" w:hAnsi="Arial"/>
                <w:sz w:val="9"/>
                <w:szCs w:val="9"/>
                <w:b w:val="1"/>
                <w:bCs w:val="1"/>
                <w:color w:val="auto"/>
                <w:w w:val="91"/>
              </w:rPr>
              <w:t>Estimated Future Payouts</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7"/>
              </w:rPr>
              <w:t>Number of</w:t>
            </w:r>
          </w:p>
        </w:tc>
        <w:tc>
          <w:tcPr>
            <w:tcW w:w="8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0"/>
              </w:rPr>
              <w:t>Exercise or</w:t>
            </w:r>
          </w:p>
        </w:tc>
        <w:tc>
          <w:tcPr>
            <w:tcW w:w="580" w:type="dxa"/>
            <w:vAlign w:val="bottom"/>
            <w:gridSpan w:val="2"/>
          </w:tcPr>
          <w:p>
            <w:pPr>
              <w:jc w:val="center"/>
              <w:ind w:right="100"/>
              <w:spacing w:after="0" w:line="98" w:lineRule="exact"/>
              <w:rPr>
                <w:sz w:val="20"/>
                <w:szCs w:val="20"/>
                <w:color w:val="auto"/>
              </w:rPr>
            </w:pPr>
            <w:r>
              <w:rPr>
                <w:rFonts w:ascii="Arial" w:cs="Arial" w:eastAsia="Arial" w:hAnsi="Arial"/>
                <w:sz w:val="9"/>
                <w:szCs w:val="9"/>
                <w:b w:val="1"/>
                <w:bCs w:val="1"/>
                <w:color w:val="auto"/>
                <w:w w:val="93"/>
              </w:rPr>
              <w:t>Date Fair</w:t>
            </w:r>
          </w:p>
        </w:tc>
        <w:tc>
          <w:tcPr>
            <w:tcW w:w="0" w:type="dxa"/>
            <w:vAlign w:val="bottom"/>
          </w:tcPr>
          <w:p>
            <w:pPr>
              <w:spacing w:after="0"/>
              <w:rPr>
                <w:sz w:val="1"/>
                <w:szCs w:val="1"/>
                <w:color w:val="auto"/>
              </w:rPr>
            </w:pPr>
          </w:p>
        </w:tc>
      </w:tr>
      <w:tr>
        <w:trPr>
          <w:trHeight w:val="98"/>
        </w:trPr>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89"/>
              </w:rPr>
              <w:t>Compensation</w:t>
            </w:r>
          </w:p>
        </w:tc>
        <w:tc>
          <w:tcPr>
            <w:tcW w:w="2020" w:type="dxa"/>
            <w:vAlign w:val="bottom"/>
            <w:gridSpan w:val="7"/>
          </w:tcPr>
          <w:p>
            <w:pPr>
              <w:jc w:val="center"/>
              <w:ind w:right="200"/>
              <w:spacing w:after="0" w:line="98" w:lineRule="exact"/>
              <w:rPr>
                <w:sz w:val="20"/>
                <w:szCs w:val="20"/>
                <w:color w:val="auto"/>
              </w:rPr>
            </w:pPr>
            <w:r>
              <w:rPr>
                <w:rFonts w:ascii="Arial" w:cs="Arial" w:eastAsia="Arial" w:hAnsi="Arial"/>
                <w:sz w:val="9"/>
                <w:szCs w:val="9"/>
                <w:b w:val="1"/>
                <w:bCs w:val="1"/>
                <w:color w:val="auto"/>
                <w:w w:val="93"/>
              </w:rPr>
              <w:t>Under Non-Equity Incentive</w:t>
            </w:r>
          </w:p>
        </w:tc>
        <w:tc>
          <w:tcPr>
            <w:tcW w:w="1460" w:type="dxa"/>
            <w:vAlign w:val="bottom"/>
            <w:gridSpan w:val="6"/>
          </w:tcPr>
          <w:p>
            <w:pPr>
              <w:jc w:val="center"/>
              <w:ind w:left="251"/>
              <w:spacing w:after="0" w:line="98" w:lineRule="exact"/>
              <w:rPr>
                <w:sz w:val="20"/>
                <w:szCs w:val="20"/>
                <w:color w:val="auto"/>
              </w:rPr>
            </w:pPr>
            <w:r>
              <w:rPr>
                <w:rFonts w:ascii="Arial" w:cs="Arial" w:eastAsia="Arial" w:hAnsi="Arial"/>
                <w:sz w:val="9"/>
                <w:szCs w:val="9"/>
                <w:b w:val="1"/>
                <w:bCs w:val="1"/>
                <w:color w:val="auto"/>
                <w:w w:val="94"/>
              </w:rPr>
              <w:t>Under Equity Incentive Plan</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8"/>
              </w:rPr>
              <w:t>Securities</w:t>
            </w:r>
          </w:p>
        </w:tc>
        <w:tc>
          <w:tcPr>
            <w:tcW w:w="8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87"/>
              </w:rPr>
              <w:t>BasePrice</w:t>
            </w:r>
          </w:p>
        </w:tc>
        <w:tc>
          <w:tcPr>
            <w:tcW w:w="580" w:type="dxa"/>
            <w:vAlign w:val="bottom"/>
            <w:gridSpan w:val="2"/>
          </w:tcPr>
          <w:p>
            <w:pPr>
              <w:jc w:val="center"/>
              <w:ind w:right="100"/>
              <w:spacing w:after="0" w:line="98" w:lineRule="exact"/>
              <w:rPr>
                <w:sz w:val="20"/>
                <w:szCs w:val="20"/>
                <w:color w:val="auto"/>
              </w:rPr>
            </w:pPr>
            <w:r>
              <w:rPr>
                <w:rFonts w:ascii="Arial" w:cs="Arial" w:eastAsia="Arial" w:hAnsi="Arial"/>
                <w:sz w:val="9"/>
                <w:szCs w:val="9"/>
                <w:b w:val="1"/>
                <w:bCs w:val="1"/>
                <w:color w:val="auto"/>
                <w:w w:val="91"/>
              </w:rPr>
              <w:t>Value of</w:t>
            </w:r>
          </w:p>
        </w:tc>
        <w:tc>
          <w:tcPr>
            <w:tcW w:w="0" w:type="dxa"/>
            <w:vAlign w:val="bottom"/>
          </w:tcPr>
          <w:p>
            <w:pPr>
              <w:spacing w:after="0"/>
              <w:rPr>
                <w:sz w:val="1"/>
                <w:szCs w:val="1"/>
                <w:color w:val="auto"/>
              </w:rPr>
            </w:pPr>
          </w:p>
        </w:tc>
      </w:tr>
      <w:tr>
        <w:trPr>
          <w:trHeight w:val="111"/>
        </w:trPr>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4"/>
              </w:rPr>
              <w:t>Committee</w:t>
            </w:r>
          </w:p>
        </w:tc>
        <w:tc>
          <w:tcPr>
            <w:tcW w:w="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9"/>
                <w:szCs w:val="9"/>
                <w:b w:val="1"/>
                <w:bCs w:val="1"/>
                <w:color w:val="auto"/>
                <w:w w:val="95"/>
              </w:rPr>
              <w:t>Plan Awards(1)</w:t>
            </w: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9"/>
                <w:szCs w:val="9"/>
                <w:b w:val="1"/>
                <w:bCs w:val="1"/>
                <w:color w:val="auto"/>
                <w:w w:val="91"/>
              </w:rPr>
              <w:t>Awards(2)</w:t>
            </w: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3"/>
              </w:rPr>
              <w:t>Underlying</w:t>
            </w: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4"/>
              </w:rPr>
              <w:t>of Option</w:t>
            </w:r>
          </w:p>
        </w:tc>
        <w:tc>
          <w:tcPr>
            <w:tcW w:w="5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6"/>
              </w:rPr>
              <w:t>Option</w:t>
            </w:r>
          </w:p>
        </w:tc>
        <w:tc>
          <w:tcPr>
            <w:tcW w:w="0" w:type="dxa"/>
            <w:vAlign w:val="bottom"/>
          </w:tcPr>
          <w:p>
            <w:pPr>
              <w:spacing w:after="0"/>
              <w:rPr>
                <w:sz w:val="1"/>
                <w:szCs w:val="1"/>
                <w:color w:val="auto"/>
              </w:rPr>
            </w:pPr>
          </w:p>
        </w:tc>
      </w:tr>
      <w:tr>
        <w:trPr>
          <w:trHeight w:val="85"/>
        </w:trPr>
        <w:tc>
          <w:tcPr>
            <w:tcW w:w="2000" w:type="dxa"/>
            <w:vAlign w:val="bottom"/>
            <w:vMerge w:val="restart"/>
          </w:tcPr>
          <w:p>
            <w:pPr>
              <w:spacing w:after="0"/>
              <w:rPr>
                <w:sz w:val="20"/>
                <w:szCs w:val="20"/>
                <w:color w:val="auto"/>
              </w:rPr>
            </w:pPr>
            <w:r>
              <w:rPr>
                <w:rFonts w:ascii="Arial" w:cs="Arial" w:eastAsia="Arial" w:hAnsi="Arial"/>
                <w:sz w:val="9"/>
                <w:szCs w:val="9"/>
                <w:b w:val="1"/>
                <w:bCs w:val="1"/>
                <w:color w:val="auto"/>
              </w:rPr>
              <w:t>Name</w:t>
            </w:r>
          </w:p>
        </w:tc>
        <w:tc>
          <w:tcPr>
            <w:tcW w:w="100" w:type="dxa"/>
            <w:vAlign w:val="bottom"/>
          </w:tcPr>
          <w:p>
            <w:pPr>
              <w:spacing w:after="0"/>
              <w:rPr>
                <w:sz w:val="7"/>
                <w:szCs w:val="7"/>
                <w:color w:val="auto"/>
              </w:rPr>
            </w:pPr>
          </w:p>
        </w:tc>
        <w:tc>
          <w:tcPr>
            <w:tcW w:w="760" w:type="dxa"/>
            <w:vAlign w:val="bottom"/>
            <w:gridSpan w:val="2"/>
          </w:tcPr>
          <w:p>
            <w:pPr>
              <w:jc w:val="center"/>
              <w:ind w:right="200"/>
              <w:spacing w:after="0" w:line="85" w:lineRule="exact"/>
              <w:rPr>
                <w:sz w:val="20"/>
                <w:szCs w:val="20"/>
                <w:color w:val="auto"/>
              </w:rPr>
            </w:pPr>
            <w:r>
              <w:rPr>
                <w:rFonts w:ascii="Arial" w:cs="Arial" w:eastAsia="Arial" w:hAnsi="Arial"/>
                <w:sz w:val="9"/>
                <w:szCs w:val="9"/>
                <w:b w:val="1"/>
                <w:bCs w:val="1"/>
                <w:color w:val="auto"/>
                <w:w w:val="99"/>
              </w:rPr>
              <w:t>Grant</w:t>
            </w:r>
          </w:p>
        </w:tc>
        <w:tc>
          <w:tcPr>
            <w:tcW w:w="980" w:type="dxa"/>
            <w:vAlign w:val="bottom"/>
            <w:gridSpan w:val="2"/>
          </w:tcPr>
          <w:p>
            <w:pPr>
              <w:jc w:val="center"/>
              <w:ind w:right="180"/>
              <w:spacing w:after="0" w:line="85" w:lineRule="exact"/>
              <w:rPr>
                <w:sz w:val="20"/>
                <w:szCs w:val="20"/>
                <w:color w:val="auto"/>
              </w:rPr>
            </w:pPr>
            <w:r>
              <w:rPr>
                <w:rFonts w:ascii="Arial" w:cs="Arial" w:eastAsia="Arial" w:hAnsi="Arial"/>
                <w:sz w:val="9"/>
                <w:szCs w:val="9"/>
                <w:b w:val="1"/>
                <w:bCs w:val="1"/>
                <w:color w:val="auto"/>
                <w:w w:val="92"/>
              </w:rPr>
              <w:t>Approval</w:t>
            </w:r>
          </w:p>
        </w:tc>
        <w:tc>
          <w:tcPr>
            <w:tcW w:w="560" w:type="dxa"/>
            <w:vAlign w:val="bottom"/>
            <w:gridSpan w:val="2"/>
          </w:tcPr>
          <w:p>
            <w:pPr>
              <w:ind w:left="40"/>
              <w:spacing w:after="0" w:line="85" w:lineRule="exact"/>
              <w:rPr>
                <w:sz w:val="20"/>
                <w:szCs w:val="20"/>
                <w:color w:val="auto"/>
              </w:rPr>
            </w:pPr>
            <w:r>
              <w:rPr>
                <w:rFonts w:ascii="Arial" w:cs="Arial" w:eastAsia="Arial" w:hAnsi="Arial"/>
                <w:sz w:val="9"/>
                <w:szCs w:val="9"/>
                <w:b w:val="1"/>
                <w:bCs w:val="1"/>
                <w:color w:val="auto"/>
              </w:rPr>
              <w:t>Threshold</w:t>
            </w:r>
          </w:p>
        </w:tc>
        <w:tc>
          <w:tcPr>
            <w:tcW w:w="120" w:type="dxa"/>
            <w:vAlign w:val="bottom"/>
          </w:tcPr>
          <w:p>
            <w:pPr>
              <w:spacing w:after="0"/>
              <w:rPr>
                <w:sz w:val="7"/>
                <w:szCs w:val="7"/>
                <w:color w:val="auto"/>
              </w:rPr>
            </w:pPr>
          </w:p>
        </w:tc>
        <w:tc>
          <w:tcPr>
            <w:tcW w:w="640" w:type="dxa"/>
            <w:vAlign w:val="bottom"/>
            <w:gridSpan w:val="2"/>
          </w:tcPr>
          <w:p>
            <w:pPr>
              <w:ind w:left="100"/>
              <w:spacing w:after="0" w:line="85" w:lineRule="exact"/>
              <w:rPr>
                <w:sz w:val="20"/>
                <w:szCs w:val="20"/>
                <w:color w:val="auto"/>
              </w:rPr>
            </w:pPr>
            <w:r>
              <w:rPr>
                <w:rFonts w:ascii="Arial" w:cs="Arial" w:eastAsia="Arial" w:hAnsi="Arial"/>
                <w:sz w:val="9"/>
                <w:szCs w:val="9"/>
                <w:b w:val="1"/>
                <w:bCs w:val="1"/>
                <w:color w:val="auto"/>
              </w:rPr>
              <w:t>Target</w:t>
            </w:r>
          </w:p>
        </w:tc>
        <w:tc>
          <w:tcPr>
            <w:tcW w:w="500" w:type="dxa"/>
            <w:vAlign w:val="bottom"/>
          </w:tcPr>
          <w:p>
            <w:pPr>
              <w:jc w:val="center"/>
              <w:spacing w:after="0" w:line="85" w:lineRule="exact"/>
              <w:rPr>
                <w:sz w:val="20"/>
                <w:szCs w:val="20"/>
                <w:color w:val="auto"/>
              </w:rPr>
            </w:pPr>
            <w:r>
              <w:rPr>
                <w:rFonts w:ascii="Arial" w:cs="Arial" w:eastAsia="Arial" w:hAnsi="Arial"/>
                <w:sz w:val="9"/>
                <w:szCs w:val="9"/>
                <w:b w:val="1"/>
                <w:bCs w:val="1"/>
                <w:color w:val="auto"/>
                <w:w w:val="96"/>
              </w:rPr>
              <w:t>Maximum</w:t>
            </w:r>
          </w:p>
        </w:tc>
        <w:tc>
          <w:tcPr>
            <w:tcW w:w="200" w:type="dxa"/>
            <w:vAlign w:val="bottom"/>
          </w:tcPr>
          <w:p>
            <w:pPr>
              <w:spacing w:after="0"/>
              <w:rPr>
                <w:sz w:val="7"/>
                <w:szCs w:val="7"/>
                <w:color w:val="auto"/>
              </w:rPr>
            </w:pPr>
          </w:p>
        </w:tc>
        <w:tc>
          <w:tcPr>
            <w:tcW w:w="580" w:type="dxa"/>
            <w:vAlign w:val="bottom"/>
            <w:gridSpan w:val="2"/>
          </w:tcPr>
          <w:p>
            <w:pPr>
              <w:ind w:left="40"/>
              <w:spacing w:after="0" w:line="85" w:lineRule="exact"/>
              <w:rPr>
                <w:sz w:val="20"/>
                <w:szCs w:val="20"/>
                <w:color w:val="auto"/>
              </w:rPr>
            </w:pPr>
            <w:r>
              <w:rPr>
                <w:rFonts w:ascii="Arial" w:cs="Arial" w:eastAsia="Arial" w:hAnsi="Arial"/>
                <w:sz w:val="9"/>
                <w:szCs w:val="9"/>
                <w:b w:val="1"/>
                <w:bCs w:val="1"/>
                <w:color w:val="auto"/>
              </w:rPr>
              <w:t>Threshold</w:t>
            </w:r>
          </w:p>
        </w:tc>
        <w:tc>
          <w:tcPr>
            <w:tcW w:w="100" w:type="dxa"/>
            <w:vAlign w:val="bottom"/>
          </w:tcPr>
          <w:p>
            <w:pPr>
              <w:spacing w:after="0"/>
              <w:rPr>
                <w:sz w:val="7"/>
                <w:szCs w:val="7"/>
                <w:color w:val="auto"/>
              </w:rPr>
            </w:pPr>
          </w:p>
        </w:tc>
        <w:tc>
          <w:tcPr>
            <w:tcW w:w="600" w:type="dxa"/>
            <w:vAlign w:val="bottom"/>
            <w:gridSpan w:val="2"/>
          </w:tcPr>
          <w:p>
            <w:pPr>
              <w:jc w:val="center"/>
              <w:ind w:right="200"/>
              <w:spacing w:after="0" w:line="85" w:lineRule="exact"/>
              <w:rPr>
                <w:sz w:val="20"/>
                <w:szCs w:val="20"/>
                <w:color w:val="auto"/>
              </w:rPr>
            </w:pPr>
            <w:r>
              <w:rPr>
                <w:rFonts w:ascii="Arial" w:cs="Arial" w:eastAsia="Arial" w:hAnsi="Arial"/>
                <w:sz w:val="9"/>
                <w:szCs w:val="9"/>
                <w:b w:val="1"/>
                <w:bCs w:val="1"/>
                <w:color w:val="auto"/>
                <w:w w:val="87"/>
              </w:rPr>
              <w:t>Target</w:t>
            </w:r>
          </w:p>
        </w:tc>
        <w:tc>
          <w:tcPr>
            <w:tcW w:w="480" w:type="dxa"/>
            <w:vAlign w:val="bottom"/>
            <w:gridSpan w:val="2"/>
          </w:tcPr>
          <w:p>
            <w:pPr>
              <w:ind w:left="40"/>
              <w:spacing w:after="0" w:line="85" w:lineRule="exact"/>
              <w:rPr>
                <w:sz w:val="20"/>
                <w:szCs w:val="20"/>
                <w:color w:val="auto"/>
              </w:rPr>
            </w:pPr>
            <w:r>
              <w:rPr>
                <w:rFonts w:ascii="Arial" w:cs="Arial" w:eastAsia="Arial" w:hAnsi="Arial"/>
                <w:sz w:val="9"/>
                <w:szCs w:val="9"/>
                <w:b w:val="1"/>
                <w:bCs w:val="1"/>
                <w:color w:val="auto"/>
              </w:rPr>
              <w:t>Maximum</w:t>
            </w:r>
          </w:p>
        </w:tc>
        <w:tc>
          <w:tcPr>
            <w:tcW w:w="200" w:type="dxa"/>
            <w:vAlign w:val="bottom"/>
          </w:tcPr>
          <w:p>
            <w:pPr>
              <w:spacing w:after="0"/>
              <w:rPr>
                <w:sz w:val="7"/>
                <w:szCs w:val="7"/>
                <w:color w:val="auto"/>
              </w:rPr>
            </w:pPr>
          </w:p>
        </w:tc>
        <w:tc>
          <w:tcPr>
            <w:tcW w:w="780" w:type="dxa"/>
            <w:vAlign w:val="bottom"/>
            <w:gridSpan w:val="2"/>
          </w:tcPr>
          <w:p>
            <w:pPr>
              <w:jc w:val="center"/>
              <w:ind w:right="180"/>
              <w:spacing w:after="0" w:line="85" w:lineRule="exact"/>
              <w:rPr>
                <w:sz w:val="20"/>
                <w:szCs w:val="20"/>
                <w:color w:val="auto"/>
              </w:rPr>
            </w:pPr>
            <w:r>
              <w:rPr>
                <w:rFonts w:ascii="Arial" w:cs="Arial" w:eastAsia="Arial" w:hAnsi="Arial"/>
                <w:sz w:val="9"/>
                <w:szCs w:val="9"/>
                <w:b w:val="1"/>
                <w:bCs w:val="1"/>
                <w:color w:val="auto"/>
                <w:w w:val="93"/>
              </w:rPr>
              <w:t>Options</w:t>
            </w:r>
          </w:p>
        </w:tc>
        <w:tc>
          <w:tcPr>
            <w:tcW w:w="800" w:type="dxa"/>
            <w:vAlign w:val="bottom"/>
            <w:gridSpan w:val="2"/>
          </w:tcPr>
          <w:p>
            <w:pPr>
              <w:jc w:val="center"/>
              <w:ind w:right="180"/>
              <w:spacing w:after="0" w:line="85" w:lineRule="exact"/>
              <w:rPr>
                <w:sz w:val="20"/>
                <w:szCs w:val="20"/>
                <w:color w:val="auto"/>
              </w:rPr>
            </w:pPr>
            <w:r>
              <w:rPr>
                <w:rFonts w:ascii="Arial" w:cs="Arial" w:eastAsia="Arial" w:hAnsi="Arial"/>
                <w:sz w:val="9"/>
                <w:szCs w:val="9"/>
                <w:b w:val="1"/>
                <w:bCs w:val="1"/>
                <w:color w:val="auto"/>
                <w:w w:val="92"/>
              </w:rPr>
              <w:t>Awards</w:t>
            </w:r>
          </w:p>
        </w:tc>
        <w:tc>
          <w:tcPr>
            <w:tcW w:w="580" w:type="dxa"/>
            <w:vAlign w:val="bottom"/>
            <w:gridSpan w:val="2"/>
          </w:tcPr>
          <w:p>
            <w:pPr>
              <w:jc w:val="center"/>
              <w:ind w:right="80"/>
              <w:spacing w:after="0" w:line="85" w:lineRule="exact"/>
              <w:rPr>
                <w:sz w:val="20"/>
                <w:szCs w:val="20"/>
                <w:color w:val="auto"/>
              </w:rPr>
            </w:pPr>
            <w:r>
              <w:rPr>
                <w:rFonts w:ascii="Arial" w:cs="Arial" w:eastAsia="Arial" w:hAnsi="Arial"/>
                <w:sz w:val="9"/>
                <w:szCs w:val="9"/>
                <w:b w:val="1"/>
                <w:bCs w:val="1"/>
                <w:color w:val="auto"/>
                <w:w w:val="92"/>
              </w:rPr>
              <w:t>Awards</w:t>
            </w:r>
          </w:p>
        </w:tc>
        <w:tc>
          <w:tcPr>
            <w:tcW w:w="0" w:type="dxa"/>
            <w:vAlign w:val="bottom"/>
          </w:tcPr>
          <w:p>
            <w:pPr>
              <w:spacing w:after="0"/>
              <w:rPr>
                <w:sz w:val="1"/>
                <w:szCs w:val="1"/>
                <w:color w:val="auto"/>
              </w:rPr>
            </w:pPr>
          </w:p>
        </w:tc>
      </w:tr>
      <w:tr>
        <w:trPr>
          <w:trHeight w:val="111"/>
        </w:trPr>
        <w:tc>
          <w:tcPr>
            <w:tcW w:w="2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2"/>
              </w:rPr>
              <w:t>Date</w:t>
            </w: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2"/>
              </w:rPr>
              <w:t>Date</w:t>
            </w:r>
          </w:p>
        </w:tc>
        <w:tc>
          <w:tcPr>
            <w:tcW w:w="500" w:type="dxa"/>
            <w:vAlign w:val="bottom"/>
          </w:tcPr>
          <w:p>
            <w:pPr>
              <w:ind w:left="200"/>
              <w:spacing w:after="0"/>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9"/>
                <w:szCs w:val="9"/>
                <w:color w:val="auto"/>
              </w:rPr>
            </w:pPr>
          </w:p>
        </w:tc>
        <w:tc>
          <w:tcPr>
            <w:tcW w:w="580" w:type="dxa"/>
            <w:vAlign w:val="bottom"/>
            <w:gridSpan w:val="2"/>
          </w:tcPr>
          <w:p>
            <w:pPr>
              <w:jc w:val="center"/>
              <w:ind w:left="69"/>
              <w:spacing w:after="0"/>
              <w:rPr>
                <w:sz w:val="20"/>
                <w:szCs w:val="20"/>
                <w:color w:val="auto"/>
              </w:rPr>
            </w:pPr>
            <w:r>
              <w:rPr>
                <w:rFonts w:ascii="Arial" w:cs="Arial" w:eastAsia="Arial" w:hAnsi="Arial"/>
                <w:sz w:val="9"/>
                <w:szCs w:val="9"/>
                <w:b w:val="1"/>
                <w:bCs w:val="1"/>
                <w:color w:val="auto"/>
                <w:w w:val="90"/>
              </w:rPr>
              <w:t>($)</w:t>
            </w:r>
          </w:p>
        </w:tc>
        <w:tc>
          <w:tcPr>
            <w:tcW w:w="180" w:type="dxa"/>
            <w:vAlign w:val="bottom"/>
          </w:tcPr>
          <w:p>
            <w:pPr>
              <w:spacing w:after="0"/>
              <w:rPr>
                <w:sz w:val="9"/>
                <w:szCs w:val="9"/>
                <w:color w:val="auto"/>
              </w:rPr>
            </w:pPr>
          </w:p>
        </w:tc>
        <w:tc>
          <w:tcPr>
            <w:tcW w:w="500" w:type="dxa"/>
            <w:vAlign w:val="bottom"/>
          </w:tcPr>
          <w:p>
            <w:pPr>
              <w:jc w:val="right"/>
              <w:ind w:right="149"/>
              <w:spacing w:after="0"/>
              <w:rPr>
                <w:sz w:val="20"/>
                <w:szCs w:val="20"/>
                <w:color w:val="auto"/>
              </w:rPr>
            </w:pPr>
            <w:r>
              <w:rPr>
                <w:rFonts w:ascii="Arial" w:cs="Arial" w:eastAsia="Arial" w:hAnsi="Arial"/>
                <w:sz w:val="9"/>
                <w:szCs w:val="9"/>
                <w:b w:val="1"/>
                <w:bCs w:val="1"/>
                <w:color w:val="auto"/>
              </w:rPr>
              <w:t>($)</w:t>
            </w:r>
          </w:p>
        </w:tc>
        <w:tc>
          <w:tcPr>
            <w:tcW w:w="200" w:type="dxa"/>
            <w:vAlign w:val="bottom"/>
          </w:tcPr>
          <w:p>
            <w:pPr>
              <w:spacing w:after="0"/>
              <w:rPr>
                <w:sz w:val="9"/>
                <w:szCs w:val="9"/>
                <w:color w:val="auto"/>
              </w:rPr>
            </w:pPr>
          </w:p>
        </w:tc>
        <w:tc>
          <w:tcPr>
            <w:tcW w:w="480" w:type="dxa"/>
            <w:vAlign w:val="bottom"/>
          </w:tcPr>
          <w:p>
            <w:pPr>
              <w:ind w:left="180"/>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9"/>
                <w:szCs w:val="9"/>
                <w:color w:val="auto"/>
              </w:rPr>
            </w:pPr>
          </w:p>
        </w:tc>
        <w:tc>
          <w:tcPr>
            <w:tcW w:w="500" w:type="dxa"/>
            <w:vAlign w:val="bottom"/>
            <w:gridSpan w:val="2"/>
          </w:tcPr>
          <w:p>
            <w:pPr>
              <w:jc w:val="right"/>
              <w:ind w:right="94"/>
              <w:spacing w:after="0"/>
              <w:rPr>
                <w:sz w:val="20"/>
                <w:szCs w:val="20"/>
                <w:color w:val="auto"/>
              </w:rPr>
            </w:pPr>
            <w:r>
              <w:rPr>
                <w:rFonts w:ascii="Arial" w:cs="Arial" w:eastAsia="Arial" w:hAnsi="Arial"/>
                <w:sz w:val="9"/>
                <w:szCs w:val="9"/>
                <w:b w:val="1"/>
                <w:bCs w:val="1"/>
                <w:color w:val="auto"/>
              </w:rPr>
              <w:t>(#)</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20"/>
                <w:szCs w:val="20"/>
                <w:color w:val="auto"/>
              </w:rPr>
            </w:pPr>
            <w:r>
              <w:rPr>
                <w:rFonts w:ascii="Arial" w:cs="Arial" w:eastAsia="Arial" w:hAnsi="Arial"/>
                <w:sz w:val="9"/>
                <w:szCs w:val="9"/>
                <w:b w:val="1"/>
                <w:bCs w:val="1"/>
                <w:color w:val="auto"/>
              </w:rPr>
              <w:t>(#)</w:t>
            </w:r>
          </w:p>
        </w:tc>
        <w:tc>
          <w:tcPr>
            <w:tcW w:w="200" w:type="dxa"/>
            <w:vAlign w:val="bottom"/>
          </w:tcPr>
          <w:p>
            <w:pPr>
              <w:spacing w:after="0"/>
              <w:rPr>
                <w:sz w:val="9"/>
                <w:szCs w:val="9"/>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90"/>
              </w:rPr>
              <w:t>(#)(3)</w:t>
            </w:r>
          </w:p>
        </w:tc>
        <w:tc>
          <w:tcPr>
            <w:tcW w:w="180" w:type="dxa"/>
            <w:vAlign w:val="bottom"/>
          </w:tcPr>
          <w:p>
            <w:pPr>
              <w:spacing w:after="0"/>
              <w:rPr>
                <w:sz w:val="9"/>
                <w:szCs w:val="9"/>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2"/>
              </w:rPr>
              <w:t>($/Share)(4)</w:t>
            </w:r>
          </w:p>
        </w:tc>
        <w:tc>
          <w:tcPr>
            <w:tcW w:w="480" w:type="dxa"/>
            <w:vAlign w:val="bottom"/>
          </w:tcPr>
          <w:p>
            <w:pPr>
              <w:jc w:val="center"/>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0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F.M. Jaehnert</w:t>
            </w:r>
          </w:p>
        </w:tc>
        <w:tc>
          <w:tcPr>
            <w:tcW w:w="860" w:type="dxa"/>
            <w:vAlign w:val="bottom"/>
            <w:gridSpan w:val="3"/>
            <w:shd w:val="clear" w:color="auto" w:fill="CCEEFF"/>
          </w:tcPr>
          <w:p>
            <w:pPr>
              <w:jc w:val="right"/>
              <w:ind w:right="180"/>
              <w:spacing w:after="0" w:line="95" w:lineRule="exact"/>
              <w:rPr>
                <w:sz w:val="20"/>
                <w:szCs w:val="20"/>
                <w:color w:val="auto"/>
              </w:rPr>
            </w:pPr>
            <w:r>
              <w:rPr>
                <w:rFonts w:ascii="Arial" w:cs="Arial" w:eastAsia="Arial" w:hAnsi="Arial"/>
                <w:sz w:val="10"/>
                <w:szCs w:val="10"/>
                <w:color w:val="auto"/>
              </w:rPr>
              <w:t>8/1/2006</w:t>
            </w:r>
          </w:p>
        </w:tc>
        <w:tc>
          <w:tcPr>
            <w:tcW w:w="980" w:type="dxa"/>
            <w:vAlign w:val="bottom"/>
            <w:gridSpan w:val="2"/>
            <w:shd w:val="clear" w:color="auto" w:fill="CCEEFF"/>
          </w:tcPr>
          <w:p>
            <w:pPr>
              <w:jc w:val="right"/>
              <w:ind w:right="200"/>
              <w:spacing w:after="0" w:line="95" w:lineRule="exact"/>
              <w:rPr>
                <w:sz w:val="20"/>
                <w:szCs w:val="20"/>
                <w:color w:val="auto"/>
              </w:rPr>
            </w:pPr>
            <w:r>
              <w:rPr>
                <w:rFonts w:ascii="Arial" w:cs="Arial" w:eastAsia="Arial" w:hAnsi="Arial"/>
                <w:sz w:val="10"/>
                <w:szCs w:val="10"/>
                <w:color w:val="auto"/>
              </w:rPr>
              <w:t>7/24/2006</w:t>
            </w:r>
          </w:p>
        </w:tc>
        <w:tc>
          <w:tcPr>
            <w:tcW w:w="560" w:type="dxa"/>
            <w:vAlign w:val="bottom"/>
            <w:gridSpan w:val="2"/>
            <w:shd w:val="clear" w:color="auto" w:fill="CCEEFF"/>
          </w:tcPr>
          <w:p>
            <w:pPr>
              <w:ind w:left="380"/>
              <w:spacing w:after="0" w:line="95" w:lineRule="exact"/>
              <w:rPr>
                <w:sz w:val="20"/>
                <w:szCs w:val="20"/>
                <w:color w:val="auto"/>
              </w:rPr>
            </w:pPr>
            <w:r>
              <w:rPr>
                <w:rFonts w:ascii="Arial" w:cs="Arial" w:eastAsia="Arial" w:hAnsi="Arial"/>
                <w:sz w:val="10"/>
                <w:szCs w:val="10"/>
                <w:color w:val="auto"/>
              </w:rPr>
              <w:t>—</w:t>
            </w:r>
          </w:p>
        </w:tc>
        <w:tc>
          <w:tcPr>
            <w:tcW w:w="760" w:type="dxa"/>
            <w:vAlign w:val="bottom"/>
            <w:gridSpan w:val="3"/>
            <w:shd w:val="clear" w:color="auto" w:fill="CCEEFF"/>
          </w:tcPr>
          <w:p>
            <w:pPr>
              <w:ind w:left="240"/>
              <w:spacing w:after="0" w:line="95" w:lineRule="exact"/>
              <w:rPr>
                <w:sz w:val="20"/>
                <w:szCs w:val="20"/>
                <w:color w:val="auto"/>
              </w:rPr>
            </w:pPr>
            <w:r>
              <w:rPr>
                <w:rFonts w:ascii="Arial" w:cs="Arial" w:eastAsia="Arial" w:hAnsi="Arial"/>
                <w:sz w:val="10"/>
                <w:szCs w:val="10"/>
                <w:color w:val="auto"/>
              </w:rPr>
              <w:t>638,987</w:t>
            </w:r>
          </w:p>
        </w:tc>
        <w:tc>
          <w:tcPr>
            <w:tcW w:w="700" w:type="dxa"/>
            <w:vAlign w:val="bottom"/>
            <w:gridSpan w:val="2"/>
            <w:shd w:val="clear" w:color="auto" w:fill="CCEEFF"/>
          </w:tcPr>
          <w:p>
            <w:pPr>
              <w:jc w:val="right"/>
              <w:ind w:right="200"/>
              <w:spacing w:after="0" w:line="95" w:lineRule="exact"/>
              <w:rPr>
                <w:sz w:val="20"/>
                <w:szCs w:val="20"/>
                <w:color w:val="auto"/>
              </w:rPr>
            </w:pPr>
            <w:r>
              <w:rPr>
                <w:rFonts w:ascii="Arial" w:cs="Arial" w:eastAsia="Arial" w:hAnsi="Arial"/>
                <w:sz w:val="10"/>
                <w:szCs w:val="10"/>
                <w:color w:val="auto"/>
              </w:rPr>
              <w:t>958,481</w:t>
            </w:r>
          </w:p>
        </w:tc>
        <w:tc>
          <w:tcPr>
            <w:tcW w:w="580" w:type="dxa"/>
            <w:vAlign w:val="bottom"/>
            <w:gridSpan w:val="2"/>
            <w:shd w:val="clear" w:color="auto" w:fill="CCEEFF"/>
          </w:tcPr>
          <w:p>
            <w:pPr>
              <w:ind w:left="380"/>
              <w:spacing w:after="0" w:line="95" w:lineRule="exact"/>
              <w:rPr>
                <w:sz w:val="20"/>
                <w:szCs w:val="20"/>
                <w:color w:val="auto"/>
              </w:rPr>
            </w:pPr>
            <w:r>
              <w:rPr>
                <w:rFonts w:ascii="Arial" w:cs="Arial" w:eastAsia="Arial" w:hAnsi="Arial"/>
                <w:sz w:val="10"/>
                <w:szCs w:val="10"/>
                <w:color w:val="auto"/>
              </w:rPr>
              <w:t>—</w:t>
            </w:r>
          </w:p>
        </w:tc>
        <w:tc>
          <w:tcPr>
            <w:tcW w:w="700" w:type="dxa"/>
            <w:vAlign w:val="bottom"/>
            <w:gridSpan w:val="3"/>
            <w:shd w:val="clear" w:color="auto" w:fill="CCEEFF"/>
          </w:tcPr>
          <w:p>
            <w:pPr>
              <w:jc w:val="right"/>
              <w:ind w:right="200"/>
              <w:spacing w:after="0" w:line="95" w:lineRule="exact"/>
              <w:rPr>
                <w:sz w:val="20"/>
                <w:szCs w:val="20"/>
                <w:color w:val="auto"/>
              </w:rPr>
            </w:pPr>
            <w:r>
              <w:rPr>
                <w:rFonts w:ascii="Arial" w:cs="Arial" w:eastAsia="Arial" w:hAnsi="Arial"/>
                <w:sz w:val="10"/>
                <w:szCs w:val="10"/>
                <w:color w:val="auto"/>
              </w:rPr>
              <w:t>50,000</w:t>
            </w:r>
          </w:p>
        </w:tc>
        <w:tc>
          <w:tcPr>
            <w:tcW w:w="18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20"/>
              <w:spacing w:after="0" w:line="95" w:lineRule="exact"/>
              <w:rPr>
                <w:sz w:val="20"/>
                <w:szCs w:val="20"/>
                <w:color w:val="auto"/>
              </w:rPr>
            </w:pPr>
            <w:r>
              <w:rPr>
                <w:rFonts w:ascii="Arial" w:cs="Arial" w:eastAsia="Arial" w:hAnsi="Arial"/>
                <w:sz w:val="10"/>
                <w:szCs w:val="10"/>
                <w:color w:val="auto"/>
              </w:rPr>
              <w:t>50,000</w:t>
            </w: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00"/>
              <w:spacing w:after="0" w:line="95" w:lineRule="exact"/>
              <w:rPr>
                <w:sz w:val="20"/>
                <w:szCs w:val="20"/>
                <w:color w:val="auto"/>
              </w:rPr>
            </w:pPr>
            <w:r>
              <w:rPr>
                <w:rFonts w:ascii="Arial" w:cs="Arial" w:eastAsia="Arial" w:hAnsi="Arial"/>
                <w:sz w:val="10"/>
                <w:szCs w:val="10"/>
                <w:color w:val="auto"/>
              </w:rPr>
              <w:t>33.2250</w:t>
            </w:r>
          </w:p>
        </w:tc>
        <w:tc>
          <w:tcPr>
            <w:tcW w:w="580" w:type="dxa"/>
            <w:vAlign w:val="bottom"/>
            <w:gridSpan w:val="2"/>
            <w:shd w:val="clear" w:color="auto" w:fill="CCEEFF"/>
          </w:tcPr>
          <w:p>
            <w:pPr>
              <w:jc w:val="right"/>
              <w:ind w:right="100"/>
              <w:spacing w:after="0" w:line="95" w:lineRule="exact"/>
              <w:rPr>
                <w:sz w:val="20"/>
                <w:szCs w:val="20"/>
                <w:color w:val="auto"/>
              </w:rPr>
            </w:pPr>
            <w:r>
              <w:rPr>
                <w:rFonts w:ascii="Arial" w:cs="Arial" w:eastAsia="Arial" w:hAnsi="Arial"/>
                <w:sz w:val="10"/>
                <w:szCs w:val="10"/>
                <w:color w:val="auto"/>
              </w:rPr>
              <w:t>629,000</w:t>
            </w:r>
          </w:p>
        </w:tc>
        <w:tc>
          <w:tcPr>
            <w:tcW w:w="0" w:type="dxa"/>
            <w:vAlign w:val="bottom"/>
          </w:tcPr>
          <w:p>
            <w:pPr>
              <w:spacing w:after="0"/>
              <w:rPr>
                <w:sz w:val="1"/>
                <w:szCs w:val="1"/>
                <w:color w:val="auto"/>
              </w:rPr>
            </w:pPr>
          </w:p>
        </w:tc>
      </w:tr>
      <w:tr>
        <w:trPr>
          <w:trHeight w:val="121"/>
        </w:trPr>
        <w:tc>
          <w:tcPr>
            <w:tcW w:w="20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11/30/2006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11/15/2006</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50,000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38.1900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713,000</w:t>
            </w:r>
          </w:p>
        </w:tc>
        <w:tc>
          <w:tcPr>
            <w:tcW w:w="0" w:type="dxa"/>
            <w:vAlign w:val="bottom"/>
          </w:tcPr>
          <w:p>
            <w:pPr>
              <w:spacing w:after="0"/>
              <w:rPr>
                <w:sz w:val="1"/>
                <w:szCs w:val="1"/>
                <w:color w:val="auto"/>
              </w:rPr>
            </w:pPr>
          </w:p>
        </w:tc>
      </w:tr>
      <w:tr>
        <w:trPr>
          <w:trHeight w:val="95"/>
        </w:trPr>
        <w:tc>
          <w:tcPr>
            <w:tcW w:w="2000" w:type="dxa"/>
            <w:vAlign w:val="bottom"/>
          </w:tcPr>
          <w:p>
            <w:pPr>
              <w:spacing w:after="0" w:line="95" w:lineRule="exact"/>
              <w:rPr>
                <w:sz w:val="20"/>
                <w:szCs w:val="20"/>
                <w:color w:val="auto"/>
              </w:rPr>
            </w:pPr>
            <w:r>
              <w:rPr>
                <w:rFonts w:ascii="Arial" w:cs="Arial" w:eastAsia="Arial" w:hAnsi="Arial"/>
                <w:sz w:val="10"/>
                <w:szCs w:val="10"/>
                <w:color w:val="auto"/>
              </w:rPr>
              <w:t>D. Mathieson</w:t>
            </w:r>
          </w:p>
        </w:tc>
        <w:tc>
          <w:tcPr>
            <w:tcW w:w="860" w:type="dxa"/>
            <w:vAlign w:val="bottom"/>
            <w:gridSpan w:val="3"/>
          </w:tcPr>
          <w:p>
            <w:pPr>
              <w:jc w:val="right"/>
              <w:ind w:right="180"/>
              <w:spacing w:after="0" w:line="95" w:lineRule="exact"/>
              <w:rPr>
                <w:sz w:val="20"/>
                <w:szCs w:val="20"/>
                <w:color w:val="auto"/>
              </w:rPr>
            </w:pPr>
            <w:r>
              <w:rPr>
                <w:rFonts w:ascii="Arial" w:cs="Arial" w:eastAsia="Arial" w:hAnsi="Arial"/>
                <w:sz w:val="10"/>
                <w:szCs w:val="10"/>
                <w:color w:val="auto"/>
              </w:rPr>
              <w:t>8/1/2006</w:t>
            </w:r>
          </w:p>
        </w:tc>
        <w:tc>
          <w:tcPr>
            <w:tcW w:w="980" w:type="dxa"/>
            <w:vAlign w:val="bottom"/>
            <w:gridSpan w:val="2"/>
          </w:tcPr>
          <w:p>
            <w:pPr>
              <w:jc w:val="right"/>
              <w:ind w:right="200"/>
              <w:spacing w:after="0" w:line="95" w:lineRule="exact"/>
              <w:rPr>
                <w:sz w:val="20"/>
                <w:szCs w:val="20"/>
                <w:color w:val="auto"/>
              </w:rPr>
            </w:pPr>
            <w:r>
              <w:rPr>
                <w:rFonts w:ascii="Arial" w:cs="Arial" w:eastAsia="Arial" w:hAnsi="Arial"/>
                <w:sz w:val="10"/>
                <w:szCs w:val="10"/>
                <w:color w:val="auto"/>
              </w:rPr>
              <w:t>7/24/2006</w:t>
            </w:r>
          </w:p>
        </w:tc>
        <w:tc>
          <w:tcPr>
            <w:tcW w:w="560" w:type="dxa"/>
            <w:vAlign w:val="bottom"/>
            <w:gridSpan w:val="2"/>
          </w:tcPr>
          <w:p>
            <w:pPr>
              <w:ind w:left="380"/>
              <w:spacing w:after="0" w:line="95" w:lineRule="exact"/>
              <w:rPr>
                <w:sz w:val="20"/>
                <w:szCs w:val="20"/>
                <w:color w:val="auto"/>
              </w:rPr>
            </w:pPr>
            <w:r>
              <w:rPr>
                <w:rFonts w:ascii="Arial" w:cs="Arial" w:eastAsia="Arial" w:hAnsi="Arial"/>
                <w:sz w:val="10"/>
                <w:szCs w:val="10"/>
                <w:color w:val="auto"/>
              </w:rPr>
              <w:t>—</w:t>
            </w:r>
          </w:p>
        </w:tc>
        <w:tc>
          <w:tcPr>
            <w:tcW w:w="760" w:type="dxa"/>
            <w:vAlign w:val="bottom"/>
            <w:gridSpan w:val="3"/>
          </w:tcPr>
          <w:p>
            <w:pPr>
              <w:ind w:left="240"/>
              <w:spacing w:after="0" w:line="95" w:lineRule="exact"/>
              <w:rPr>
                <w:sz w:val="20"/>
                <w:szCs w:val="20"/>
                <w:color w:val="auto"/>
              </w:rPr>
            </w:pPr>
            <w:r>
              <w:rPr>
                <w:rFonts w:ascii="Arial" w:cs="Arial" w:eastAsia="Arial" w:hAnsi="Arial"/>
                <w:sz w:val="10"/>
                <w:szCs w:val="10"/>
                <w:color w:val="auto"/>
              </w:rPr>
              <w:t>205,132</w:t>
            </w:r>
          </w:p>
        </w:tc>
        <w:tc>
          <w:tcPr>
            <w:tcW w:w="700" w:type="dxa"/>
            <w:vAlign w:val="bottom"/>
            <w:gridSpan w:val="2"/>
          </w:tcPr>
          <w:p>
            <w:pPr>
              <w:jc w:val="right"/>
              <w:ind w:right="200"/>
              <w:spacing w:after="0" w:line="95" w:lineRule="exact"/>
              <w:rPr>
                <w:sz w:val="20"/>
                <w:szCs w:val="20"/>
                <w:color w:val="auto"/>
              </w:rPr>
            </w:pPr>
            <w:r>
              <w:rPr>
                <w:rFonts w:ascii="Arial" w:cs="Arial" w:eastAsia="Arial" w:hAnsi="Arial"/>
                <w:sz w:val="10"/>
                <w:szCs w:val="10"/>
                <w:color w:val="auto"/>
              </w:rPr>
              <w:t>307,698</w:t>
            </w:r>
          </w:p>
        </w:tc>
        <w:tc>
          <w:tcPr>
            <w:tcW w:w="580" w:type="dxa"/>
            <w:vAlign w:val="bottom"/>
            <w:gridSpan w:val="2"/>
          </w:tcPr>
          <w:p>
            <w:pPr>
              <w:ind w:left="380"/>
              <w:spacing w:after="0" w:line="95" w:lineRule="exact"/>
              <w:rPr>
                <w:sz w:val="20"/>
                <w:szCs w:val="20"/>
                <w:color w:val="auto"/>
              </w:rPr>
            </w:pPr>
            <w:r>
              <w:rPr>
                <w:rFonts w:ascii="Arial" w:cs="Arial" w:eastAsia="Arial" w:hAnsi="Arial"/>
                <w:sz w:val="10"/>
                <w:szCs w:val="10"/>
                <w:color w:val="auto"/>
              </w:rPr>
              <w:t>—</w:t>
            </w:r>
          </w:p>
        </w:tc>
        <w:tc>
          <w:tcPr>
            <w:tcW w:w="700" w:type="dxa"/>
            <w:vAlign w:val="bottom"/>
            <w:gridSpan w:val="3"/>
          </w:tcPr>
          <w:p>
            <w:pPr>
              <w:jc w:val="right"/>
              <w:ind w:right="200"/>
              <w:spacing w:after="0" w:line="95" w:lineRule="exact"/>
              <w:rPr>
                <w:sz w:val="20"/>
                <w:szCs w:val="20"/>
                <w:color w:val="auto"/>
              </w:rPr>
            </w:pPr>
            <w:r>
              <w:rPr>
                <w:rFonts w:ascii="Arial" w:cs="Arial" w:eastAsia="Arial" w:hAnsi="Arial"/>
                <w:sz w:val="10"/>
                <w:szCs w:val="10"/>
                <w:color w:val="auto"/>
              </w:rPr>
              <w:t>25,000</w:t>
            </w:r>
          </w:p>
        </w:tc>
        <w:tc>
          <w:tcPr>
            <w:tcW w:w="180" w:type="dxa"/>
            <w:vAlign w:val="bottom"/>
          </w:tcPr>
          <w:p>
            <w:pPr>
              <w:spacing w:after="0"/>
              <w:rPr>
                <w:sz w:val="8"/>
                <w:szCs w:val="8"/>
                <w:color w:val="auto"/>
              </w:rPr>
            </w:pPr>
          </w:p>
        </w:tc>
        <w:tc>
          <w:tcPr>
            <w:tcW w:w="500" w:type="dxa"/>
            <w:vAlign w:val="bottom"/>
            <w:gridSpan w:val="2"/>
          </w:tcPr>
          <w:p>
            <w:pPr>
              <w:ind w:left="20"/>
              <w:spacing w:after="0" w:line="95" w:lineRule="exact"/>
              <w:rPr>
                <w:sz w:val="20"/>
                <w:szCs w:val="20"/>
                <w:color w:val="auto"/>
              </w:rPr>
            </w:pPr>
            <w:r>
              <w:rPr>
                <w:rFonts w:ascii="Arial" w:cs="Arial" w:eastAsia="Arial" w:hAnsi="Arial"/>
                <w:sz w:val="10"/>
                <w:szCs w:val="10"/>
                <w:color w:val="auto"/>
              </w:rPr>
              <w:t>25,000</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jc w:val="right"/>
              <w:ind w:right="200"/>
              <w:spacing w:after="0" w:line="95" w:lineRule="exact"/>
              <w:rPr>
                <w:sz w:val="20"/>
                <w:szCs w:val="20"/>
                <w:color w:val="auto"/>
              </w:rPr>
            </w:pPr>
            <w:r>
              <w:rPr>
                <w:rFonts w:ascii="Arial" w:cs="Arial" w:eastAsia="Arial" w:hAnsi="Arial"/>
                <w:sz w:val="10"/>
                <w:szCs w:val="10"/>
                <w:color w:val="auto"/>
              </w:rPr>
              <w:t>33.2250</w:t>
            </w:r>
          </w:p>
        </w:tc>
        <w:tc>
          <w:tcPr>
            <w:tcW w:w="580" w:type="dxa"/>
            <w:vAlign w:val="bottom"/>
            <w:gridSpan w:val="2"/>
          </w:tcPr>
          <w:p>
            <w:pPr>
              <w:jc w:val="right"/>
              <w:ind w:right="100"/>
              <w:spacing w:after="0" w:line="95" w:lineRule="exact"/>
              <w:rPr>
                <w:sz w:val="20"/>
                <w:szCs w:val="20"/>
                <w:color w:val="auto"/>
              </w:rPr>
            </w:pPr>
            <w:r>
              <w:rPr>
                <w:rFonts w:ascii="Arial" w:cs="Arial" w:eastAsia="Arial" w:hAnsi="Arial"/>
                <w:sz w:val="10"/>
                <w:szCs w:val="10"/>
                <w:color w:val="auto"/>
              </w:rPr>
              <w:t>314,500</w:t>
            </w: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0"/>
                <w:szCs w:val="10"/>
                <w:color w:val="auto"/>
              </w:rPr>
              <w:t>11/30/2006</w:t>
            </w: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11/15/2006</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0"/>
                <w:szCs w:val="10"/>
                <w:color w:val="auto"/>
              </w:rPr>
              <w:t>25,000</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38.1900</w:t>
            </w:r>
          </w:p>
        </w:tc>
        <w:tc>
          <w:tcPr>
            <w:tcW w:w="580" w:type="dxa"/>
            <w:vAlign w:val="bottom"/>
            <w:gridSpan w:val="2"/>
          </w:tcPr>
          <w:p>
            <w:pPr>
              <w:jc w:val="right"/>
              <w:ind w:right="100"/>
              <w:spacing w:after="0"/>
              <w:rPr>
                <w:sz w:val="20"/>
                <w:szCs w:val="20"/>
                <w:color w:val="auto"/>
              </w:rPr>
            </w:pPr>
            <w:r>
              <w:rPr>
                <w:rFonts w:ascii="Arial" w:cs="Arial" w:eastAsia="Arial" w:hAnsi="Arial"/>
                <w:sz w:val="10"/>
                <w:szCs w:val="10"/>
                <w:color w:val="auto"/>
              </w:rPr>
              <w:t>356,500</w:t>
            </w:r>
          </w:p>
        </w:tc>
        <w:tc>
          <w:tcPr>
            <w:tcW w:w="0" w:type="dxa"/>
            <w:vAlign w:val="bottom"/>
          </w:tcPr>
          <w:p>
            <w:pPr>
              <w:spacing w:after="0"/>
              <w:rPr>
                <w:sz w:val="1"/>
                <w:szCs w:val="1"/>
                <w:color w:val="auto"/>
              </w:rPr>
            </w:pPr>
          </w:p>
        </w:tc>
      </w:tr>
      <w:tr>
        <w:trPr>
          <w:trHeight w:val="95"/>
        </w:trPr>
        <w:tc>
          <w:tcPr>
            <w:tcW w:w="20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D.R. Hawke</w:t>
            </w:r>
          </w:p>
        </w:tc>
        <w:tc>
          <w:tcPr>
            <w:tcW w:w="860" w:type="dxa"/>
            <w:vAlign w:val="bottom"/>
            <w:gridSpan w:val="3"/>
            <w:shd w:val="clear" w:color="auto" w:fill="CCEEFF"/>
          </w:tcPr>
          <w:p>
            <w:pPr>
              <w:jc w:val="right"/>
              <w:ind w:right="180"/>
              <w:spacing w:after="0" w:line="95" w:lineRule="exact"/>
              <w:rPr>
                <w:sz w:val="20"/>
                <w:szCs w:val="20"/>
                <w:color w:val="auto"/>
              </w:rPr>
            </w:pPr>
            <w:r>
              <w:rPr>
                <w:rFonts w:ascii="Arial" w:cs="Arial" w:eastAsia="Arial" w:hAnsi="Arial"/>
                <w:sz w:val="10"/>
                <w:szCs w:val="10"/>
                <w:color w:val="auto"/>
              </w:rPr>
              <w:t>8/1/2006</w:t>
            </w:r>
          </w:p>
        </w:tc>
        <w:tc>
          <w:tcPr>
            <w:tcW w:w="980" w:type="dxa"/>
            <w:vAlign w:val="bottom"/>
            <w:gridSpan w:val="2"/>
            <w:shd w:val="clear" w:color="auto" w:fill="CCEEFF"/>
          </w:tcPr>
          <w:p>
            <w:pPr>
              <w:jc w:val="right"/>
              <w:ind w:right="200"/>
              <w:spacing w:after="0" w:line="95" w:lineRule="exact"/>
              <w:rPr>
                <w:sz w:val="20"/>
                <w:szCs w:val="20"/>
                <w:color w:val="auto"/>
              </w:rPr>
            </w:pPr>
            <w:r>
              <w:rPr>
                <w:rFonts w:ascii="Arial" w:cs="Arial" w:eastAsia="Arial" w:hAnsi="Arial"/>
                <w:sz w:val="10"/>
                <w:szCs w:val="10"/>
                <w:color w:val="auto"/>
              </w:rPr>
              <w:t>7/24/2006</w:t>
            </w:r>
          </w:p>
        </w:tc>
        <w:tc>
          <w:tcPr>
            <w:tcW w:w="560" w:type="dxa"/>
            <w:vAlign w:val="bottom"/>
            <w:gridSpan w:val="2"/>
            <w:shd w:val="clear" w:color="auto" w:fill="CCEEFF"/>
          </w:tcPr>
          <w:p>
            <w:pPr>
              <w:ind w:left="380"/>
              <w:spacing w:after="0" w:line="95" w:lineRule="exact"/>
              <w:rPr>
                <w:sz w:val="20"/>
                <w:szCs w:val="20"/>
                <w:color w:val="auto"/>
              </w:rPr>
            </w:pPr>
            <w:r>
              <w:rPr>
                <w:rFonts w:ascii="Arial" w:cs="Arial" w:eastAsia="Arial" w:hAnsi="Arial"/>
                <w:sz w:val="10"/>
                <w:szCs w:val="10"/>
                <w:color w:val="auto"/>
              </w:rPr>
              <w:t>—</w:t>
            </w:r>
          </w:p>
        </w:tc>
        <w:tc>
          <w:tcPr>
            <w:tcW w:w="760" w:type="dxa"/>
            <w:vAlign w:val="bottom"/>
            <w:gridSpan w:val="3"/>
            <w:shd w:val="clear" w:color="auto" w:fill="CCEEFF"/>
          </w:tcPr>
          <w:p>
            <w:pPr>
              <w:ind w:left="240"/>
              <w:spacing w:after="0" w:line="95" w:lineRule="exact"/>
              <w:rPr>
                <w:sz w:val="20"/>
                <w:szCs w:val="20"/>
                <w:color w:val="auto"/>
              </w:rPr>
            </w:pPr>
            <w:r>
              <w:rPr>
                <w:rFonts w:ascii="Arial" w:cs="Arial" w:eastAsia="Arial" w:hAnsi="Arial"/>
                <w:sz w:val="10"/>
                <w:szCs w:val="10"/>
                <w:color w:val="auto"/>
              </w:rPr>
              <w:t>300,865</w:t>
            </w:r>
          </w:p>
        </w:tc>
        <w:tc>
          <w:tcPr>
            <w:tcW w:w="700" w:type="dxa"/>
            <w:vAlign w:val="bottom"/>
            <w:gridSpan w:val="2"/>
            <w:shd w:val="clear" w:color="auto" w:fill="CCEEFF"/>
          </w:tcPr>
          <w:p>
            <w:pPr>
              <w:jc w:val="right"/>
              <w:ind w:right="200"/>
              <w:spacing w:after="0" w:line="95" w:lineRule="exact"/>
              <w:rPr>
                <w:sz w:val="20"/>
                <w:szCs w:val="20"/>
                <w:color w:val="auto"/>
              </w:rPr>
            </w:pPr>
            <w:r>
              <w:rPr>
                <w:rFonts w:ascii="Arial" w:cs="Arial" w:eastAsia="Arial" w:hAnsi="Arial"/>
                <w:sz w:val="10"/>
                <w:szCs w:val="10"/>
                <w:color w:val="auto"/>
              </w:rPr>
              <w:t>451,298</w:t>
            </w:r>
          </w:p>
        </w:tc>
        <w:tc>
          <w:tcPr>
            <w:tcW w:w="580" w:type="dxa"/>
            <w:vAlign w:val="bottom"/>
            <w:gridSpan w:val="2"/>
            <w:shd w:val="clear" w:color="auto" w:fill="CCEEFF"/>
          </w:tcPr>
          <w:p>
            <w:pPr>
              <w:ind w:left="380"/>
              <w:spacing w:after="0" w:line="95" w:lineRule="exact"/>
              <w:rPr>
                <w:sz w:val="20"/>
                <w:szCs w:val="20"/>
                <w:color w:val="auto"/>
              </w:rPr>
            </w:pPr>
            <w:r>
              <w:rPr>
                <w:rFonts w:ascii="Arial" w:cs="Arial" w:eastAsia="Arial" w:hAnsi="Arial"/>
                <w:sz w:val="10"/>
                <w:szCs w:val="10"/>
                <w:color w:val="auto"/>
              </w:rPr>
              <w:t>—</w:t>
            </w:r>
          </w:p>
        </w:tc>
        <w:tc>
          <w:tcPr>
            <w:tcW w:w="700" w:type="dxa"/>
            <w:vAlign w:val="bottom"/>
            <w:gridSpan w:val="3"/>
            <w:shd w:val="clear" w:color="auto" w:fill="CCEEFF"/>
          </w:tcPr>
          <w:p>
            <w:pPr>
              <w:jc w:val="right"/>
              <w:ind w:right="200"/>
              <w:spacing w:after="0" w:line="95" w:lineRule="exact"/>
              <w:rPr>
                <w:sz w:val="20"/>
                <w:szCs w:val="20"/>
                <w:color w:val="auto"/>
              </w:rPr>
            </w:pPr>
            <w:r>
              <w:rPr>
                <w:rFonts w:ascii="Arial" w:cs="Arial" w:eastAsia="Arial" w:hAnsi="Arial"/>
                <w:sz w:val="10"/>
                <w:szCs w:val="10"/>
                <w:color w:val="auto"/>
              </w:rPr>
              <w:t>25,000</w:t>
            </w:r>
          </w:p>
        </w:tc>
        <w:tc>
          <w:tcPr>
            <w:tcW w:w="18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20"/>
              <w:spacing w:after="0" w:line="95" w:lineRule="exact"/>
              <w:rPr>
                <w:sz w:val="20"/>
                <w:szCs w:val="20"/>
                <w:color w:val="auto"/>
              </w:rPr>
            </w:pPr>
            <w:r>
              <w:rPr>
                <w:rFonts w:ascii="Arial" w:cs="Arial" w:eastAsia="Arial" w:hAnsi="Arial"/>
                <w:sz w:val="10"/>
                <w:szCs w:val="10"/>
                <w:color w:val="auto"/>
              </w:rPr>
              <w:t>25,000</w:t>
            </w: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00"/>
              <w:spacing w:after="0" w:line="95" w:lineRule="exact"/>
              <w:rPr>
                <w:sz w:val="20"/>
                <w:szCs w:val="20"/>
                <w:color w:val="auto"/>
              </w:rPr>
            </w:pPr>
            <w:r>
              <w:rPr>
                <w:rFonts w:ascii="Arial" w:cs="Arial" w:eastAsia="Arial" w:hAnsi="Arial"/>
                <w:sz w:val="10"/>
                <w:szCs w:val="10"/>
                <w:color w:val="auto"/>
              </w:rPr>
              <w:t>33.2250</w:t>
            </w:r>
          </w:p>
        </w:tc>
        <w:tc>
          <w:tcPr>
            <w:tcW w:w="580" w:type="dxa"/>
            <w:vAlign w:val="bottom"/>
            <w:gridSpan w:val="2"/>
            <w:shd w:val="clear" w:color="auto" w:fill="CCEEFF"/>
          </w:tcPr>
          <w:p>
            <w:pPr>
              <w:jc w:val="right"/>
              <w:ind w:right="100"/>
              <w:spacing w:after="0" w:line="95" w:lineRule="exact"/>
              <w:rPr>
                <w:sz w:val="20"/>
                <w:szCs w:val="20"/>
                <w:color w:val="auto"/>
              </w:rPr>
            </w:pPr>
            <w:r>
              <w:rPr>
                <w:rFonts w:ascii="Arial" w:cs="Arial" w:eastAsia="Arial" w:hAnsi="Arial"/>
                <w:sz w:val="10"/>
                <w:szCs w:val="10"/>
                <w:color w:val="auto"/>
              </w:rPr>
              <w:t>314,500</w:t>
            </w:r>
          </w:p>
        </w:tc>
        <w:tc>
          <w:tcPr>
            <w:tcW w:w="0" w:type="dxa"/>
            <w:vAlign w:val="bottom"/>
          </w:tcPr>
          <w:p>
            <w:pPr>
              <w:spacing w:after="0"/>
              <w:rPr>
                <w:sz w:val="1"/>
                <w:szCs w:val="1"/>
                <w:color w:val="auto"/>
              </w:rPr>
            </w:pPr>
          </w:p>
        </w:tc>
      </w:tr>
      <w:tr>
        <w:trPr>
          <w:trHeight w:val="121"/>
        </w:trPr>
        <w:tc>
          <w:tcPr>
            <w:tcW w:w="20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11/30/2006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11/15/2006</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25,000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38.1900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356,500</w:t>
            </w:r>
          </w:p>
        </w:tc>
        <w:tc>
          <w:tcPr>
            <w:tcW w:w="0" w:type="dxa"/>
            <w:vAlign w:val="bottom"/>
          </w:tcPr>
          <w:p>
            <w:pPr>
              <w:spacing w:after="0"/>
              <w:rPr>
                <w:sz w:val="1"/>
                <w:szCs w:val="1"/>
                <w:color w:val="auto"/>
              </w:rPr>
            </w:pPr>
          </w:p>
        </w:tc>
      </w:tr>
      <w:tr>
        <w:trPr>
          <w:trHeight w:val="95"/>
        </w:trPr>
        <w:tc>
          <w:tcPr>
            <w:tcW w:w="2000" w:type="dxa"/>
            <w:vAlign w:val="bottom"/>
          </w:tcPr>
          <w:p>
            <w:pPr>
              <w:spacing w:after="0" w:line="95" w:lineRule="exact"/>
              <w:rPr>
                <w:sz w:val="20"/>
                <w:szCs w:val="20"/>
                <w:color w:val="auto"/>
              </w:rPr>
            </w:pPr>
            <w:r>
              <w:rPr>
                <w:rFonts w:ascii="Arial" w:cs="Arial" w:eastAsia="Arial" w:hAnsi="Arial"/>
                <w:sz w:val="10"/>
                <w:szCs w:val="10"/>
                <w:color w:val="auto"/>
              </w:rPr>
              <w:t>P.C. Sephton</w:t>
            </w:r>
          </w:p>
        </w:tc>
        <w:tc>
          <w:tcPr>
            <w:tcW w:w="860" w:type="dxa"/>
            <w:vAlign w:val="bottom"/>
            <w:gridSpan w:val="3"/>
          </w:tcPr>
          <w:p>
            <w:pPr>
              <w:jc w:val="right"/>
              <w:ind w:right="180"/>
              <w:spacing w:after="0" w:line="95" w:lineRule="exact"/>
              <w:rPr>
                <w:sz w:val="20"/>
                <w:szCs w:val="20"/>
                <w:color w:val="auto"/>
              </w:rPr>
            </w:pPr>
            <w:r>
              <w:rPr>
                <w:rFonts w:ascii="Arial" w:cs="Arial" w:eastAsia="Arial" w:hAnsi="Arial"/>
                <w:sz w:val="10"/>
                <w:szCs w:val="10"/>
                <w:color w:val="auto"/>
              </w:rPr>
              <w:t>8/1/2006</w:t>
            </w:r>
          </w:p>
        </w:tc>
        <w:tc>
          <w:tcPr>
            <w:tcW w:w="980" w:type="dxa"/>
            <w:vAlign w:val="bottom"/>
            <w:gridSpan w:val="2"/>
          </w:tcPr>
          <w:p>
            <w:pPr>
              <w:jc w:val="right"/>
              <w:ind w:right="200"/>
              <w:spacing w:after="0" w:line="95" w:lineRule="exact"/>
              <w:rPr>
                <w:sz w:val="20"/>
                <w:szCs w:val="20"/>
                <w:color w:val="auto"/>
              </w:rPr>
            </w:pPr>
            <w:r>
              <w:rPr>
                <w:rFonts w:ascii="Arial" w:cs="Arial" w:eastAsia="Arial" w:hAnsi="Arial"/>
                <w:sz w:val="10"/>
                <w:szCs w:val="10"/>
                <w:color w:val="auto"/>
              </w:rPr>
              <w:t>7/24/2006</w:t>
            </w:r>
          </w:p>
        </w:tc>
        <w:tc>
          <w:tcPr>
            <w:tcW w:w="560" w:type="dxa"/>
            <w:vAlign w:val="bottom"/>
            <w:gridSpan w:val="2"/>
          </w:tcPr>
          <w:p>
            <w:pPr>
              <w:ind w:left="380"/>
              <w:spacing w:after="0" w:line="95" w:lineRule="exact"/>
              <w:rPr>
                <w:sz w:val="20"/>
                <w:szCs w:val="20"/>
                <w:color w:val="auto"/>
              </w:rPr>
            </w:pPr>
            <w:r>
              <w:rPr>
                <w:rFonts w:ascii="Arial" w:cs="Arial" w:eastAsia="Arial" w:hAnsi="Arial"/>
                <w:sz w:val="10"/>
                <w:szCs w:val="10"/>
                <w:color w:val="auto"/>
              </w:rPr>
              <w:t>—</w:t>
            </w:r>
          </w:p>
        </w:tc>
        <w:tc>
          <w:tcPr>
            <w:tcW w:w="760" w:type="dxa"/>
            <w:vAlign w:val="bottom"/>
            <w:gridSpan w:val="3"/>
          </w:tcPr>
          <w:p>
            <w:pPr>
              <w:ind w:left="240"/>
              <w:spacing w:after="0" w:line="95" w:lineRule="exact"/>
              <w:rPr>
                <w:sz w:val="20"/>
                <w:szCs w:val="20"/>
                <w:color w:val="auto"/>
              </w:rPr>
            </w:pPr>
            <w:r>
              <w:rPr>
                <w:rFonts w:ascii="Arial" w:cs="Arial" w:eastAsia="Arial" w:hAnsi="Arial"/>
                <w:sz w:val="10"/>
                <w:szCs w:val="10"/>
                <w:color w:val="auto"/>
              </w:rPr>
              <w:t>247,079</w:t>
            </w:r>
          </w:p>
        </w:tc>
        <w:tc>
          <w:tcPr>
            <w:tcW w:w="700" w:type="dxa"/>
            <w:vAlign w:val="bottom"/>
            <w:gridSpan w:val="2"/>
          </w:tcPr>
          <w:p>
            <w:pPr>
              <w:jc w:val="right"/>
              <w:ind w:right="200"/>
              <w:spacing w:after="0" w:line="95" w:lineRule="exact"/>
              <w:rPr>
                <w:sz w:val="20"/>
                <w:szCs w:val="20"/>
                <w:color w:val="auto"/>
              </w:rPr>
            </w:pPr>
            <w:r>
              <w:rPr>
                <w:rFonts w:ascii="Arial" w:cs="Arial" w:eastAsia="Arial" w:hAnsi="Arial"/>
                <w:sz w:val="10"/>
                <w:szCs w:val="10"/>
                <w:color w:val="auto"/>
              </w:rPr>
              <w:t>370,619</w:t>
            </w:r>
          </w:p>
        </w:tc>
        <w:tc>
          <w:tcPr>
            <w:tcW w:w="580" w:type="dxa"/>
            <w:vAlign w:val="bottom"/>
            <w:gridSpan w:val="2"/>
          </w:tcPr>
          <w:p>
            <w:pPr>
              <w:ind w:left="380"/>
              <w:spacing w:after="0" w:line="95" w:lineRule="exact"/>
              <w:rPr>
                <w:sz w:val="20"/>
                <w:szCs w:val="20"/>
                <w:color w:val="auto"/>
              </w:rPr>
            </w:pPr>
            <w:r>
              <w:rPr>
                <w:rFonts w:ascii="Arial" w:cs="Arial" w:eastAsia="Arial" w:hAnsi="Arial"/>
                <w:sz w:val="10"/>
                <w:szCs w:val="10"/>
                <w:color w:val="auto"/>
              </w:rPr>
              <w:t>—</w:t>
            </w:r>
          </w:p>
        </w:tc>
        <w:tc>
          <w:tcPr>
            <w:tcW w:w="700" w:type="dxa"/>
            <w:vAlign w:val="bottom"/>
            <w:gridSpan w:val="3"/>
          </w:tcPr>
          <w:p>
            <w:pPr>
              <w:jc w:val="right"/>
              <w:ind w:right="200"/>
              <w:spacing w:after="0" w:line="95" w:lineRule="exact"/>
              <w:rPr>
                <w:sz w:val="20"/>
                <w:szCs w:val="20"/>
                <w:color w:val="auto"/>
              </w:rPr>
            </w:pPr>
            <w:r>
              <w:rPr>
                <w:rFonts w:ascii="Arial" w:cs="Arial" w:eastAsia="Arial" w:hAnsi="Arial"/>
                <w:sz w:val="10"/>
                <w:szCs w:val="10"/>
                <w:color w:val="auto"/>
              </w:rPr>
              <w:t>25,000</w:t>
            </w:r>
          </w:p>
        </w:tc>
        <w:tc>
          <w:tcPr>
            <w:tcW w:w="180" w:type="dxa"/>
            <w:vAlign w:val="bottom"/>
          </w:tcPr>
          <w:p>
            <w:pPr>
              <w:spacing w:after="0"/>
              <w:rPr>
                <w:sz w:val="8"/>
                <w:szCs w:val="8"/>
                <w:color w:val="auto"/>
              </w:rPr>
            </w:pPr>
          </w:p>
        </w:tc>
        <w:tc>
          <w:tcPr>
            <w:tcW w:w="500" w:type="dxa"/>
            <w:vAlign w:val="bottom"/>
            <w:gridSpan w:val="2"/>
          </w:tcPr>
          <w:p>
            <w:pPr>
              <w:ind w:left="20"/>
              <w:spacing w:after="0" w:line="95" w:lineRule="exact"/>
              <w:rPr>
                <w:sz w:val="20"/>
                <w:szCs w:val="20"/>
                <w:color w:val="auto"/>
              </w:rPr>
            </w:pPr>
            <w:r>
              <w:rPr>
                <w:rFonts w:ascii="Arial" w:cs="Arial" w:eastAsia="Arial" w:hAnsi="Arial"/>
                <w:sz w:val="10"/>
                <w:szCs w:val="10"/>
                <w:color w:val="auto"/>
              </w:rPr>
              <w:t>25,000</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jc w:val="right"/>
              <w:ind w:right="200"/>
              <w:spacing w:after="0" w:line="95" w:lineRule="exact"/>
              <w:rPr>
                <w:sz w:val="20"/>
                <w:szCs w:val="20"/>
                <w:color w:val="auto"/>
              </w:rPr>
            </w:pPr>
            <w:r>
              <w:rPr>
                <w:rFonts w:ascii="Arial" w:cs="Arial" w:eastAsia="Arial" w:hAnsi="Arial"/>
                <w:sz w:val="10"/>
                <w:szCs w:val="10"/>
                <w:color w:val="auto"/>
              </w:rPr>
              <w:t>33.2250</w:t>
            </w:r>
          </w:p>
        </w:tc>
        <w:tc>
          <w:tcPr>
            <w:tcW w:w="580" w:type="dxa"/>
            <w:vAlign w:val="bottom"/>
            <w:gridSpan w:val="2"/>
          </w:tcPr>
          <w:p>
            <w:pPr>
              <w:jc w:val="right"/>
              <w:ind w:right="100"/>
              <w:spacing w:after="0" w:line="95" w:lineRule="exact"/>
              <w:rPr>
                <w:sz w:val="20"/>
                <w:szCs w:val="20"/>
                <w:color w:val="auto"/>
              </w:rPr>
            </w:pPr>
            <w:r>
              <w:rPr>
                <w:rFonts w:ascii="Arial" w:cs="Arial" w:eastAsia="Arial" w:hAnsi="Arial"/>
                <w:sz w:val="10"/>
                <w:szCs w:val="10"/>
                <w:color w:val="auto"/>
              </w:rPr>
              <w:t>314,500</w:t>
            </w: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0"/>
                <w:szCs w:val="10"/>
                <w:color w:val="auto"/>
              </w:rPr>
              <w:t>11/30/2006</w:t>
            </w: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11/15/2006</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0"/>
                <w:szCs w:val="10"/>
                <w:color w:val="auto"/>
              </w:rPr>
              <w:t>25,000</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38.1900</w:t>
            </w:r>
          </w:p>
        </w:tc>
        <w:tc>
          <w:tcPr>
            <w:tcW w:w="580" w:type="dxa"/>
            <w:vAlign w:val="bottom"/>
            <w:gridSpan w:val="2"/>
          </w:tcPr>
          <w:p>
            <w:pPr>
              <w:jc w:val="right"/>
              <w:ind w:right="100"/>
              <w:spacing w:after="0"/>
              <w:rPr>
                <w:sz w:val="20"/>
                <w:szCs w:val="20"/>
                <w:color w:val="auto"/>
              </w:rPr>
            </w:pPr>
            <w:r>
              <w:rPr>
                <w:rFonts w:ascii="Arial" w:cs="Arial" w:eastAsia="Arial" w:hAnsi="Arial"/>
                <w:sz w:val="10"/>
                <w:szCs w:val="10"/>
                <w:color w:val="auto"/>
              </w:rPr>
              <w:t>356,500</w:t>
            </w:r>
          </w:p>
        </w:tc>
        <w:tc>
          <w:tcPr>
            <w:tcW w:w="0" w:type="dxa"/>
            <w:vAlign w:val="bottom"/>
          </w:tcPr>
          <w:p>
            <w:pPr>
              <w:spacing w:after="0"/>
              <w:rPr>
                <w:sz w:val="1"/>
                <w:szCs w:val="1"/>
                <w:color w:val="auto"/>
              </w:rPr>
            </w:pPr>
          </w:p>
        </w:tc>
      </w:tr>
      <w:tr>
        <w:trPr>
          <w:trHeight w:val="95"/>
        </w:trPr>
        <w:tc>
          <w:tcPr>
            <w:tcW w:w="20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M.O. Williamson</w:t>
            </w:r>
          </w:p>
        </w:tc>
        <w:tc>
          <w:tcPr>
            <w:tcW w:w="860" w:type="dxa"/>
            <w:vAlign w:val="bottom"/>
            <w:gridSpan w:val="3"/>
            <w:shd w:val="clear" w:color="auto" w:fill="CCEEFF"/>
          </w:tcPr>
          <w:p>
            <w:pPr>
              <w:jc w:val="right"/>
              <w:ind w:right="180"/>
              <w:spacing w:after="0" w:line="95" w:lineRule="exact"/>
              <w:rPr>
                <w:sz w:val="20"/>
                <w:szCs w:val="20"/>
                <w:color w:val="auto"/>
              </w:rPr>
            </w:pPr>
            <w:r>
              <w:rPr>
                <w:rFonts w:ascii="Arial" w:cs="Arial" w:eastAsia="Arial" w:hAnsi="Arial"/>
                <w:sz w:val="10"/>
                <w:szCs w:val="10"/>
                <w:color w:val="auto"/>
              </w:rPr>
              <w:t>8/1/2006</w:t>
            </w:r>
          </w:p>
        </w:tc>
        <w:tc>
          <w:tcPr>
            <w:tcW w:w="980" w:type="dxa"/>
            <w:vAlign w:val="bottom"/>
            <w:gridSpan w:val="2"/>
            <w:shd w:val="clear" w:color="auto" w:fill="CCEEFF"/>
          </w:tcPr>
          <w:p>
            <w:pPr>
              <w:jc w:val="right"/>
              <w:ind w:right="200"/>
              <w:spacing w:after="0" w:line="95" w:lineRule="exact"/>
              <w:rPr>
                <w:sz w:val="20"/>
                <w:szCs w:val="20"/>
                <w:color w:val="auto"/>
              </w:rPr>
            </w:pPr>
            <w:r>
              <w:rPr>
                <w:rFonts w:ascii="Arial" w:cs="Arial" w:eastAsia="Arial" w:hAnsi="Arial"/>
                <w:sz w:val="10"/>
                <w:szCs w:val="10"/>
                <w:color w:val="auto"/>
              </w:rPr>
              <w:t>7/24/2006</w:t>
            </w:r>
          </w:p>
        </w:tc>
        <w:tc>
          <w:tcPr>
            <w:tcW w:w="560" w:type="dxa"/>
            <w:vAlign w:val="bottom"/>
            <w:gridSpan w:val="2"/>
            <w:shd w:val="clear" w:color="auto" w:fill="CCEEFF"/>
          </w:tcPr>
          <w:p>
            <w:pPr>
              <w:ind w:left="380"/>
              <w:spacing w:after="0" w:line="95" w:lineRule="exact"/>
              <w:rPr>
                <w:sz w:val="20"/>
                <w:szCs w:val="20"/>
                <w:color w:val="auto"/>
              </w:rPr>
            </w:pPr>
            <w:r>
              <w:rPr>
                <w:rFonts w:ascii="Arial" w:cs="Arial" w:eastAsia="Arial" w:hAnsi="Arial"/>
                <w:sz w:val="10"/>
                <w:szCs w:val="10"/>
                <w:color w:val="auto"/>
              </w:rPr>
              <w:t>—</w:t>
            </w:r>
          </w:p>
        </w:tc>
        <w:tc>
          <w:tcPr>
            <w:tcW w:w="760" w:type="dxa"/>
            <w:vAlign w:val="bottom"/>
            <w:gridSpan w:val="3"/>
            <w:shd w:val="clear" w:color="auto" w:fill="CCEEFF"/>
          </w:tcPr>
          <w:p>
            <w:pPr>
              <w:ind w:left="240"/>
              <w:spacing w:after="0" w:line="95" w:lineRule="exact"/>
              <w:rPr>
                <w:sz w:val="20"/>
                <w:szCs w:val="20"/>
                <w:color w:val="auto"/>
              </w:rPr>
            </w:pPr>
            <w:r>
              <w:rPr>
                <w:rFonts w:ascii="Arial" w:cs="Arial" w:eastAsia="Arial" w:hAnsi="Arial"/>
                <w:sz w:val="10"/>
                <w:szCs w:val="10"/>
                <w:color w:val="auto"/>
              </w:rPr>
              <w:t>195,538</w:t>
            </w:r>
          </w:p>
        </w:tc>
        <w:tc>
          <w:tcPr>
            <w:tcW w:w="700" w:type="dxa"/>
            <w:vAlign w:val="bottom"/>
            <w:gridSpan w:val="2"/>
            <w:shd w:val="clear" w:color="auto" w:fill="CCEEFF"/>
          </w:tcPr>
          <w:p>
            <w:pPr>
              <w:jc w:val="right"/>
              <w:ind w:right="200"/>
              <w:spacing w:after="0" w:line="95" w:lineRule="exact"/>
              <w:rPr>
                <w:sz w:val="20"/>
                <w:szCs w:val="20"/>
                <w:color w:val="auto"/>
              </w:rPr>
            </w:pPr>
            <w:r>
              <w:rPr>
                <w:rFonts w:ascii="Arial" w:cs="Arial" w:eastAsia="Arial" w:hAnsi="Arial"/>
                <w:sz w:val="10"/>
                <w:szCs w:val="10"/>
                <w:color w:val="auto"/>
              </w:rPr>
              <w:t>293,307</w:t>
            </w:r>
          </w:p>
        </w:tc>
        <w:tc>
          <w:tcPr>
            <w:tcW w:w="580" w:type="dxa"/>
            <w:vAlign w:val="bottom"/>
            <w:gridSpan w:val="2"/>
            <w:shd w:val="clear" w:color="auto" w:fill="CCEEFF"/>
          </w:tcPr>
          <w:p>
            <w:pPr>
              <w:ind w:left="380"/>
              <w:spacing w:after="0" w:line="95" w:lineRule="exact"/>
              <w:rPr>
                <w:sz w:val="20"/>
                <w:szCs w:val="20"/>
                <w:color w:val="auto"/>
              </w:rPr>
            </w:pPr>
            <w:r>
              <w:rPr>
                <w:rFonts w:ascii="Arial" w:cs="Arial" w:eastAsia="Arial" w:hAnsi="Arial"/>
                <w:sz w:val="10"/>
                <w:szCs w:val="10"/>
                <w:color w:val="auto"/>
              </w:rPr>
              <w:t>—</w:t>
            </w:r>
          </w:p>
        </w:tc>
        <w:tc>
          <w:tcPr>
            <w:tcW w:w="700" w:type="dxa"/>
            <w:vAlign w:val="bottom"/>
            <w:gridSpan w:val="3"/>
            <w:shd w:val="clear" w:color="auto" w:fill="CCEEFF"/>
          </w:tcPr>
          <w:p>
            <w:pPr>
              <w:jc w:val="right"/>
              <w:ind w:right="200"/>
              <w:spacing w:after="0" w:line="95" w:lineRule="exact"/>
              <w:rPr>
                <w:sz w:val="20"/>
                <w:szCs w:val="20"/>
                <w:color w:val="auto"/>
              </w:rPr>
            </w:pPr>
            <w:r>
              <w:rPr>
                <w:rFonts w:ascii="Arial" w:cs="Arial" w:eastAsia="Arial" w:hAnsi="Arial"/>
                <w:sz w:val="10"/>
                <w:szCs w:val="10"/>
                <w:color w:val="auto"/>
              </w:rPr>
              <w:t>25,000</w:t>
            </w:r>
          </w:p>
        </w:tc>
        <w:tc>
          <w:tcPr>
            <w:tcW w:w="18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20"/>
              <w:spacing w:after="0" w:line="95" w:lineRule="exact"/>
              <w:rPr>
                <w:sz w:val="20"/>
                <w:szCs w:val="20"/>
                <w:color w:val="auto"/>
              </w:rPr>
            </w:pPr>
            <w:r>
              <w:rPr>
                <w:rFonts w:ascii="Arial" w:cs="Arial" w:eastAsia="Arial" w:hAnsi="Arial"/>
                <w:sz w:val="10"/>
                <w:szCs w:val="10"/>
                <w:color w:val="auto"/>
              </w:rPr>
              <w:t>25,000</w:t>
            </w: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00"/>
              <w:spacing w:after="0" w:line="95" w:lineRule="exact"/>
              <w:rPr>
                <w:sz w:val="20"/>
                <w:szCs w:val="20"/>
                <w:color w:val="auto"/>
              </w:rPr>
            </w:pPr>
            <w:r>
              <w:rPr>
                <w:rFonts w:ascii="Arial" w:cs="Arial" w:eastAsia="Arial" w:hAnsi="Arial"/>
                <w:sz w:val="10"/>
                <w:szCs w:val="10"/>
                <w:color w:val="auto"/>
              </w:rPr>
              <w:t>33.2250</w:t>
            </w:r>
          </w:p>
        </w:tc>
        <w:tc>
          <w:tcPr>
            <w:tcW w:w="580" w:type="dxa"/>
            <w:vAlign w:val="bottom"/>
            <w:gridSpan w:val="2"/>
            <w:shd w:val="clear" w:color="auto" w:fill="CCEEFF"/>
          </w:tcPr>
          <w:p>
            <w:pPr>
              <w:jc w:val="right"/>
              <w:ind w:right="100"/>
              <w:spacing w:after="0" w:line="95" w:lineRule="exact"/>
              <w:rPr>
                <w:sz w:val="20"/>
                <w:szCs w:val="20"/>
                <w:color w:val="auto"/>
              </w:rPr>
            </w:pPr>
            <w:r>
              <w:rPr>
                <w:rFonts w:ascii="Arial" w:cs="Arial" w:eastAsia="Arial" w:hAnsi="Arial"/>
                <w:sz w:val="10"/>
                <w:szCs w:val="10"/>
                <w:color w:val="auto"/>
              </w:rPr>
              <w:t>314,500</w:t>
            </w:r>
          </w:p>
        </w:tc>
        <w:tc>
          <w:tcPr>
            <w:tcW w:w="0" w:type="dxa"/>
            <w:vAlign w:val="bottom"/>
          </w:tcPr>
          <w:p>
            <w:pPr>
              <w:spacing w:after="0"/>
              <w:rPr>
                <w:sz w:val="1"/>
                <w:szCs w:val="1"/>
                <w:color w:val="auto"/>
              </w:rPr>
            </w:pPr>
          </w:p>
        </w:tc>
      </w:tr>
      <w:tr>
        <w:trPr>
          <w:trHeight w:val="121"/>
        </w:trPr>
        <w:tc>
          <w:tcPr>
            <w:tcW w:w="20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11/30/2006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11/15/2006</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25,000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38.1900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356,500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-716915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1180" w:right="140" w:hanging="243"/>
        <w:spacing w:after="0" w:line="276" w:lineRule="auto"/>
        <w:tabs>
          <w:tab w:leader="none" w:pos="11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awards were made under the Company’s annual cash incentive plan. The structure of the plan is described in Compensation Discussion and Analysis above. Award levels are set prior to the beginning of the fiscal year and payouts can range from 0% to 150% of the target.</w:t>
      </w:r>
    </w:p>
    <w:p>
      <w:pPr>
        <w:spacing w:after="0" w:line="10" w:lineRule="exact"/>
        <w:rPr>
          <w:rFonts w:ascii="Arial" w:cs="Arial" w:eastAsia="Arial" w:hAnsi="Arial"/>
          <w:sz w:val="13"/>
          <w:szCs w:val="13"/>
          <w:color w:val="auto"/>
        </w:rPr>
      </w:pPr>
    </w:p>
    <w:p>
      <w:pPr>
        <w:ind w:left="1180" w:right="380" w:hanging="243"/>
        <w:spacing w:after="0" w:line="307" w:lineRule="auto"/>
        <w:tabs>
          <w:tab w:leader="none" w:pos="11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options granted equally vest upon meeting certain financial goals in fiscal 2007, 2008 and 2009. The structure of the grants is described in Compensation Discussion and Analysis above. The financial goals in 2007 have not been met so one-third of the options have not vested and were cancelled. The options have a term of ten years.</w:t>
      </w:r>
    </w:p>
    <w:p>
      <w:pPr>
        <w:ind w:left="1180" w:right="240" w:hanging="243"/>
        <w:spacing w:after="0" w:line="276" w:lineRule="auto"/>
        <w:tabs>
          <w:tab w:leader="none" w:pos="11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options granted become exercisable as follows: one-third of the shares on November 30, 2007, one-third of the shares on November 30, 2008 and one-third of the shares on November 30, 2009. These options have a term of ten years.</w:t>
      </w:r>
    </w:p>
    <w:p>
      <w:pPr>
        <w:spacing w:after="0" w:line="49" w:lineRule="exact"/>
        <w:rPr>
          <w:rFonts w:ascii="Arial" w:cs="Arial" w:eastAsia="Arial" w:hAnsi="Arial"/>
          <w:sz w:val="13"/>
          <w:szCs w:val="13"/>
          <w:color w:val="auto"/>
        </w:rPr>
      </w:pPr>
    </w:p>
    <w:p>
      <w:pPr>
        <w:ind w:left="1180" w:right="220" w:hanging="243"/>
        <w:spacing w:after="0" w:line="264" w:lineRule="auto"/>
        <w:tabs>
          <w:tab w:leader="none" w:pos="11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exercise price is the average of the highest and lowest sale prices of the Company’s Class A Common Stock as reported by the New York Stock Exchange on the date of the grant. The closing prices of the Company’s Class A Common Stock as reported by the New York Stock Exchange on the dates of the grants were $33.16 per share on August 1, 2006 and $38.38 per share on November 30, 2006, respectively.</w:t>
      </w:r>
    </w:p>
    <w:p>
      <w:pPr>
        <w:spacing w:after="0" w:line="26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Outstanding Equity Awards at 2007 Fiscal Year End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7"/>
              </w:rPr>
              <w:t>Option Awards (1)</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6"/>
              </w:rPr>
              <w:t>Equity Incentive</w:t>
            </w: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5"/>
              </w:rPr>
              <w:t>Number of</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5"/>
              </w:rPr>
              <w:t>Number of</w:t>
            </w:r>
          </w:p>
        </w:tc>
        <w:tc>
          <w:tcPr>
            <w:tcW w:w="200" w:type="dxa"/>
            <w:vAlign w:val="bottom"/>
          </w:tcPr>
          <w:p>
            <w:pPr>
              <w:spacing w:after="0"/>
              <w:rPr>
                <w:sz w:val="9"/>
                <w:szCs w:val="9"/>
                <w:color w:val="auto"/>
              </w:rPr>
            </w:pPr>
          </w:p>
        </w:tc>
        <w:tc>
          <w:tcPr>
            <w:tcW w:w="16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4"/>
              </w:rPr>
              <w:t>Plan Awards:</w:t>
            </w: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Number</w:t>
            </w: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Securities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1"/>
              </w:rPr>
              <w:t>Securities</w:t>
            </w:r>
          </w:p>
        </w:tc>
        <w:tc>
          <w:tcPr>
            <w:tcW w:w="200" w:type="dxa"/>
            <w:vAlign w:val="bottom"/>
          </w:tcPr>
          <w:p>
            <w:pPr>
              <w:spacing w:after="0"/>
              <w:rPr>
                <w:sz w:val="9"/>
                <w:szCs w:val="9"/>
                <w:color w:val="auto"/>
              </w:rPr>
            </w:pPr>
          </w:p>
        </w:tc>
        <w:tc>
          <w:tcPr>
            <w:tcW w:w="16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3"/>
              </w:rPr>
              <w:t>of Securities</w:t>
            </w: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5"/>
              </w:rPr>
              <w:t>Underlying</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Underlying</w:t>
            </w:r>
          </w:p>
        </w:tc>
        <w:tc>
          <w:tcPr>
            <w:tcW w:w="200" w:type="dxa"/>
            <w:vAlign w:val="bottom"/>
          </w:tcPr>
          <w:p>
            <w:pPr>
              <w:spacing w:after="0"/>
              <w:rPr>
                <w:sz w:val="9"/>
                <w:szCs w:val="9"/>
                <w:color w:val="auto"/>
              </w:rPr>
            </w:pPr>
          </w:p>
        </w:tc>
        <w:tc>
          <w:tcPr>
            <w:tcW w:w="16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9"/>
              </w:rPr>
              <w:t>Underlying</w:t>
            </w: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9"/>
              </w:rPr>
              <w:t>Option</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0"/>
              </w:rPr>
              <w:t>Unexercised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0"/>
              </w:rPr>
              <w:t>Unexercised</w:t>
            </w:r>
          </w:p>
        </w:tc>
        <w:tc>
          <w:tcPr>
            <w:tcW w:w="200" w:type="dxa"/>
            <w:vAlign w:val="bottom"/>
          </w:tcPr>
          <w:p>
            <w:pPr>
              <w:spacing w:after="0"/>
              <w:rPr>
                <w:sz w:val="9"/>
                <w:szCs w:val="9"/>
                <w:color w:val="auto"/>
              </w:rPr>
            </w:pPr>
          </w:p>
        </w:tc>
        <w:tc>
          <w:tcPr>
            <w:tcW w:w="16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4"/>
              </w:rPr>
              <w:t>Unexercised</w:t>
            </w:r>
          </w:p>
        </w:tc>
        <w:tc>
          <w:tcPr>
            <w:tcW w:w="800" w:type="dxa"/>
            <w:vAlign w:val="bottom"/>
            <w:gridSpan w:val="2"/>
            <w:vMerge w:val="continue"/>
          </w:tcPr>
          <w:p>
            <w:pPr>
              <w:spacing w:after="0"/>
              <w:rPr>
                <w:sz w:val="9"/>
                <w:szCs w:val="9"/>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5"/>
              </w:rPr>
              <w:t>Options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5"/>
              </w:rPr>
              <w:t>Options</w:t>
            </w:r>
          </w:p>
        </w:tc>
        <w:tc>
          <w:tcPr>
            <w:tcW w:w="200" w:type="dxa"/>
            <w:vAlign w:val="bottom"/>
          </w:tcPr>
          <w:p>
            <w:pPr>
              <w:spacing w:after="0"/>
              <w:rPr>
                <w:sz w:val="9"/>
                <w:szCs w:val="9"/>
                <w:color w:val="auto"/>
              </w:rPr>
            </w:pPr>
          </w:p>
        </w:tc>
        <w:tc>
          <w:tcPr>
            <w:tcW w:w="16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Unearned</w:t>
            </w:r>
          </w:p>
        </w:tc>
        <w:tc>
          <w:tcPr>
            <w:tcW w:w="8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2"/>
              </w:rPr>
              <w:t>Exercise</w:t>
            </w: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48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Exercisable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Unexercisable</w:t>
            </w:r>
          </w:p>
        </w:tc>
        <w:tc>
          <w:tcPr>
            <w:tcW w:w="200" w:type="dxa"/>
            <w:vAlign w:val="bottom"/>
          </w:tcPr>
          <w:p>
            <w:pPr>
              <w:spacing w:after="0"/>
              <w:rPr>
                <w:sz w:val="10"/>
                <w:szCs w:val="1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Options</w:t>
            </w:r>
          </w:p>
        </w:tc>
        <w:tc>
          <w:tcPr>
            <w:tcW w:w="8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Price</w:t>
            </w:r>
          </w:p>
        </w:tc>
        <w:tc>
          <w:tcPr>
            <w:tcW w:w="6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Expiration</w:t>
            </w:r>
          </w:p>
        </w:tc>
        <w:tc>
          <w:tcPr>
            <w:tcW w:w="0" w:type="dxa"/>
            <w:vAlign w:val="bottom"/>
          </w:tcPr>
          <w:p>
            <w:pPr>
              <w:spacing w:after="0"/>
              <w:rPr>
                <w:sz w:val="1"/>
                <w:szCs w:val="1"/>
                <w:color w:val="auto"/>
              </w:rPr>
            </w:pPr>
          </w:p>
        </w:tc>
      </w:tr>
      <w:tr>
        <w:trPr>
          <w:trHeight w:val="125"/>
        </w:trPr>
        <w:tc>
          <w:tcPr>
            <w:tcW w:w="4480" w:type="dxa"/>
            <w:vAlign w:val="bottom"/>
            <w:vMerge w:val="continue"/>
          </w:tcPr>
          <w:p>
            <w:pPr>
              <w:spacing w:after="0"/>
              <w:rPr>
                <w:sz w:val="10"/>
                <w:szCs w:val="10"/>
                <w:color w:val="auto"/>
              </w:rPr>
            </w:pPr>
          </w:p>
        </w:tc>
        <w:tc>
          <w:tcPr>
            <w:tcW w:w="900" w:type="dxa"/>
            <w:vAlign w:val="bottom"/>
            <w:gridSpan w:val="3"/>
          </w:tcPr>
          <w:p>
            <w:pPr>
              <w:jc w:val="center"/>
              <w:ind w:left="48"/>
              <w:spacing w:after="0"/>
              <w:rPr>
                <w:sz w:val="20"/>
                <w:szCs w:val="20"/>
                <w:color w:val="auto"/>
              </w:rPr>
            </w:pPr>
            <w:r>
              <w:rPr>
                <w:rFonts w:ascii="Arial" w:cs="Arial" w:eastAsia="Arial" w:hAnsi="Arial"/>
                <w:sz w:val="10"/>
                <w:szCs w:val="10"/>
                <w:b w:val="1"/>
                <w:bCs w:val="1"/>
                <w:color w:val="auto"/>
                <w:w w:val="97"/>
              </w:rPr>
              <w:t>(#)</w:t>
            </w:r>
          </w:p>
        </w:tc>
        <w:tc>
          <w:tcPr>
            <w:tcW w:w="100" w:type="dxa"/>
            <w:vAlign w:val="bottom"/>
          </w:tcPr>
          <w:p>
            <w:pPr>
              <w:spacing w:after="0"/>
              <w:rPr>
                <w:sz w:val="10"/>
                <w:szCs w:val="10"/>
                <w:color w:val="auto"/>
              </w:rPr>
            </w:pPr>
          </w:p>
        </w:tc>
        <w:tc>
          <w:tcPr>
            <w:tcW w:w="1100" w:type="dxa"/>
            <w:vAlign w:val="bottom"/>
            <w:gridSpan w:val="3"/>
          </w:tcPr>
          <w:p>
            <w:pPr>
              <w:jc w:val="center"/>
              <w:ind w:left="128"/>
              <w:spacing w:after="0"/>
              <w:rPr>
                <w:sz w:val="20"/>
                <w:szCs w:val="20"/>
                <w:color w:val="auto"/>
              </w:rPr>
            </w:pPr>
            <w:r>
              <w:rPr>
                <w:rFonts w:ascii="Arial" w:cs="Arial" w:eastAsia="Arial" w:hAnsi="Arial"/>
                <w:sz w:val="10"/>
                <w:szCs w:val="10"/>
                <w:b w:val="1"/>
                <w:bCs w:val="1"/>
                <w:color w:val="auto"/>
                <w:w w:val="97"/>
              </w:rPr>
              <w:t>(#)</w:t>
            </w:r>
          </w:p>
        </w:tc>
        <w:tc>
          <w:tcPr>
            <w:tcW w:w="120" w:type="dxa"/>
            <w:vAlign w:val="bottom"/>
          </w:tcPr>
          <w:p>
            <w:pPr>
              <w:spacing w:after="0"/>
              <w:rPr>
                <w:sz w:val="10"/>
                <w:szCs w:val="10"/>
                <w:color w:val="auto"/>
              </w:rPr>
            </w:pPr>
          </w:p>
        </w:tc>
        <w:tc>
          <w:tcPr>
            <w:tcW w:w="1480" w:type="dxa"/>
            <w:vAlign w:val="bottom"/>
            <w:gridSpan w:val="2"/>
          </w:tcPr>
          <w:p>
            <w:pPr>
              <w:jc w:val="center"/>
              <w:ind w:left="148"/>
              <w:spacing w:after="0"/>
              <w:rPr>
                <w:sz w:val="20"/>
                <w:szCs w:val="20"/>
                <w:color w:val="auto"/>
              </w:rPr>
            </w:pPr>
            <w:r>
              <w:rPr>
                <w:rFonts w:ascii="Arial" w:cs="Arial" w:eastAsia="Arial" w:hAnsi="Arial"/>
                <w:sz w:val="10"/>
                <w:szCs w:val="10"/>
                <w:b w:val="1"/>
                <w:bCs w:val="1"/>
                <w:color w:val="auto"/>
                <w:w w:val="97"/>
              </w:rPr>
              <w:t>(#)</w:t>
            </w:r>
          </w:p>
        </w:tc>
        <w:tc>
          <w:tcPr>
            <w:tcW w:w="32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30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29"/>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44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F.M. Jaehnert</w:t>
            </w:r>
          </w:p>
        </w:tc>
        <w:tc>
          <w:tcPr>
            <w:tcW w:w="1000" w:type="dxa"/>
            <w:vAlign w:val="bottom"/>
            <w:gridSpan w:val="4"/>
            <w:shd w:val="clear" w:color="auto" w:fill="CCEEFF"/>
          </w:tcPr>
          <w:p>
            <w:pPr>
              <w:jc w:val="right"/>
              <w:ind w:right="100"/>
              <w:spacing w:after="0" w:line="95" w:lineRule="exact"/>
              <w:rPr>
                <w:sz w:val="20"/>
                <w:szCs w:val="20"/>
                <w:color w:val="auto"/>
              </w:rPr>
            </w:pPr>
            <w:r>
              <w:rPr>
                <w:rFonts w:ascii="Arial" w:cs="Arial" w:eastAsia="Arial" w:hAnsi="Arial"/>
                <w:sz w:val="10"/>
                <w:szCs w:val="10"/>
                <w:color w:val="auto"/>
              </w:rPr>
              <w:t>86,895</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300"/>
              <w:spacing w:after="0" w:line="95" w:lineRule="exact"/>
              <w:rPr>
                <w:sz w:val="20"/>
                <w:szCs w:val="20"/>
                <w:color w:val="auto"/>
              </w:rPr>
            </w:pPr>
            <w:r>
              <w:rPr>
                <w:rFonts w:ascii="Arial" w:cs="Arial" w:eastAsia="Arial" w:hAnsi="Arial"/>
                <w:sz w:val="10"/>
                <w:szCs w:val="10"/>
                <w:color w:val="auto"/>
              </w:rPr>
              <w:t>10.1719</w:t>
            </w:r>
          </w:p>
        </w:tc>
        <w:tc>
          <w:tcPr>
            <w:tcW w:w="680" w:type="dxa"/>
            <w:vAlign w:val="bottom"/>
            <w:gridSpan w:val="2"/>
            <w:shd w:val="clear" w:color="auto" w:fill="CCEEFF"/>
          </w:tcPr>
          <w:p>
            <w:pPr>
              <w:jc w:val="right"/>
              <w:ind w:right="100"/>
              <w:spacing w:after="0" w:line="95" w:lineRule="exact"/>
              <w:rPr>
                <w:sz w:val="20"/>
                <w:szCs w:val="20"/>
                <w:color w:val="auto"/>
              </w:rPr>
            </w:pPr>
            <w:r>
              <w:rPr>
                <w:rFonts w:ascii="Arial" w:cs="Arial" w:eastAsia="Arial" w:hAnsi="Arial"/>
                <w:sz w:val="10"/>
                <w:szCs w:val="10"/>
                <w:color w:val="auto"/>
              </w:rPr>
              <w:t>8/3/2008</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17,200</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15.2813</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10/14/2009</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20,000</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14.1575</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10/24/2010</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26,000</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16.0000</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10/16/2011</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30,000</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16.3875</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11/14/2012</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gridSpan w:val="3"/>
            <w:shd w:val="clear" w:color="auto" w:fill="CCEEFF"/>
          </w:tcPr>
          <w:p>
            <w:pPr>
              <w:jc w:val="right"/>
              <w:spacing w:after="0" w:line="108" w:lineRule="exact"/>
              <w:rPr>
                <w:sz w:val="20"/>
                <w:szCs w:val="20"/>
                <w:color w:val="auto"/>
              </w:rPr>
            </w:pPr>
            <w:r>
              <w:rPr>
                <w:rFonts w:ascii="Arial" w:cs="Arial" w:eastAsia="Arial" w:hAnsi="Arial"/>
                <w:sz w:val="10"/>
                <w:szCs w:val="10"/>
                <w:color w:val="auto"/>
              </w:rPr>
              <w:t>200,000(2)</w:t>
            </w: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13.3100</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2/24/2013</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72,000</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17.3250</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11/20/2013</w:t>
            </w:r>
          </w:p>
        </w:tc>
        <w:tc>
          <w:tcPr>
            <w:tcW w:w="0" w:type="dxa"/>
            <w:vAlign w:val="bottom"/>
          </w:tcPr>
          <w:p>
            <w:pPr>
              <w:spacing w:after="0"/>
              <w:rPr>
                <w:sz w:val="1"/>
                <w:szCs w:val="1"/>
                <w:color w:val="auto"/>
              </w:rPr>
            </w:pPr>
          </w:p>
        </w:tc>
      </w:tr>
      <w:tr>
        <w:trPr>
          <w:trHeight w:val="121"/>
        </w:trPr>
        <w:tc>
          <w:tcPr>
            <w:tcW w:w="4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40,000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20,000(3)</w:t>
            </w: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22.6325</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8/2/2009</w:t>
            </w:r>
          </w:p>
        </w:tc>
        <w:tc>
          <w:tcPr>
            <w:tcW w:w="0" w:type="dxa"/>
            <w:vAlign w:val="bottom"/>
          </w:tcPr>
          <w:p>
            <w:pPr>
              <w:spacing w:after="0"/>
              <w:rPr>
                <w:sz w:val="1"/>
                <w:szCs w:val="1"/>
                <w:color w:val="auto"/>
              </w:rPr>
            </w:pPr>
          </w:p>
        </w:tc>
      </w:tr>
      <w:tr>
        <w:trPr>
          <w:trHeight w:val="95"/>
        </w:trPr>
        <w:tc>
          <w:tcPr>
            <w:tcW w:w="4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40,000</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20,000(4)</w:t>
            </w: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gridSpan w:val="2"/>
          </w:tcPr>
          <w:p>
            <w:pPr>
              <w:jc w:val="right"/>
              <w:ind w:right="300"/>
              <w:spacing w:after="0" w:line="95" w:lineRule="exact"/>
              <w:rPr>
                <w:sz w:val="20"/>
                <w:szCs w:val="20"/>
                <w:color w:val="auto"/>
              </w:rPr>
            </w:pPr>
            <w:r>
              <w:rPr>
                <w:rFonts w:ascii="Arial" w:cs="Arial" w:eastAsia="Arial" w:hAnsi="Arial"/>
                <w:sz w:val="10"/>
                <w:szCs w:val="10"/>
                <w:color w:val="auto"/>
              </w:rPr>
              <w:t>28.8425</w:t>
            </w:r>
          </w:p>
        </w:tc>
        <w:tc>
          <w:tcPr>
            <w:tcW w:w="680" w:type="dxa"/>
            <w:vAlign w:val="bottom"/>
            <w:gridSpan w:val="2"/>
          </w:tcPr>
          <w:p>
            <w:pPr>
              <w:jc w:val="right"/>
              <w:ind w:right="100"/>
              <w:spacing w:after="0" w:line="95" w:lineRule="exact"/>
              <w:rPr>
                <w:sz w:val="20"/>
                <w:szCs w:val="20"/>
                <w:color w:val="auto"/>
              </w:rPr>
            </w:pPr>
            <w:r>
              <w:rPr>
                <w:rFonts w:ascii="Arial" w:cs="Arial" w:eastAsia="Arial" w:hAnsi="Arial"/>
                <w:sz w:val="10"/>
                <w:szCs w:val="10"/>
                <w:color w:val="auto"/>
              </w:rPr>
              <w:t>11/18/2014</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20,000</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40,000(5)</w:t>
            </w: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33.8900</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8/1/2010</w:t>
            </w:r>
          </w:p>
        </w:tc>
        <w:tc>
          <w:tcPr>
            <w:tcW w:w="0" w:type="dxa"/>
            <w:vAlign w:val="bottom"/>
          </w:tcPr>
          <w:p>
            <w:pPr>
              <w:spacing w:after="0"/>
              <w:rPr>
                <w:sz w:val="1"/>
                <w:szCs w:val="1"/>
                <w:color w:val="auto"/>
              </w:rPr>
            </w:pPr>
          </w:p>
        </w:tc>
      </w:tr>
      <w:tr>
        <w:trPr>
          <w:trHeight w:val="121"/>
        </w:trPr>
        <w:tc>
          <w:tcPr>
            <w:tcW w:w="4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16,667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tcPr>
          <w:p>
            <w:pPr>
              <w:jc w:val="right"/>
              <w:spacing w:after="0"/>
              <w:rPr>
                <w:sz w:val="20"/>
                <w:szCs w:val="20"/>
                <w:color w:val="auto"/>
              </w:rPr>
            </w:pPr>
            <w:r>
              <w:rPr>
                <w:rFonts w:ascii="Arial" w:cs="Arial" w:eastAsia="Arial" w:hAnsi="Arial"/>
                <w:sz w:val="10"/>
                <w:szCs w:val="10"/>
                <w:color w:val="auto"/>
              </w:rPr>
              <w:t>33,333(6)</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37.8300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11/30/2015</w:t>
            </w:r>
          </w:p>
        </w:tc>
        <w:tc>
          <w:tcPr>
            <w:tcW w:w="0" w:type="dxa"/>
            <w:vAlign w:val="bottom"/>
          </w:tcPr>
          <w:p>
            <w:pPr>
              <w:spacing w:after="0"/>
              <w:rPr>
                <w:sz w:val="1"/>
                <w:szCs w:val="1"/>
                <w:color w:val="auto"/>
              </w:rPr>
            </w:pPr>
          </w:p>
        </w:tc>
      </w:tr>
      <w:tr>
        <w:trPr>
          <w:trHeight w:val="95"/>
        </w:trPr>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gridSpan w:val="2"/>
          </w:tcPr>
          <w:p>
            <w:pPr>
              <w:jc w:val="right"/>
              <w:ind w:right="200"/>
              <w:spacing w:after="0" w:line="95" w:lineRule="exact"/>
              <w:rPr>
                <w:sz w:val="20"/>
                <w:szCs w:val="20"/>
                <w:color w:val="auto"/>
              </w:rPr>
            </w:pPr>
            <w:r>
              <w:rPr>
                <w:rFonts w:ascii="Arial" w:cs="Arial" w:eastAsia="Arial" w:hAnsi="Arial"/>
                <w:sz w:val="10"/>
                <w:szCs w:val="10"/>
                <w:color w:val="auto"/>
              </w:rPr>
              <w:t>33,333(7)</w:t>
            </w:r>
          </w:p>
        </w:tc>
        <w:tc>
          <w:tcPr>
            <w:tcW w:w="800" w:type="dxa"/>
            <w:vAlign w:val="bottom"/>
            <w:gridSpan w:val="2"/>
          </w:tcPr>
          <w:p>
            <w:pPr>
              <w:jc w:val="right"/>
              <w:ind w:right="300"/>
              <w:spacing w:after="0" w:line="95" w:lineRule="exact"/>
              <w:rPr>
                <w:sz w:val="20"/>
                <w:szCs w:val="20"/>
                <w:color w:val="auto"/>
              </w:rPr>
            </w:pPr>
            <w:r>
              <w:rPr>
                <w:rFonts w:ascii="Arial" w:cs="Arial" w:eastAsia="Arial" w:hAnsi="Arial"/>
                <w:sz w:val="10"/>
                <w:szCs w:val="10"/>
                <w:color w:val="auto"/>
              </w:rPr>
              <w:t>33.2250</w:t>
            </w:r>
          </w:p>
        </w:tc>
        <w:tc>
          <w:tcPr>
            <w:tcW w:w="680" w:type="dxa"/>
            <w:vAlign w:val="bottom"/>
            <w:gridSpan w:val="2"/>
          </w:tcPr>
          <w:p>
            <w:pPr>
              <w:jc w:val="right"/>
              <w:ind w:right="100"/>
              <w:spacing w:after="0" w:line="95" w:lineRule="exact"/>
              <w:rPr>
                <w:sz w:val="20"/>
                <w:szCs w:val="20"/>
                <w:color w:val="auto"/>
              </w:rPr>
            </w:pPr>
            <w:r>
              <w:rPr>
                <w:rFonts w:ascii="Arial" w:cs="Arial" w:eastAsia="Arial" w:hAnsi="Arial"/>
                <w:sz w:val="10"/>
                <w:szCs w:val="10"/>
                <w:color w:val="auto"/>
              </w:rPr>
              <w:t>8/1/2016</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4"/>
          </w:tcPr>
          <w:p>
            <w:pPr>
              <w:jc w:val="right"/>
              <w:spacing w:after="0" w:line="108" w:lineRule="exact"/>
              <w:rPr>
                <w:sz w:val="20"/>
                <w:szCs w:val="20"/>
                <w:color w:val="auto"/>
              </w:rPr>
            </w:pPr>
            <w:r>
              <w:rPr>
                <w:rFonts w:ascii="Arial" w:cs="Arial" w:eastAsia="Arial" w:hAnsi="Arial"/>
                <w:sz w:val="10"/>
                <w:szCs w:val="10"/>
                <w:color w:val="auto"/>
              </w:rPr>
              <w:t>50,000(8)</w:t>
            </w: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38.1900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11/30/2016</w:t>
            </w:r>
          </w:p>
        </w:tc>
        <w:tc>
          <w:tcPr>
            <w:tcW w:w="0" w:type="dxa"/>
            <w:vAlign w:val="bottom"/>
          </w:tcPr>
          <w:p>
            <w:pPr>
              <w:spacing w:after="0"/>
              <w:rPr>
                <w:sz w:val="1"/>
                <w:szCs w:val="1"/>
                <w:color w:val="auto"/>
              </w:rPr>
            </w:pPr>
          </w:p>
        </w:tc>
      </w:tr>
      <w:tr>
        <w:trPr>
          <w:trHeight w:val="108"/>
        </w:trPr>
        <w:tc>
          <w:tcPr>
            <w:tcW w:w="4480" w:type="dxa"/>
            <w:vAlign w:val="bottom"/>
          </w:tcPr>
          <w:p>
            <w:pPr>
              <w:spacing w:after="0" w:line="108" w:lineRule="exact"/>
              <w:rPr>
                <w:sz w:val="20"/>
                <w:szCs w:val="20"/>
                <w:color w:val="auto"/>
              </w:rPr>
            </w:pPr>
            <w:r>
              <w:rPr>
                <w:rFonts w:ascii="Arial" w:cs="Arial" w:eastAsia="Arial" w:hAnsi="Arial"/>
                <w:sz w:val="10"/>
                <w:szCs w:val="10"/>
                <w:color w:val="auto"/>
              </w:rPr>
              <w:t>D. Mathieson</w:t>
            </w: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2,600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16.0000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10/16/2011</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9,000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16.3875</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11/14/2012</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8,000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17.3250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11/20/2013</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30,000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20.1450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12/15/2008</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6,000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20.1450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12/15/2013</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20,000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10,000(3)</w:t>
            </w: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22.6325</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8/2/2009</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20,000</w:t>
            </w:r>
          </w:p>
        </w:tc>
        <w:tc>
          <w:tcPr>
            <w:tcW w:w="1220" w:type="dxa"/>
            <w:vAlign w:val="bottom"/>
            <w:gridSpan w:val="4"/>
          </w:tcPr>
          <w:p>
            <w:pPr>
              <w:jc w:val="right"/>
              <w:spacing w:after="0" w:line="108" w:lineRule="exact"/>
              <w:rPr>
                <w:sz w:val="20"/>
                <w:szCs w:val="20"/>
                <w:color w:val="auto"/>
              </w:rPr>
            </w:pPr>
            <w:r>
              <w:rPr>
                <w:rFonts w:ascii="Arial" w:cs="Arial" w:eastAsia="Arial" w:hAnsi="Arial"/>
                <w:sz w:val="10"/>
                <w:szCs w:val="10"/>
                <w:color w:val="auto"/>
              </w:rPr>
              <w:t>10,000(4)</w:t>
            </w: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28.8425</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11/18/2014</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10,000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20,000(5)</w:t>
            </w: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33.8900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8/1/2010</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8,333</w:t>
            </w:r>
          </w:p>
        </w:tc>
        <w:tc>
          <w:tcPr>
            <w:tcW w:w="1220" w:type="dxa"/>
            <w:vAlign w:val="bottom"/>
            <w:gridSpan w:val="4"/>
          </w:tcPr>
          <w:p>
            <w:pPr>
              <w:jc w:val="right"/>
              <w:spacing w:after="0" w:line="108" w:lineRule="exact"/>
              <w:rPr>
                <w:sz w:val="20"/>
                <w:szCs w:val="20"/>
                <w:color w:val="auto"/>
              </w:rPr>
            </w:pPr>
            <w:r>
              <w:rPr>
                <w:rFonts w:ascii="Arial" w:cs="Arial" w:eastAsia="Arial" w:hAnsi="Arial"/>
                <w:sz w:val="10"/>
                <w:szCs w:val="10"/>
                <w:color w:val="auto"/>
              </w:rPr>
              <w:t>16,667(6)</w:t>
            </w: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37.8300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11/30/2015</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16,667(7)</w:t>
            </w: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33.2250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8/1/2016</w:t>
            </w:r>
          </w:p>
        </w:tc>
        <w:tc>
          <w:tcPr>
            <w:tcW w:w="0" w:type="dxa"/>
            <w:vAlign w:val="bottom"/>
          </w:tcPr>
          <w:p>
            <w:pPr>
              <w:spacing w:after="0"/>
              <w:rPr>
                <w:sz w:val="1"/>
                <w:szCs w:val="1"/>
                <w:color w:val="auto"/>
              </w:rPr>
            </w:pPr>
          </w:p>
        </w:tc>
      </w:tr>
      <w:tr>
        <w:trPr>
          <w:trHeight w:val="121"/>
        </w:trPr>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4"/>
          </w:tcPr>
          <w:p>
            <w:pPr>
              <w:jc w:val="right"/>
              <w:spacing w:after="0"/>
              <w:rPr>
                <w:sz w:val="20"/>
                <w:szCs w:val="20"/>
                <w:color w:val="auto"/>
              </w:rPr>
            </w:pPr>
            <w:r>
              <w:rPr>
                <w:rFonts w:ascii="Arial" w:cs="Arial" w:eastAsia="Arial" w:hAnsi="Arial"/>
                <w:sz w:val="10"/>
                <w:szCs w:val="10"/>
                <w:color w:val="auto"/>
              </w:rPr>
              <w:t>25,000(8)</w:t>
            </w: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0"/>
                <w:szCs w:val="10"/>
                <w:color w:val="auto"/>
              </w:rPr>
              <w:t>38.1900</w:t>
            </w: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11/30/2016</w:t>
            </w:r>
          </w:p>
        </w:tc>
        <w:tc>
          <w:tcPr>
            <w:tcW w:w="0" w:type="dxa"/>
            <w:vAlign w:val="bottom"/>
          </w:tcPr>
          <w:p>
            <w:pPr>
              <w:spacing w:after="0"/>
              <w:rPr>
                <w:sz w:val="1"/>
                <w:szCs w:val="1"/>
                <w:color w:val="auto"/>
              </w:rPr>
            </w:pPr>
          </w:p>
        </w:tc>
      </w:tr>
      <w:tr>
        <w:trPr>
          <w:trHeight w:val="95"/>
        </w:trPr>
        <w:tc>
          <w:tcPr>
            <w:tcW w:w="44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D.R. Hawke</w:t>
            </w:r>
          </w:p>
        </w:tc>
        <w:tc>
          <w:tcPr>
            <w:tcW w:w="1000" w:type="dxa"/>
            <w:vAlign w:val="bottom"/>
            <w:gridSpan w:val="4"/>
            <w:shd w:val="clear" w:color="auto" w:fill="CCEEFF"/>
          </w:tcPr>
          <w:p>
            <w:pPr>
              <w:jc w:val="right"/>
              <w:ind w:right="100"/>
              <w:spacing w:after="0" w:line="95" w:lineRule="exact"/>
              <w:rPr>
                <w:sz w:val="20"/>
                <w:szCs w:val="20"/>
                <w:color w:val="auto"/>
              </w:rPr>
            </w:pPr>
            <w:r>
              <w:rPr>
                <w:rFonts w:ascii="Arial" w:cs="Arial" w:eastAsia="Arial" w:hAnsi="Arial"/>
                <w:sz w:val="10"/>
                <w:szCs w:val="10"/>
                <w:color w:val="auto"/>
              </w:rPr>
              <w:t>30,000</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300"/>
              <w:spacing w:after="0" w:line="95" w:lineRule="exact"/>
              <w:rPr>
                <w:sz w:val="20"/>
                <w:szCs w:val="20"/>
                <w:color w:val="auto"/>
              </w:rPr>
            </w:pPr>
            <w:r>
              <w:rPr>
                <w:rFonts w:ascii="Arial" w:cs="Arial" w:eastAsia="Arial" w:hAnsi="Arial"/>
                <w:sz w:val="10"/>
                <w:szCs w:val="10"/>
                <w:color w:val="auto"/>
              </w:rPr>
              <w:t>17.0125</w:t>
            </w:r>
          </w:p>
        </w:tc>
        <w:tc>
          <w:tcPr>
            <w:tcW w:w="680" w:type="dxa"/>
            <w:vAlign w:val="bottom"/>
            <w:gridSpan w:val="2"/>
            <w:shd w:val="clear" w:color="auto" w:fill="CCEEFF"/>
          </w:tcPr>
          <w:p>
            <w:pPr>
              <w:jc w:val="right"/>
              <w:ind w:right="100"/>
              <w:spacing w:after="0" w:line="95" w:lineRule="exact"/>
              <w:rPr>
                <w:sz w:val="20"/>
                <w:szCs w:val="20"/>
                <w:color w:val="auto"/>
              </w:rPr>
            </w:pPr>
            <w:r>
              <w:rPr>
                <w:rFonts w:ascii="Arial" w:cs="Arial" w:eastAsia="Arial" w:hAnsi="Arial"/>
                <w:sz w:val="10"/>
                <w:szCs w:val="10"/>
                <w:color w:val="auto"/>
              </w:rPr>
              <w:t>8/1/2008</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40,000</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17.3250</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11/20/2013</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20,000</w:t>
            </w:r>
          </w:p>
        </w:tc>
        <w:tc>
          <w:tcPr>
            <w:tcW w:w="1220" w:type="dxa"/>
            <w:vAlign w:val="bottom"/>
            <w:gridSpan w:val="4"/>
            <w:shd w:val="clear" w:color="auto" w:fill="CCEEFF"/>
          </w:tcPr>
          <w:p>
            <w:pPr>
              <w:jc w:val="right"/>
              <w:spacing w:after="0" w:line="108" w:lineRule="exact"/>
              <w:rPr>
                <w:sz w:val="20"/>
                <w:szCs w:val="20"/>
                <w:color w:val="auto"/>
              </w:rPr>
            </w:pPr>
            <w:r>
              <w:rPr>
                <w:rFonts w:ascii="Arial" w:cs="Arial" w:eastAsia="Arial" w:hAnsi="Arial"/>
                <w:sz w:val="10"/>
                <w:szCs w:val="10"/>
                <w:color w:val="auto"/>
              </w:rPr>
              <w:t>10,000(4)</w:t>
            </w: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28.8425</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11/18/2014</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10,000</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20,000(5)</w:t>
            </w: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33.8900</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8/1/2010</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8,333</w:t>
            </w:r>
          </w:p>
        </w:tc>
        <w:tc>
          <w:tcPr>
            <w:tcW w:w="100" w:type="dxa"/>
            <w:vAlign w:val="bottom"/>
            <w:shd w:val="clear" w:color="auto" w:fill="CCEEFF"/>
          </w:tcPr>
          <w:p>
            <w:pPr>
              <w:spacing w:after="0"/>
              <w:rPr>
                <w:sz w:val="9"/>
                <w:szCs w:val="9"/>
                <w:color w:val="auto"/>
              </w:rPr>
            </w:pPr>
          </w:p>
        </w:tc>
        <w:tc>
          <w:tcPr>
            <w:tcW w:w="1220" w:type="dxa"/>
            <w:vAlign w:val="bottom"/>
            <w:gridSpan w:val="4"/>
            <w:shd w:val="clear" w:color="auto" w:fill="CCEEFF"/>
          </w:tcPr>
          <w:p>
            <w:pPr>
              <w:jc w:val="right"/>
              <w:spacing w:after="0" w:line="108" w:lineRule="exact"/>
              <w:rPr>
                <w:sz w:val="20"/>
                <w:szCs w:val="20"/>
                <w:color w:val="auto"/>
              </w:rPr>
            </w:pPr>
            <w:r>
              <w:rPr>
                <w:rFonts w:ascii="Arial" w:cs="Arial" w:eastAsia="Arial" w:hAnsi="Arial"/>
                <w:sz w:val="10"/>
                <w:szCs w:val="10"/>
                <w:color w:val="auto"/>
              </w:rPr>
              <w:t>16,667(6)</w:t>
            </w: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37.8300</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11/30/2015</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16,667(7)</w:t>
            </w: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33.2250</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8/1/2016</w:t>
            </w:r>
          </w:p>
        </w:tc>
        <w:tc>
          <w:tcPr>
            <w:tcW w:w="0" w:type="dxa"/>
            <w:vAlign w:val="bottom"/>
          </w:tcPr>
          <w:p>
            <w:pPr>
              <w:spacing w:after="0"/>
              <w:rPr>
                <w:sz w:val="1"/>
                <w:szCs w:val="1"/>
                <w:color w:val="auto"/>
              </w:rPr>
            </w:pPr>
          </w:p>
        </w:tc>
      </w:tr>
      <w:tr>
        <w:trPr>
          <w:trHeight w:val="121"/>
        </w:trPr>
        <w:tc>
          <w:tcPr>
            <w:tcW w:w="4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25,000(8)</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38.1900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11/30/2016</w:t>
            </w:r>
          </w:p>
        </w:tc>
        <w:tc>
          <w:tcPr>
            <w:tcW w:w="0" w:type="dxa"/>
            <w:vAlign w:val="bottom"/>
          </w:tcPr>
          <w:p>
            <w:pPr>
              <w:spacing w:after="0"/>
              <w:rPr>
                <w:sz w:val="1"/>
                <w:szCs w:val="1"/>
                <w:color w:val="auto"/>
              </w:rPr>
            </w:pPr>
          </w:p>
        </w:tc>
      </w:tr>
      <w:tr>
        <w:trPr>
          <w:trHeight w:val="95"/>
        </w:trPr>
        <w:tc>
          <w:tcPr>
            <w:tcW w:w="4480" w:type="dxa"/>
            <w:vAlign w:val="bottom"/>
          </w:tcPr>
          <w:p>
            <w:pPr>
              <w:spacing w:after="0" w:line="95" w:lineRule="exact"/>
              <w:rPr>
                <w:sz w:val="20"/>
                <w:szCs w:val="20"/>
                <w:color w:val="auto"/>
              </w:rPr>
            </w:pPr>
            <w:r>
              <w:rPr>
                <w:rFonts w:ascii="Arial" w:cs="Arial" w:eastAsia="Arial" w:hAnsi="Arial"/>
                <w:sz w:val="10"/>
                <w:szCs w:val="10"/>
                <w:color w:val="auto"/>
              </w:rPr>
              <w:t>P.C. Sephton</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spacing w:after="0" w:line="95" w:lineRule="exact"/>
              <w:rPr>
                <w:sz w:val="20"/>
                <w:szCs w:val="20"/>
                <w:color w:val="auto"/>
              </w:rPr>
            </w:pPr>
            <w:r>
              <w:rPr>
                <w:rFonts w:ascii="Arial" w:cs="Arial" w:eastAsia="Arial" w:hAnsi="Arial"/>
                <w:sz w:val="10"/>
                <w:szCs w:val="10"/>
                <w:color w:val="auto"/>
              </w:rPr>
              <w:t>7,000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gridSpan w:val="2"/>
          </w:tcPr>
          <w:p>
            <w:pPr>
              <w:jc w:val="right"/>
              <w:ind w:right="300"/>
              <w:spacing w:after="0" w:line="95" w:lineRule="exact"/>
              <w:rPr>
                <w:sz w:val="20"/>
                <w:szCs w:val="20"/>
                <w:color w:val="auto"/>
              </w:rPr>
            </w:pPr>
            <w:r>
              <w:rPr>
                <w:rFonts w:ascii="Arial" w:cs="Arial" w:eastAsia="Arial" w:hAnsi="Arial"/>
                <w:sz w:val="10"/>
                <w:szCs w:val="10"/>
                <w:color w:val="auto"/>
              </w:rPr>
              <w:t>14.1575</w:t>
            </w:r>
          </w:p>
        </w:tc>
        <w:tc>
          <w:tcPr>
            <w:tcW w:w="680" w:type="dxa"/>
            <w:vAlign w:val="bottom"/>
            <w:gridSpan w:val="2"/>
          </w:tcPr>
          <w:p>
            <w:pPr>
              <w:jc w:val="right"/>
              <w:ind w:right="100"/>
              <w:spacing w:after="0" w:line="95" w:lineRule="exact"/>
              <w:rPr>
                <w:sz w:val="20"/>
                <w:szCs w:val="20"/>
                <w:color w:val="auto"/>
              </w:rPr>
            </w:pPr>
            <w:r>
              <w:rPr>
                <w:rFonts w:ascii="Arial" w:cs="Arial" w:eastAsia="Arial" w:hAnsi="Arial"/>
                <w:sz w:val="10"/>
                <w:szCs w:val="10"/>
                <w:color w:val="auto"/>
              </w:rPr>
              <w:t>10/24/2010</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8,000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16.0000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10/16/2011</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10,000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16.3875</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11/14/2012</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14,000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17.0125</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11/20/2013</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20,000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10,000(3)</w:t>
            </w: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22.6325</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8/2/2009</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20,000</w:t>
            </w:r>
          </w:p>
        </w:tc>
        <w:tc>
          <w:tcPr>
            <w:tcW w:w="1220" w:type="dxa"/>
            <w:vAlign w:val="bottom"/>
            <w:gridSpan w:val="4"/>
          </w:tcPr>
          <w:p>
            <w:pPr>
              <w:jc w:val="right"/>
              <w:spacing w:after="0" w:line="108" w:lineRule="exact"/>
              <w:rPr>
                <w:sz w:val="20"/>
                <w:szCs w:val="20"/>
                <w:color w:val="auto"/>
              </w:rPr>
            </w:pPr>
            <w:r>
              <w:rPr>
                <w:rFonts w:ascii="Arial" w:cs="Arial" w:eastAsia="Arial" w:hAnsi="Arial"/>
                <w:sz w:val="10"/>
                <w:szCs w:val="10"/>
                <w:color w:val="auto"/>
              </w:rPr>
              <w:t>10,000(4)</w:t>
            </w: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28.8425</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11/18/2014</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10,000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20,000(5)</w:t>
            </w: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33.8900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8/1/2010</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0" w:type="dxa"/>
            <w:vAlign w:val="bottom"/>
            <w:gridSpan w:val="4"/>
          </w:tcPr>
          <w:p>
            <w:pPr>
              <w:jc w:val="right"/>
              <w:ind w:right="100"/>
              <w:spacing w:after="0" w:line="108" w:lineRule="exact"/>
              <w:rPr>
                <w:sz w:val="20"/>
                <w:szCs w:val="20"/>
                <w:color w:val="auto"/>
              </w:rPr>
            </w:pPr>
            <w:r>
              <w:rPr>
                <w:rFonts w:ascii="Arial" w:cs="Arial" w:eastAsia="Arial" w:hAnsi="Arial"/>
                <w:sz w:val="10"/>
                <w:szCs w:val="10"/>
                <w:color w:val="auto"/>
              </w:rPr>
              <w:t>8,333</w:t>
            </w:r>
          </w:p>
        </w:tc>
        <w:tc>
          <w:tcPr>
            <w:tcW w:w="1220" w:type="dxa"/>
            <w:vAlign w:val="bottom"/>
            <w:gridSpan w:val="4"/>
          </w:tcPr>
          <w:p>
            <w:pPr>
              <w:jc w:val="right"/>
              <w:spacing w:after="0" w:line="108" w:lineRule="exact"/>
              <w:rPr>
                <w:sz w:val="20"/>
                <w:szCs w:val="20"/>
                <w:color w:val="auto"/>
              </w:rPr>
            </w:pPr>
            <w:r>
              <w:rPr>
                <w:rFonts w:ascii="Arial" w:cs="Arial" w:eastAsia="Arial" w:hAnsi="Arial"/>
                <w:sz w:val="10"/>
                <w:szCs w:val="10"/>
                <w:color w:val="auto"/>
              </w:rPr>
              <w:t>16,667(6)</w:t>
            </w: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37.8300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11/30/2015</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16,667(7)</w:t>
            </w: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33.2250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8/1/2016</w:t>
            </w:r>
          </w:p>
        </w:tc>
        <w:tc>
          <w:tcPr>
            <w:tcW w:w="0" w:type="dxa"/>
            <w:vAlign w:val="bottom"/>
          </w:tcPr>
          <w:p>
            <w:pPr>
              <w:spacing w:after="0"/>
              <w:rPr>
                <w:sz w:val="1"/>
                <w:szCs w:val="1"/>
                <w:color w:val="auto"/>
              </w:rPr>
            </w:pPr>
          </w:p>
        </w:tc>
      </w:tr>
      <w:tr>
        <w:trPr>
          <w:trHeight w:val="121"/>
        </w:trPr>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4"/>
          </w:tcPr>
          <w:p>
            <w:pPr>
              <w:jc w:val="right"/>
              <w:spacing w:after="0"/>
              <w:rPr>
                <w:sz w:val="20"/>
                <w:szCs w:val="20"/>
                <w:color w:val="auto"/>
              </w:rPr>
            </w:pPr>
            <w:r>
              <w:rPr>
                <w:rFonts w:ascii="Arial" w:cs="Arial" w:eastAsia="Arial" w:hAnsi="Arial"/>
                <w:sz w:val="10"/>
                <w:szCs w:val="10"/>
                <w:color w:val="auto"/>
              </w:rPr>
              <w:t>25,000(8)</w:t>
            </w: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0"/>
                <w:szCs w:val="10"/>
                <w:color w:val="auto"/>
              </w:rPr>
              <w:t>38.1800</w:t>
            </w: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11/30/2016</w:t>
            </w:r>
          </w:p>
        </w:tc>
        <w:tc>
          <w:tcPr>
            <w:tcW w:w="0" w:type="dxa"/>
            <w:vAlign w:val="bottom"/>
          </w:tcPr>
          <w:p>
            <w:pPr>
              <w:spacing w:after="0"/>
              <w:rPr>
                <w:sz w:val="1"/>
                <w:szCs w:val="1"/>
                <w:color w:val="auto"/>
              </w:rPr>
            </w:pPr>
          </w:p>
        </w:tc>
      </w:tr>
      <w:tr>
        <w:trPr>
          <w:trHeight w:val="95"/>
        </w:trPr>
        <w:tc>
          <w:tcPr>
            <w:tcW w:w="44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M.O. Williamson</w:t>
            </w:r>
          </w:p>
        </w:tc>
        <w:tc>
          <w:tcPr>
            <w:tcW w:w="1000" w:type="dxa"/>
            <w:vAlign w:val="bottom"/>
            <w:gridSpan w:val="4"/>
            <w:shd w:val="clear" w:color="auto" w:fill="CCEEFF"/>
          </w:tcPr>
          <w:p>
            <w:pPr>
              <w:jc w:val="right"/>
              <w:ind w:right="100"/>
              <w:spacing w:after="0" w:line="95" w:lineRule="exact"/>
              <w:rPr>
                <w:sz w:val="20"/>
                <w:szCs w:val="20"/>
                <w:color w:val="auto"/>
              </w:rPr>
            </w:pPr>
            <w:r>
              <w:rPr>
                <w:rFonts w:ascii="Arial" w:cs="Arial" w:eastAsia="Arial" w:hAnsi="Arial"/>
                <w:sz w:val="10"/>
                <w:szCs w:val="10"/>
                <w:color w:val="auto"/>
              </w:rPr>
              <w:t>5,500</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300"/>
              <w:spacing w:after="0" w:line="95" w:lineRule="exact"/>
              <w:rPr>
                <w:sz w:val="20"/>
                <w:szCs w:val="20"/>
                <w:color w:val="auto"/>
              </w:rPr>
            </w:pPr>
            <w:r>
              <w:rPr>
                <w:rFonts w:ascii="Arial" w:cs="Arial" w:eastAsia="Arial" w:hAnsi="Arial"/>
                <w:sz w:val="10"/>
                <w:szCs w:val="10"/>
                <w:color w:val="auto"/>
              </w:rPr>
              <w:t>16.0000</w:t>
            </w:r>
          </w:p>
        </w:tc>
        <w:tc>
          <w:tcPr>
            <w:tcW w:w="680" w:type="dxa"/>
            <w:vAlign w:val="bottom"/>
            <w:gridSpan w:val="2"/>
            <w:shd w:val="clear" w:color="auto" w:fill="CCEEFF"/>
          </w:tcPr>
          <w:p>
            <w:pPr>
              <w:jc w:val="right"/>
              <w:ind w:right="100"/>
              <w:spacing w:after="0" w:line="95" w:lineRule="exact"/>
              <w:rPr>
                <w:sz w:val="20"/>
                <w:szCs w:val="20"/>
                <w:color w:val="auto"/>
              </w:rPr>
            </w:pPr>
            <w:r>
              <w:rPr>
                <w:rFonts w:ascii="Arial" w:cs="Arial" w:eastAsia="Arial" w:hAnsi="Arial"/>
                <w:sz w:val="10"/>
                <w:szCs w:val="10"/>
                <w:color w:val="auto"/>
              </w:rPr>
              <w:t>10/16/2011</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10,000</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16.3875</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11/14/2012</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14,000</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17.3250</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11/20/2013</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20,000</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10,000(3)</w:t>
            </w: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22.6325</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8/2/2009</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20,000</w:t>
            </w:r>
          </w:p>
        </w:tc>
        <w:tc>
          <w:tcPr>
            <w:tcW w:w="100" w:type="dxa"/>
            <w:vAlign w:val="bottom"/>
            <w:shd w:val="clear" w:color="auto" w:fill="CCEEFF"/>
          </w:tcPr>
          <w:p>
            <w:pPr>
              <w:spacing w:after="0"/>
              <w:rPr>
                <w:sz w:val="9"/>
                <w:szCs w:val="9"/>
                <w:color w:val="auto"/>
              </w:rPr>
            </w:pPr>
          </w:p>
        </w:tc>
        <w:tc>
          <w:tcPr>
            <w:tcW w:w="1220" w:type="dxa"/>
            <w:vAlign w:val="bottom"/>
            <w:gridSpan w:val="4"/>
            <w:shd w:val="clear" w:color="auto" w:fill="CCEEFF"/>
          </w:tcPr>
          <w:p>
            <w:pPr>
              <w:jc w:val="right"/>
              <w:spacing w:after="0" w:line="108" w:lineRule="exact"/>
              <w:rPr>
                <w:sz w:val="20"/>
                <w:szCs w:val="20"/>
                <w:color w:val="auto"/>
              </w:rPr>
            </w:pPr>
            <w:r>
              <w:rPr>
                <w:rFonts w:ascii="Arial" w:cs="Arial" w:eastAsia="Arial" w:hAnsi="Arial"/>
                <w:sz w:val="10"/>
                <w:szCs w:val="10"/>
                <w:color w:val="auto"/>
              </w:rPr>
              <w:t>10,000(4)</w:t>
            </w: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28.8425</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11/18/2014</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10,000</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20,000(5)</w:t>
            </w: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33.8900</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8/1/2010</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8,333</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16,667(6)</w:t>
            </w: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37.8300</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11/30/2015</w:t>
            </w:r>
          </w:p>
        </w:tc>
        <w:tc>
          <w:tcPr>
            <w:tcW w:w="0" w:type="dxa"/>
            <w:vAlign w:val="bottom"/>
          </w:tcPr>
          <w:p>
            <w:pPr>
              <w:spacing w:after="0"/>
              <w:rPr>
                <w:sz w:val="1"/>
                <w:szCs w:val="1"/>
                <w:color w:val="auto"/>
              </w:rPr>
            </w:pPr>
          </w:p>
        </w:tc>
      </w:tr>
      <w:tr>
        <w:trPr>
          <w:trHeight w:val="121"/>
        </w:trPr>
        <w:tc>
          <w:tcPr>
            <w:tcW w:w="4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16,667(7)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33.2250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8/1/2016</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25,000(8)</w:t>
            </w: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38.1900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11/30/2016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4099560</wp:posOffset>
            </wp:positionH>
            <wp:positionV relativeFrom="paragraph">
              <wp:posOffset>-2951480</wp:posOffset>
            </wp:positionV>
            <wp:extent cx="2671445"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71445" cy="274320"/>
                    </a:xfrm>
                    <a:prstGeom prst="rect">
                      <a:avLst/>
                    </a:prstGeom>
                    <a:noFill/>
                  </pic:spPr>
                </pic:pic>
              </a:graphicData>
            </a:graphic>
          </wp:anchor>
        </w:drawing>
        <w:drawing>
          <wp:anchor simplePos="0" relativeHeight="251657728" behindDoc="1" locked="0" layoutInCell="0" allowOverlap="1">
            <wp:simplePos x="0" y="0"/>
            <wp:positionH relativeFrom="column">
              <wp:posOffset>4099560</wp:posOffset>
            </wp:positionH>
            <wp:positionV relativeFrom="paragraph">
              <wp:posOffset>-136525</wp:posOffset>
            </wp:positionV>
            <wp:extent cx="267144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71445" cy="13716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1180" w:hanging="243"/>
        <w:spacing w:after="0"/>
        <w:tabs>
          <w:tab w:leader="none" w:pos="11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Adjusted for a two-for-one stock split in the form of a 100% stock dividend, effective December 31, 2004.</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All vest on February 24, 2008.</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All vest on August 2, 2007 as the performance criteria for fiscal 2007 consolidated net income of $90 million have been met.</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All vest on November 18, 2007.</w:t>
      </w:r>
    </w:p>
    <w:p>
      <w:pPr>
        <w:spacing w:after="0" w:line="293"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right="160" w:hanging="243"/>
        <w:spacing w:after="0" w:line="276" w:lineRule="auto"/>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One-half of the options vest on August 1, 2007 as the performance criteria for fiscal 2007 consolidated net income of $100 million have been met and one-half of the options will vest on August 1, 2008 if the performance criteria for fiscal 2008 consolidated net income are met.</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One-half of the options vest on November 30, 2007 and one-half of the options vest on November 30, 2008.</w:t>
      </w:r>
    </w:p>
    <w:p>
      <w:pPr>
        <w:spacing w:after="0" w:line="47" w:lineRule="exact"/>
        <w:rPr>
          <w:rFonts w:ascii="Arial" w:cs="Arial" w:eastAsia="Arial" w:hAnsi="Arial"/>
          <w:sz w:val="13"/>
          <w:szCs w:val="13"/>
          <w:color w:val="auto"/>
        </w:rPr>
      </w:pPr>
    </w:p>
    <w:p>
      <w:pPr>
        <w:ind w:left="1180" w:right="220" w:hanging="243"/>
        <w:spacing w:after="0" w:line="276" w:lineRule="auto"/>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One-half of the options will vest on August 1, 2008 if the performance criteria for fiscal 2008 consolidated net income are met and one-half of the options will vest on August 1, 2009 if the performance criteria for fiscal 2009 consolidated net income are met.</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One-third of the options vest on November 30, 2007, one-third of the options vest on November 30, 2008 and one-third of the options vest on November 30, 2009.</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Option Exercises and Stock Vested for Fiscal 2007</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option exercises completed during fiscal 2007 to the named executive officers.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1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Option Awards</w:t>
            </w:r>
          </w:p>
        </w:tc>
        <w:tc>
          <w:tcPr>
            <w:tcW w:w="10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6920" w:type="dxa"/>
            <w:vAlign w:val="bottom"/>
          </w:tcPr>
          <w:p>
            <w:pPr>
              <w:spacing w:after="0"/>
              <w:rPr>
                <w:sz w:val="7"/>
                <w:szCs w:val="7"/>
                <w:color w:val="auto"/>
              </w:rPr>
            </w:pPr>
          </w:p>
        </w:tc>
        <w:tc>
          <w:tcPr>
            <w:tcW w:w="18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Number of Shares</w:t>
            </w: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Value Realized</w:t>
            </w:r>
          </w:p>
        </w:tc>
        <w:tc>
          <w:tcPr>
            <w:tcW w:w="0" w:type="dxa"/>
            <w:vAlign w:val="bottom"/>
          </w:tcPr>
          <w:p>
            <w:pPr>
              <w:spacing w:after="0"/>
              <w:rPr>
                <w:sz w:val="1"/>
                <w:szCs w:val="1"/>
                <w:color w:val="auto"/>
              </w:rPr>
            </w:pPr>
          </w:p>
        </w:tc>
      </w:tr>
      <w:tr>
        <w:trPr>
          <w:trHeight w:val="118"/>
        </w:trPr>
        <w:tc>
          <w:tcPr>
            <w:tcW w:w="7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8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Acquired on</w:t>
            </w: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000" w:type="dxa"/>
            <w:vAlign w:val="bottom"/>
            <w:gridSpan w:val="2"/>
            <w:vMerge w:val="continue"/>
          </w:tcPr>
          <w:p>
            <w:pPr>
              <w:spacing w:after="0"/>
              <w:rPr>
                <w:sz w:val="10"/>
                <w:szCs w:val="10"/>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Exercise (#)</w:t>
            </w:r>
          </w:p>
        </w:tc>
        <w:tc>
          <w:tcPr>
            <w:tcW w:w="11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on Exercise ($)</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9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F.M. Jaehnert</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17,905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489,310</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D. Mathieson</w:t>
            </w:r>
          </w:p>
        </w:tc>
        <w:tc>
          <w:tcPr>
            <w:tcW w:w="1800" w:type="dxa"/>
            <w:vAlign w:val="bottom"/>
            <w:gridSpan w:val="2"/>
          </w:tcPr>
          <w:p>
            <w:pPr>
              <w:jc w:val="right"/>
              <w:ind w:right="400"/>
              <w:spacing w:after="0"/>
              <w:rPr>
                <w:sz w:val="20"/>
                <w:szCs w:val="20"/>
                <w:color w:val="auto"/>
              </w:rPr>
            </w:pPr>
            <w:r>
              <w:rPr>
                <w:rFonts w:ascii="Arial" w:cs="Arial" w:eastAsia="Arial" w:hAnsi="Arial"/>
                <w:sz w:val="13"/>
                <w:szCs w:val="13"/>
                <w:color w:val="auto"/>
              </w:rPr>
              <w:t>None</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D.R. Hawke</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704,625</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P.C. Sephton</w:t>
            </w:r>
          </w:p>
        </w:tc>
        <w:tc>
          <w:tcPr>
            <w:tcW w:w="1800" w:type="dxa"/>
            <w:vAlign w:val="bottom"/>
            <w:gridSpan w:val="2"/>
          </w:tcPr>
          <w:p>
            <w:pPr>
              <w:jc w:val="right"/>
              <w:ind w:right="400"/>
              <w:spacing w:after="0"/>
              <w:rPr>
                <w:sz w:val="20"/>
                <w:szCs w:val="20"/>
                <w:color w:val="auto"/>
              </w:rPr>
            </w:pPr>
            <w:r>
              <w:rPr>
                <w:rFonts w:ascii="Arial" w:cs="Arial" w:eastAsia="Arial" w:hAnsi="Arial"/>
                <w:sz w:val="13"/>
                <w:szCs w:val="13"/>
                <w:color w:val="auto"/>
              </w:rPr>
              <w:t>46,000</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998,540</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 Williamson</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988,770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Non-Qualified Deferred Compensation for Fiscal 2007</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activity within the Executive Deferred Compensation Plan and the Brady Restoration Plan during fiscal 2007 for the named executive officers.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20" w:type="dxa"/>
            <w:vAlign w:val="bottom"/>
          </w:tcPr>
          <w:p>
            <w:pPr>
              <w:spacing w:after="0"/>
              <w:rPr>
                <w:sz w:val="10"/>
                <w:szCs w:val="10"/>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Executive</w:t>
            </w:r>
          </w:p>
        </w:tc>
        <w:tc>
          <w:tcPr>
            <w:tcW w:w="14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Registrant</w:t>
            </w:r>
          </w:p>
        </w:tc>
        <w:tc>
          <w:tcPr>
            <w:tcW w:w="14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Aggregate</w:t>
            </w:r>
          </w:p>
        </w:tc>
        <w:tc>
          <w:tcPr>
            <w:tcW w:w="980" w:type="dxa"/>
            <w:vAlign w:val="bottom"/>
          </w:tcPr>
          <w:p>
            <w:pPr>
              <w:jc w:val="center"/>
              <w:ind w:left="68"/>
              <w:spacing w:after="0"/>
              <w:rPr>
                <w:sz w:val="20"/>
                <w:szCs w:val="20"/>
                <w:color w:val="auto"/>
              </w:rPr>
            </w:pPr>
            <w:r>
              <w:rPr>
                <w:rFonts w:ascii="Arial" w:cs="Arial" w:eastAsia="Arial" w:hAnsi="Arial"/>
                <w:sz w:val="10"/>
                <w:szCs w:val="10"/>
                <w:b w:val="1"/>
                <w:bCs w:val="1"/>
                <w:color w:val="auto"/>
                <w:w w:val="92"/>
              </w:rPr>
              <w:t>Aggregate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18"/>
        </w:trPr>
        <w:tc>
          <w:tcPr>
            <w:tcW w:w="282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15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Contributions in</w:t>
            </w:r>
          </w:p>
        </w:tc>
        <w:tc>
          <w:tcPr>
            <w:tcW w:w="14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Contributions in</w:t>
            </w:r>
          </w:p>
        </w:tc>
        <w:tc>
          <w:tcPr>
            <w:tcW w:w="14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Earnings in</w:t>
            </w:r>
          </w:p>
        </w:tc>
        <w:tc>
          <w:tcPr>
            <w:tcW w:w="980" w:type="dxa"/>
            <w:vAlign w:val="bottom"/>
          </w:tcPr>
          <w:p>
            <w:pPr>
              <w:jc w:val="center"/>
              <w:ind w:left="88"/>
              <w:spacing w:after="0"/>
              <w:rPr>
                <w:sz w:val="20"/>
                <w:szCs w:val="20"/>
                <w:color w:val="auto"/>
              </w:rPr>
            </w:pPr>
            <w:r>
              <w:rPr>
                <w:rFonts w:ascii="Arial" w:cs="Arial" w:eastAsia="Arial" w:hAnsi="Arial"/>
                <w:sz w:val="10"/>
                <w:szCs w:val="10"/>
                <w:b w:val="1"/>
                <w:bCs w:val="1"/>
                <w:color w:val="auto"/>
                <w:w w:val="97"/>
              </w:rPr>
              <w:t>Withdrawals/</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Balance at</w:t>
            </w:r>
          </w:p>
        </w:tc>
        <w:tc>
          <w:tcPr>
            <w:tcW w:w="0" w:type="dxa"/>
            <w:vAlign w:val="bottom"/>
          </w:tcPr>
          <w:p>
            <w:pPr>
              <w:spacing w:after="0"/>
              <w:rPr>
                <w:sz w:val="1"/>
                <w:szCs w:val="1"/>
                <w:color w:val="auto"/>
              </w:rPr>
            </w:pPr>
          </w:p>
        </w:tc>
      </w:tr>
      <w:tr>
        <w:trPr>
          <w:trHeight w:val="125"/>
        </w:trPr>
        <w:tc>
          <w:tcPr>
            <w:tcW w:w="2820" w:type="dxa"/>
            <w:vAlign w:val="bottom"/>
            <w:vMerge w:val="continue"/>
          </w:tcPr>
          <w:p>
            <w:pPr>
              <w:spacing w:after="0"/>
              <w:rPr>
                <w:sz w:val="10"/>
                <w:szCs w:val="1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Last Fiscal Year ($)</w:t>
            </w:r>
          </w:p>
        </w:tc>
        <w:tc>
          <w:tcPr>
            <w:tcW w:w="14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Last Fiscal Year ($)</w:t>
            </w:r>
          </w:p>
        </w:tc>
        <w:tc>
          <w:tcPr>
            <w:tcW w:w="14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Last Fiscal Year ($)</w:t>
            </w:r>
          </w:p>
        </w:tc>
        <w:tc>
          <w:tcPr>
            <w:tcW w:w="980" w:type="dxa"/>
            <w:vAlign w:val="bottom"/>
          </w:tcPr>
          <w:p>
            <w:pPr>
              <w:jc w:val="center"/>
              <w:ind w:left="68"/>
              <w:spacing w:after="0"/>
              <w:rPr>
                <w:sz w:val="20"/>
                <w:szCs w:val="20"/>
                <w:color w:val="auto"/>
              </w:rPr>
            </w:pPr>
            <w:r>
              <w:rPr>
                <w:rFonts w:ascii="Arial" w:cs="Arial" w:eastAsia="Arial" w:hAnsi="Arial"/>
                <w:sz w:val="10"/>
                <w:szCs w:val="10"/>
                <w:b w:val="1"/>
                <w:bCs w:val="1"/>
                <w:color w:val="auto"/>
                <w:w w:val="96"/>
              </w:rPr>
              <w:t>Distributions ($)</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Last Fiscal Year ($)</w:t>
            </w: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20" w:type="dxa"/>
            <w:vAlign w:val="bottom"/>
            <w:shd w:val="clear" w:color="auto" w:fill="CCEEFF"/>
          </w:tcPr>
          <w:p>
            <w:pPr>
              <w:spacing w:after="0"/>
              <w:rPr>
                <w:sz w:val="20"/>
                <w:szCs w:val="20"/>
                <w:color w:val="auto"/>
              </w:rPr>
            </w:pPr>
            <w:r>
              <w:rPr>
                <w:rFonts w:ascii="Arial" w:cs="Arial" w:eastAsia="Arial" w:hAnsi="Arial"/>
                <w:sz w:val="13"/>
                <w:szCs w:val="13"/>
                <w:color w:val="auto"/>
              </w:rPr>
              <w:t>F.M. Jaehnert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354,531</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96,800</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170,386</w:t>
            </w:r>
          </w:p>
        </w:tc>
        <w:tc>
          <w:tcPr>
            <w:tcW w:w="9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2,349,108</w:t>
            </w:r>
          </w:p>
        </w:tc>
        <w:tc>
          <w:tcPr>
            <w:tcW w:w="0" w:type="dxa"/>
            <w:vAlign w:val="bottom"/>
          </w:tcPr>
          <w:p>
            <w:pPr>
              <w:spacing w:after="0"/>
              <w:rPr>
                <w:sz w:val="1"/>
                <w:szCs w:val="1"/>
                <w:color w:val="auto"/>
              </w:rPr>
            </w:pPr>
          </w:p>
        </w:tc>
      </w:tr>
      <w:tr>
        <w:trPr>
          <w:trHeight w:val="157"/>
        </w:trPr>
        <w:tc>
          <w:tcPr>
            <w:tcW w:w="2820" w:type="dxa"/>
            <w:vAlign w:val="bottom"/>
          </w:tcPr>
          <w:p>
            <w:pPr>
              <w:spacing w:after="0"/>
              <w:rPr>
                <w:sz w:val="20"/>
                <w:szCs w:val="20"/>
                <w:color w:val="auto"/>
              </w:rPr>
            </w:pPr>
            <w:r>
              <w:rPr>
                <w:rFonts w:ascii="Arial" w:cs="Arial" w:eastAsia="Arial" w:hAnsi="Arial"/>
                <w:sz w:val="13"/>
                <w:szCs w:val="13"/>
                <w:color w:val="auto"/>
              </w:rPr>
              <w:t>D. Mathieson</w:t>
            </w:r>
          </w:p>
        </w:tc>
        <w:tc>
          <w:tcPr>
            <w:tcW w:w="1520" w:type="dxa"/>
            <w:vAlign w:val="bottom"/>
            <w:gridSpan w:val="2"/>
          </w:tcPr>
          <w:p>
            <w:pPr>
              <w:jc w:val="right"/>
              <w:ind w:right="220"/>
              <w:spacing w:after="0"/>
              <w:rPr>
                <w:sz w:val="20"/>
                <w:szCs w:val="20"/>
                <w:color w:val="auto"/>
              </w:rPr>
            </w:pPr>
            <w:r>
              <w:rPr>
                <w:rFonts w:ascii="Arial" w:cs="Arial" w:eastAsia="Arial" w:hAnsi="Arial"/>
                <w:sz w:val="13"/>
                <w:szCs w:val="13"/>
                <w:color w:val="auto"/>
              </w:rPr>
              <w:t>236,816</w:t>
            </w:r>
          </w:p>
        </w:tc>
        <w:tc>
          <w:tcPr>
            <w:tcW w:w="1480" w:type="dxa"/>
            <w:vAlign w:val="bottom"/>
            <w:gridSpan w:val="2"/>
          </w:tcPr>
          <w:p>
            <w:pPr>
              <w:jc w:val="right"/>
              <w:ind w:right="180"/>
              <w:spacing w:after="0"/>
              <w:rPr>
                <w:sz w:val="20"/>
                <w:szCs w:val="20"/>
                <w:color w:val="auto"/>
              </w:rPr>
            </w:pPr>
            <w:r>
              <w:rPr>
                <w:rFonts w:ascii="Arial" w:cs="Arial" w:eastAsia="Arial" w:hAnsi="Arial"/>
                <w:sz w:val="13"/>
                <w:szCs w:val="13"/>
                <w:color w:val="auto"/>
              </w:rPr>
              <w:t>26,715</w:t>
            </w:r>
          </w:p>
        </w:tc>
        <w:tc>
          <w:tcPr>
            <w:tcW w:w="1480" w:type="dxa"/>
            <w:vAlign w:val="bottom"/>
            <w:gridSpan w:val="2"/>
          </w:tcPr>
          <w:p>
            <w:pPr>
              <w:jc w:val="right"/>
              <w:ind w:right="180"/>
              <w:spacing w:after="0"/>
              <w:rPr>
                <w:sz w:val="20"/>
                <w:szCs w:val="20"/>
                <w:color w:val="auto"/>
              </w:rPr>
            </w:pPr>
            <w:r>
              <w:rPr>
                <w:rFonts w:ascii="Arial" w:cs="Arial" w:eastAsia="Arial" w:hAnsi="Arial"/>
                <w:sz w:val="13"/>
                <w:szCs w:val="13"/>
                <w:color w:val="auto"/>
              </w:rPr>
              <w:t>37,878</w:t>
            </w:r>
          </w:p>
        </w:tc>
        <w:tc>
          <w:tcPr>
            <w:tcW w:w="980" w:type="dxa"/>
            <w:vAlign w:val="bottom"/>
          </w:tcPr>
          <w:p>
            <w:pPr>
              <w:spacing w:after="0"/>
              <w:rPr>
                <w:sz w:val="13"/>
                <w:szCs w:val="13"/>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3"/>
                <w:szCs w:val="13"/>
                <w:color w:val="auto"/>
              </w:rPr>
              <w:t>0</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650,345</w:t>
            </w: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spacing w:after="0"/>
              <w:rPr>
                <w:sz w:val="20"/>
                <w:szCs w:val="20"/>
                <w:color w:val="auto"/>
              </w:rPr>
            </w:pPr>
            <w:r>
              <w:rPr>
                <w:rFonts w:ascii="Arial" w:cs="Arial" w:eastAsia="Arial" w:hAnsi="Arial"/>
                <w:sz w:val="13"/>
                <w:szCs w:val="13"/>
                <w:color w:val="auto"/>
              </w:rPr>
              <w:t>D.R. Hawke</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529,511</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46,934</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466,728</w:t>
            </w:r>
          </w:p>
        </w:tc>
        <w:tc>
          <w:tcPr>
            <w:tcW w:w="9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5,074,098</w:t>
            </w:r>
          </w:p>
        </w:tc>
        <w:tc>
          <w:tcPr>
            <w:tcW w:w="0" w:type="dxa"/>
            <w:vAlign w:val="bottom"/>
          </w:tcPr>
          <w:p>
            <w:pPr>
              <w:spacing w:after="0"/>
              <w:rPr>
                <w:sz w:val="1"/>
                <w:szCs w:val="1"/>
                <w:color w:val="auto"/>
              </w:rPr>
            </w:pPr>
          </w:p>
        </w:tc>
      </w:tr>
      <w:tr>
        <w:trPr>
          <w:trHeight w:val="157"/>
        </w:trPr>
        <w:tc>
          <w:tcPr>
            <w:tcW w:w="2820" w:type="dxa"/>
            <w:vAlign w:val="bottom"/>
          </w:tcPr>
          <w:p>
            <w:pPr>
              <w:spacing w:after="0"/>
              <w:rPr>
                <w:sz w:val="20"/>
                <w:szCs w:val="20"/>
                <w:color w:val="auto"/>
              </w:rPr>
            </w:pPr>
            <w:r>
              <w:rPr>
                <w:rFonts w:ascii="Arial" w:cs="Arial" w:eastAsia="Arial" w:hAnsi="Arial"/>
                <w:sz w:val="13"/>
                <w:szCs w:val="13"/>
                <w:color w:val="auto"/>
              </w:rPr>
              <w:t>P.C. Sephton</w:t>
            </w:r>
          </w:p>
        </w:tc>
        <w:tc>
          <w:tcPr>
            <w:tcW w:w="1520" w:type="dxa"/>
            <w:vAlign w:val="bottom"/>
            <w:gridSpan w:val="2"/>
          </w:tcPr>
          <w:p>
            <w:pPr>
              <w:jc w:val="right"/>
              <w:ind w:right="220"/>
              <w:spacing w:after="0"/>
              <w:rPr>
                <w:sz w:val="20"/>
                <w:szCs w:val="20"/>
                <w:color w:val="auto"/>
              </w:rPr>
            </w:pPr>
            <w:r>
              <w:rPr>
                <w:rFonts w:ascii="Arial" w:cs="Arial" w:eastAsia="Arial" w:hAnsi="Arial"/>
                <w:sz w:val="13"/>
                <w:szCs w:val="13"/>
                <w:color w:val="auto"/>
              </w:rPr>
              <w:t>0</w:t>
            </w:r>
          </w:p>
        </w:tc>
        <w:tc>
          <w:tcPr>
            <w:tcW w:w="1480" w:type="dxa"/>
            <w:vAlign w:val="bottom"/>
            <w:gridSpan w:val="2"/>
          </w:tcPr>
          <w:p>
            <w:pPr>
              <w:jc w:val="right"/>
              <w:ind w:right="180"/>
              <w:spacing w:after="0"/>
              <w:rPr>
                <w:sz w:val="20"/>
                <w:szCs w:val="20"/>
                <w:color w:val="auto"/>
              </w:rPr>
            </w:pPr>
            <w:r>
              <w:rPr>
                <w:rFonts w:ascii="Arial" w:cs="Arial" w:eastAsia="Arial" w:hAnsi="Arial"/>
                <w:sz w:val="13"/>
                <w:szCs w:val="13"/>
                <w:color w:val="auto"/>
              </w:rPr>
              <w:t>0</w:t>
            </w:r>
          </w:p>
        </w:tc>
        <w:tc>
          <w:tcPr>
            <w:tcW w:w="1480" w:type="dxa"/>
            <w:vAlign w:val="bottom"/>
            <w:gridSpan w:val="2"/>
          </w:tcPr>
          <w:p>
            <w:pPr>
              <w:jc w:val="right"/>
              <w:ind w:right="180"/>
              <w:spacing w:after="0"/>
              <w:rPr>
                <w:sz w:val="20"/>
                <w:szCs w:val="20"/>
                <w:color w:val="auto"/>
              </w:rPr>
            </w:pPr>
            <w:r>
              <w:rPr>
                <w:rFonts w:ascii="Arial" w:cs="Arial" w:eastAsia="Arial" w:hAnsi="Arial"/>
                <w:sz w:val="13"/>
                <w:szCs w:val="13"/>
                <w:color w:val="auto"/>
              </w:rPr>
              <w:t>0</w:t>
            </w:r>
          </w:p>
        </w:tc>
        <w:tc>
          <w:tcPr>
            <w:tcW w:w="980" w:type="dxa"/>
            <w:vAlign w:val="bottom"/>
          </w:tcPr>
          <w:p>
            <w:pPr>
              <w:spacing w:after="0"/>
              <w:rPr>
                <w:sz w:val="13"/>
                <w:szCs w:val="13"/>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3"/>
                <w:szCs w:val="13"/>
                <w:color w:val="auto"/>
              </w:rPr>
              <w:t>0</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spacing w:after="0"/>
              <w:rPr>
                <w:sz w:val="20"/>
                <w:szCs w:val="20"/>
                <w:color w:val="auto"/>
              </w:rPr>
            </w:pPr>
            <w:r>
              <w:rPr>
                <w:rFonts w:ascii="Arial" w:cs="Arial" w:eastAsia="Arial" w:hAnsi="Arial"/>
                <w:sz w:val="13"/>
                <w:szCs w:val="13"/>
                <w:color w:val="auto"/>
              </w:rPr>
              <w:t>M.O. Williamson</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66,439</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25,070</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35,794</w:t>
            </w:r>
          </w:p>
        </w:tc>
        <w:tc>
          <w:tcPr>
            <w:tcW w:w="9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519,176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-529590</wp:posOffset>
            </wp:positionV>
            <wp:extent cx="1841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See discussion of the Company’s nonqualified deferred compensation plan in the Compensation Discussion and Analysis. The executive contribution amounts reported here are reported in the salary and non-equity incentive plan compensation columns of the Summary Compensation Table.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Potential Payments Upon Termination or Change in Control</w:t>
      </w:r>
    </w:p>
    <w:p>
      <w:pPr>
        <w:spacing w:after="0" w:line="96" w:lineRule="exact"/>
        <w:rPr>
          <w:sz w:val="20"/>
          <w:szCs w:val="20"/>
          <w:color w:val="auto"/>
        </w:rPr>
      </w:pPr>
    </w:p>
    <w:p>
      <w:pPr>
        <w:ind w:left="680" w:right="20" w:firstLine="399"/>
        <w:spacing w:after="0" w:line="310" w:lineRule="auto"/>
        <w:rPr>
          <w:sz w:val="20"/>
          <w:szCs w:val="20"/>
          <w:color w:val="auto"/>
        </w:rPr>
      </w:pPr>
      <w:r>
        <w:rPr>
          <w:rFonts w:ascii="Arial" w:cs="Arial" w:eastAsia="Arial" w:hAnsi="Arial"/>
          <w:sz w:val="11"/>
          <w:szCs w:val="11"/>
          <w:color w:val="auto"/>
        </w:rPr>
        <w:t>As described in the Employment and Change of Control Agreements section of the Compensation Discussion and Analysis above, the Company has entered into change of control agreements with each of the named executive officers. The terms of the change of control agreement are triggered if within a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25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Following termination due to a change in control, the executive shall be paid a multiplier of his annual base salary in effect immediately prior to the date the change of control occurs, plus a multiplier of his average bonus payment received over either a two or three-year period, depending on the terms of the agreement, prior to the date the change of control occurs. The Company will also reimburse the executive for any excise tax incurred by the executive as a result of Section 280(G) of the Internal Revenue Code. The Company will also reimburse a maximum of $25,000 of legal fees incurred by the executive in order to enforce the change of control agreement, in which the executive prevails.</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following information and tables set forth the amount of payments to each named executive officer in the event of termination of employment as a result of a change of control. No other employment agreements have been entered into between the Company and any of the named executive officers, with the exception of the retirement agreement entered into with Mr. Hawke discussed in the narrative following the Summary Compensation Table.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Assumptions and General Principles. </w:t>
      </w:r>
      <w:r>
        <w:rPr>
          <w:rFonts w:ascii="Arial" w:cs="Arial" w:eastAsia="Arial" w:hAnsi="Arial"/>
          <w:sz w:val="13"/>
          <w:szCs w:val="13"/>
          <w:color w:val="auto"/>
        </w:rPr>
        <w:t>The following assumptions and general principles apply with respect to the tables that follow in this section.</w:t>
      </w:r>
    </w:p>
    <w:p>
      <w:pPr>
        <w:spacing w:after="0" w:line="96" w:lineRule="exact"/>
        <w:rPr>
          <w:sz w:val="20"/>
          <w:szCs w:val="20"/>
          <w:color w:val="auto"/>
        </w:rPr>
      </w:pPr>
    </w:p>
    <w:p>
      <w:pPr>
        <w:ind w:left="1280" w:hanging="190"/>
        <w:spacing w:after="0" w:line="264"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amounts shown in the tables assume that each named executive officer terminated employment on July 31, 2007. Accordingly, the tables reflect amounts earned as of July 31, 2007 and include estimates of amounts that would be paid to the named executive officer upon the occurrence of a change in control. The actual amounts that would be paid to a named executive officer can only be determined at the time of termination.</w:t>
      </w:r>
    </w:p>
    <w:p>
      <w:pPr>
        <w:spacing w:after="0" w:line="57" w:lineRule="exact"/>
        <w:rPr>
          <w:rFonts w:ascii="Arial" w:cs="Arial" w:eastAsia="Arial" w:hAnsi="Arial"/>
          <w:sz w:val="13"/>
          <w:szCs w:val="13"/>
          <w:color w:val="auto"/>
        </w:rPr>
      </w:pPr>
    </w:p>
    <w:p>
      <w:pPr>
        <w:ind w:left="1280" w:right="40" w:hanging="190"/>
        <w:spacing w:after="0" w:line="264"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tables below include amounts the Company is obligated to pay the named executive officer as a result of the executed change in control agreement. The tables do not include benefits that are paid generally to all salaried employees or a broad group of salaried employees. Therefore, the named executive officers would receive benefits in addition to those set forth in the tables.</w:t>
      </w:r>
    </w:p>
    <w:p>
      <w:pPr>
        <w:spacing w:after="0" w:line="57"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named executive officer is entitled to receive base salary earned during his term of employment regardless of the manner in which the named executive officer’s employment is terminated. As such, this amount is not shown in the tables.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Frank M. Jaehnert</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table shows the amount payable assuming that the terms of the change of control agreement were triggered on July 31, 2007 and the named executive officer had to legally enforce the terms of the agreement.</w:t>
      </w:r>
    </w:p>
    <w:p>
      <w:pPr>
        <w:spacing w:after="0" w:line="61" w:lineRule="exact"/>
        <w:rPr>
          <w:sz w:val="20"/>
          <w:szCs w:val="20"/>
          <w:color w:val="auto"/>
        </w:rPr>
      </w:pPr>
    </w:p>
    <w:tbl>
      <w:tblPr>
        <w:tblLayout w:type="fixed"/>
        <w:tblInd w:w="2120" w:type="dxa"/>
        <w:tblCellMar>
          <w:top w:w="0" w:type="dxa"/>
          <w:left w:w="0" w:type="dxa"/>
          <w:bottom w:w="0" w:type="dxa"/>
          <w:right w:w="0" w:type="dxa"/>
        </w:tblCellMar>
      </w:tblPr>
      <w:tr>
        <w:trPr>
          <w:trHeight w:val="118"/>
        </w:trPr>
        <w:tc>
          <w:tcPr>
            <w:tcW w:w="1000" w:type="dxa"/>
            <w:vAlign w:val="bottom"/>
            <w:vMerge w:val="restart"/>
          </w:tcPr>
          <w:p>
            <w:pPr>
              <w:jc w:val="right"/>
              <w:ind w:right="161"/>
              <w:spacing w:after="0"/>
              <w:rPr>
                <w:sz w:val="20"/>
                <w:szCs w:val="20"/>
                <w:color w:val="auto"/>
              </w:rPr>
            </w:pPr>
            <w:r>
              <w:rPr>
                <w:rFonts w:ascii="Arial" w:cs="Arial" w:eastAsia="Arial" w:hAnsi="Arial"/>
                <w:sz w:val="10"/>
                <w:szCs w:val="10"/>
                <w:b w:val="1"/>
                <w:bCs w:val="1"/>
                <w:color w:val="auto"/>
                <w:w w:val="90"/>
              </w:rPr>
              <w:t>Base Salary ($)(1)</w:t>
            </w: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Stock Option</w:t>
            </w:r>
          </w:p>
        </w:tc>
        <w:tc>
          <w:tcPr>
            <w:tcW w:w="16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Excise Tax</w:t>
            </w:r>
          </w:p>
        </w:tc>
        <w:tc>
          <w:tcPr>
            <w:tcW w:w="17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0"/>
              </w:rPr>
              <w:t>Legal Fee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00" w:type="dxa"/>
            <w:vAlign w:val="bottom"/>
            <w:vMerge w:val="continue"/>
          </w:tcPr>
          <w:p>
            <w:pPr>
              <w:spacing w:after="0"/>
              <w:rPr>
                <w:sz w:val="10"/>
                <w:szCs w:val="1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Bonus ($)(2)</w:t>
            </w:r>
          </w:p>
        </w:tc>
        <w:tc>
          <w:tcPr>
            <w:tcW w:w="400" w:type="dxa"/>
            <w:vAlign w:val="bottom"/>
          </w:tcPr>
          <w:p>
            <w:pPr>
              <w:spacing w:after="0"/>
              <w:rPr>
                <w:sz w:val="10"/>
                <w:szCs w:val="1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Acceleration Gain $(3)</w:t>
            </w:r>
          </w:p>
        </w:tc>
        <w:tc>
          <w:tcPr>
            <w:tcW w:w="4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Reimbursement ($)</w:t>
            </w:r>
          </w:p>
        </w:tc>
        <w:tc>
          <w:tcPr>
            <w:tcW w:w="400" w:type="dxa"/>
            <w:vAlign w:val="bottom"/>
          </w:tcPr>
          <w:p>
            <w:pPr>
              <w:spacing w:after="0"/>
              <w:rPr>
                <w:sz w:val="10"/>
                <w:szCs w:val="1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Reimbursement ($)(4)</w:t>
            </w:r>
          </w:p>
        </w:tc>
        <w:tc>
          <w:tcPr>
            <w:tcW w:w="280" w:type="dxa"/>
            <w:vAlign w:val="bottom"/>
          </w:tcPr>
          <w:p>
            <w:pPr>
              <w:spacing w:after="0"/>
              <w:rPr>
                <w:sz w:val="10"/>
                <w:szCs w:val="10"/>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Total ($)</w:t>
            </w:r>
          </w:p>
        </w:tc>
        <w:tc>
          <w:tcPr>
            <w:tcW w:w="0" w:type="dxa"/>
            <w:vAlign w:val="bottom"/>
          </w:tcPr>
          <w:p>
            <w:pPr>
              <w:spacing w:after="0"/>
              <w:rPr>
                <w:sz w:val="1"/>
                <w:szCs w:val="1"/>
                <w:color w:val="auto"/>
              </w:rPr>
            </w:pPr>
          </w:p>
        </w:tc>
      </w:tr>
      <w:tr>
        <w:trPr>
          <w:trHeight w:val="185"/>
        </w:trPr>
        <w:tc>
          <w:tcPr>
            <w:tcW w:w="1000" w:type="dxa"/>
            <w:vAlign w:val="bottom"/>
          </w:tcPr>
          <w:p>
            <w:pPr>
              <w:jc w:val="right"/>
              <w:ind w:right="341"/>
              <w:spacing w:after="0"/>
              <w:rPr>
                <w:sz w:val="20"/>
                <w:szCs w:val="20"/>
                <w:color w:val="auto"/>
              </w:rPr>
            </w:pPr>
            <w:r>
              <w:rPr>
                <w:rFonts w:ascii="Arial" w:cs="Arial" w:eastAsia="Arial" w:hAnsi="Arial"/>
                <w:sz w:val="13"/>
                <w:szCs w:val="13"/>
                <w:color w:val="auto"/>
              </w:rPr>
              <w:t>1,950,000</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2,394,010</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4,808,931</w:t>
            </w:r>
          </w:p>
        </w:tc>
        <w:tc>
          <w:tcPr>
            <w:tcW w:w="1680" w:type="dxa"/>
            <w:vAlign w:val="bottom"/>
            <w:gridSpan w:val="2"/>
          </w:tcPr>
          <w:p>
            <w:pPr>
              <w:jc w:val="right"/>
              <w:ind w:right="400"/>
              <w:spacing w:after="0"/>
              <w:rPr>
                <w:sz w:val="20"/>
                <w:szCs w:val="20"/>
                <w:color w:val="auto"/>
              </w:rPr>
            </w:pPr>
            <w:r>
              <w:rPr>
                <w:rFonts w:ascii="Arial" w:cs="Arial" w:eastAsia="Arial" w:hAnsi="Arial"/>
                <w:sz w:val="13"/>
                <w:szCs w:val="13"/>
                <w:color w:val="auto"/>
              </w:rPr>
              <w:t>929,691</w:t>
            </w:r>
          </w:p>
        </w:tc>
        <w:tc>
          <w:tcPr>
            <w:tcW w:w="1780" w:type="dxa"/>
            <w:vAlign w:val="bottom"/>
            <w:gridSpan w:val="2"/>
          </w:tcPr>
          <w:p>
            <w:pPr>
              <w:jc w:val="right"/>
              <w:ind w:right="280"/>
              <w:spacing w:after="0"/>
              <w:rPr>
                <w:sz w:val="20"/>
                <w:szCs w:val="20"/>
                <w:color w:val="auto"/>
              </w:rPr>
            </w:pPr>
            <w:r>
              <w:rPr>
                <w:rFonts w:ascii="Arial" w:cs="Arial" w:eastAsia="Arial" w:hAnsi="Arial"/>
                <w:sz w:val="13"/>
                <w:szCs w:val="13"/>
                <w:color w:val="auto"/>
              </w:rPr>
              <w:t>25,000</w:t>
            </w:r>
          </w:p>
        </w:tc>
        <w:tc>
          <w:tcPr>
            <w:tcW w:w="800" w:type="dxa"/>
            <w:vAlign w:val="bottom"/>
          </w:tcPr>
          <w:p>
            <w:pPr>
              <w:ind w:left="220"/>
              <w:spacing w:after="0"/>
              <w:rPr>
                <w:sz w:val="20"/>
                <w:szCs w:val="20"/>
                <w:color w:val="auto"/>
              </w:rPr>
            </w:pPr>
            <w:r>
              <w:rPr>
                <w:rFonts w:ascii="Arial" w:cs="Arial" w:eastAsia="Arial" w:hAnsi="Arial"/>
                <w:sz w:val="13"/>
                <w:szCs w:val="13"/>
                <w:color w:val="auto"/>
                <w:w w:val="86"/>
              </w:rPr>
              <w:t>10,107,632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-129540</wp:posOffset>
            </wp:positionV>
            <wp:extent cx="635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180" w:hanging="243"/>
        <w:spacing w:after="0"/>
        <w:tabs>
          <w:tab w:leader="none" w:pos="11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three times the base salary in effect at July 31, 2007.</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three times the average bonus payment received in the last three fiscal years ended July 31.</w:t>
      </w:r>
    </w:p>
    <w:p>
      <w:pPr>
        <w:spacing w:after="0" w:line="47" w:lineRule="exact"/>
        <w:rPr>
          <w:rFonts w:ascii="Arial" w:cs="Arial" w:eastAsia="Arial" w:hAnsi="Arial"/>
          <w:sz w:val="13"/>
          <w:szCs w:val="13"/>
          <w:color w:val="auto"/>
        </w:rPr>
      </w:pPr>
    </w:p>
    <w:p>
      <w:pPr>
        <w:ind w:left="1180" w:right="140" w:hanging="243"/>
        <w:spacing w:after="0" w:line="276" w:lineRule="auto"/>
        <w:tabs>
          <w:tab w:leader="none" w:pos="11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difference between the closing market price of $34.99 and the exercise price on 313,333 unvested stock options in-the-money that would vest due to the change in control.</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maximum reimbursement of legal fees allowed.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David Mathieson</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table shows the amount payable assuming that the terms of the change of control agreement were triggered on July 31, 2007 and the named executive officer had to legally enforce the terms of the agreement.</w:t>
      </w:r>
    </w:p>
    <w:p>
      <w:pPr>
        <w:spacing w:after="0" w:line="61" w:lineRule="exact"/>
        <w:rPr>
          <w:sz w:val="20"/>
          <w:szCs w:val="20"/>
          <w:color w:val="auto"/>
        </w:rPr>
      </w:pPr>
    </w:p>
    <w:tbl>
      <w:tblPr>
        <w:tblLayout w:type="fixed"/>
        <w:tblInd w:w="2120" w:type="dxa"/>
        <w:tblCellMar>
          <w:top w:w="0" w:type="dxa"/>
          <w:left w:w="0" w:type="dxa"/>
          <w:bottom w:w="0" w:type="dxa"/>
          <w:right w:w="0" w:type="dxa"/>
        </w:tblCellMar>
      </w:tblPr>
      <w:tr>
        <w:trPr>
          <w:trHeight w:val="118"/>
        </w:trPr>
        <w:tc>
          <w:tcPr>
            <w:tcW w:w="1020" w:type="dxa"/>
            <w:vAlign w:val="bottom"/>
            <w:vMerge w:val="restart"/>
          </w:tcPr>
          <w:p>
            <w:pPr>
              <w:jc w:val="center"/>
              <w:ind w:right="181"/>
              <w:spacing w:after="0"/>
              <w:rPr>
                <w:sz w:val="20"/>
                <w:szCs w:val="20"/>
                <w:color w:val="auto"/>
              </w:rPr>
            </w:pPr>
            <w:r>
              <w:rPr>
                <w:rFonts w:ascii="Arial" w:cs="Arial" w:eastAsia="Arial" w:hAnsi="Arial"/>
                <w:sz w:val="10"/>
                <w:szCs w:val="10"/>
                <w:b w:val="1"/>
                <w:bCs w:val="1"/>
                <w:color w:val="auto"/>
                <w:w w:val="92"/>
              </w:rPr>
              <w:t>Base Salary ($)(1)</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Stock Option</w:t>
            </w:r>
          </w:p>
        </w:tc>
        <w:tc>
          <w:tcPr>
            <w:tcW w:w="16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2"/>
              </w:rPr>
              <w:t>Excise Tax</w:t>
            </w:r>
          </w:p>
        </w:tc>
        <w:tc>
          <w:tcPr>
            <w:tcW w:w="1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Legal Fee</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20" w:type="dxa"/>
            <w:vAlign w:val="bottom"/>
            <w:vMerge w:val="continue"/>
          </w:tcPr>
          <w:p>
            <w:pPr>
              <w:spacing w:after="0"/>
              <w:rPr>
                <w:sz w:val="10"/>
                <w:szCs w:val="10"/>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Bonus ($)(2)</w:t>
            </w:r>
          </w:p>
        </w:tc>
        <w:tc>
          <w:tcPr>
            <w:tcW w:w="380" w:type="dxa"/>
            <w:vAlign w:val="bottom"/>
          </w:tcPr>
          <w:p>
            <w:pPr>
              <w:spacing w:after="0"/>
              <w:rPr>
                <w:sz w:val="10"/>
                <w:szCs w:val="1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Acceleration Gain $(3)</w:t>
            </w:r>
          </w:p>
        </w:tc>
        <w:tc>
          <w:tcPr>
            <w:tcW w:w="38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Reimbursement ($)</w:t>
            </w:r>
          </w:p>
        </w:tc>
        <w:tc>
          <w:tcPr>
            <w:tcW w:w="380" w:type="dxa"/>
            <w:vAlign w:val="bottom"/>
          </w:tcPr>
          <w:p>
            <w:pPr>
              <w:spacing w:after="0"/>
              <w:rPr>
                <w:sz w:val="10"/>
                <w:szCs w:val="1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Reimbursement ($)(4)</w:t>
            </w:r>
          </w:p>
        </w:tc>
        <w:tc>
          <w:tcPr>
            <w:tcW w:w="400" w:type="dxa"/>
            <w:vAlign w:val="bottom"/>
          </w:tcPr>
          <w:p>
            <w:pPr>
              <w:spacing w:after="0"/>
              <w:rPr>
                <w:sz w:val="10"/>
                <w:szCs w:val="10"/>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Total ($)</w:t>
            </w:r>
          </w:p>
        </w:tc>
        <w:tc>
          <w:tcPr>
            <w:tcW w:w="0" w:type="dxa"/>
            <w:vAlign w:val="bottom"/>
          </w:tcPr>
          <w:p>
            <w:pPr>
              <w:spacing w:after="0"/>
              <w:rPr>
                <w:sz w:val="1"/>
                <w:szCs w:val="1"/>
                <w:color w:val="auto"/>
              </w:rPr>
            </w:pPr>
          </w:p>
        </w:tc>
      </w:tr>
      <w:tr>
        <w:trPr>
          <w:trHeight w:val="185"/>
        </w:trPr>
        <w:tc>
          <w:tcPr>
            <w:tcW w:w="1020" w:type="dxa"/>
            <w:vAlign w:val="bottom"/>
          </w:tcPr>
          <w:p>
            <w:pPr>
              <w:jc w:val="right"/>
              <w:ind w:right="361"/>
              <w:spacing w:after="0"/>
              <w:rPr>
                <w:sz w:val="20"/>
                <w:szCs w:val="20"/>
                <w:color w:val="auto"/>
              </w:rPr>
            </w:pPr>
            <w:r>
              <w:rPr>
                <w:rFonts w:ascii="Arial" w:cs="Arial" w:eastAsia="Arial" w:hAnsi="Arial"/>
                <w:sz w:val="13"/>
                <w:szCs w:val="13"/>
                <w:color w:val="auto"/>
              </w:rPr>
              <w:t>600,000</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527,608</w:t>
            </w:r>
          </w:p>
        </w:tc>
        <w:tc>
          <w:tcPr>
            <w:tcW w:w="1980" w:type="dxa"/>
            <w:vAlign w:val="bottom"/>
            <w:gridSpan w:val="2"/>
          </w:tcPr>
          <w:p>
            <w:pPr>
              <w:jc w:val="right"/>
              <w:ind w:right="380"/>
              <w:spacing w:after="0"/>
              <w:rPr>
                <w:sz w:val="20"/>
                <w:szCs w:val="20"/>
                <w:color w:val="auto"/>
              </w:rPr>
            </w:pPr>
            <w:r>
              <w:rPr>
                <w:rFonts w:ascii="Arial" w:cs="Arial" w:eastAsia="Arial" w:hAnsi="Arial"/>
                <w:sz w:val="13"/>
                <w:szCs w:val="13"/>
                <w:color w:val="auto"/>
              </w:rPr>
              <w:t>236,467</w:t>
            </w:r>
          </w:p>
        </w:tc>
        <w:tc>
          <w:tcPr>
            <w:tcW w:w="1680" w:type="dxa"/>
            <w:vAlign w:val="bottom"/>
            <w:gridSpan w:val="2"/>
          </w:tcPr>
          <w:p>
            <w:pPr>
              <w:jc w:val="right"/>
              <w:ind w:right="380"/>
              <w:spacing w:after="0"/>
              <w:rPr>
                <w:sz w:val="20"/>
                <w:szCs w:val="20"/>
                <w:color w:val="auto"/>
              </w:rPr>
            </w:pPr>
            <w:r>
              <w:rPr>
                <w:rFonts w:ascii="Arial" w:cs="Arial" w:eastAsia="Arial" w:hAnsi="Arial"/>
                <w:sz w:val="13"/>
                <w:szCs w:val="13"/>
                <w:color w:val="auto"/>
              </w:rPr>
              <w:t>248,422</w:t>
            </w: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25,000</w:t>
            </w:r>
          </w:p>
        </w:tc>
        <w:tc>
          <w:tcPr>
            <w:tcW w:w="680" w:type="dxa"/>
            <w:vAlign w:val="bottom"/>
          </w:tcPr>
          <w:p>
            <w:pPr>
              <w:ind w:left="160"/>
              <w:spacing w:after="0"/>
              <w:rPr>
                <w:sz w:val="20"/>
                <w:szCs w:val="20"/>
                <w:color w:val="auto"/>
              </w:rPr>
            </w:pPr>
            <w:r>
              <w:rPr>
                <w:rFonts w:ascii="Arial" w:cs="Arial" w:eastAsia="Arial" w:hAnsi="Arial"/>
                <w:sz w:val="13"/>
                <w:szCs w:val="13"/>
                <w:color w:val="auto"/>
                <w:w w:val="86"/>
              </w:rPr>
              <w:t>1,637,497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-129540</wp:posOffset>
            </wp:positionV>
            <wp:extent cx="635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57150</wp:posOffset>
            </wp:positionV>
            <wp:extent cx="82359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0" w:lineRule="exact"/>
        <w:rPr>
          <w:sz w:val="20"/>
          <w:szCs w:val="20"/>
          <w:color w:val="auto"/>
        </w:rPr>
      </w:pPr>
    </w:p>
    <w:p>
      <w:pPr>
        <w:ind w:left="1180" w:hanging="243"/>
        <w:spacing w:after="0"/>
        <w:tabs>
          <w:tab w:leader="none" w:pos="11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two times the base salary in effect at July 31, 2007.</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two times the average bonus payment received in the last two fiscal years ended July 31.</w:t>
      </w:r>
    </w:p>
    <w:p>
      <w:pPr>
        <w:spacing w:after="0" w:line="47" w:lineRule="exact"/>
        <w:rPr>
          <w:rFonts w:ascii="Arial" w:cs="Arial" w:eastAsia="Arial" w:hAnsi="Arial"/>
          <w:sz w:val="13"/>
          <w:szCs w:val="13"/>
          <w:color w:val="auto"/>
        </w:rPr>
      </w:pPr>
    </w:p>
    <w:p>
      <w:pPr>
        <w:ind w:left="1180" w:right="220" w:hanging="243"/>
        <w:spacing w:after="0" w:line="276" w:lineRule="auto"/>
        <w:tabs>
          <w:tab w:leader="none" w:pos="11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the difference between the closing market price of $34.99 and the exercise price on 56,667 unvested stock options in-the-money that would vest due to the change in control.</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the maximum reimbursement of legal fees allowed.</w:t>
      </w:r>
    </w:p>
    <w:p>
      <w:pPr>
        <w:spacing w:after="0" w:line="293"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David R. Hawke</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following table shows the amount payable assuming that the terms of the change of control agreement were triggered on July 31, 2007 and the named executive officer had to legally enforce the terms of the agreement.</w:t>
      </w:r>
    </w:p>
    <w:p>
      <w:pPr>
        <w:spacing w:after="0" w:line="61" w:lineRule="exact"/>
        <w:rPr>
          <w:sz w:val="20"/>
          <w:szCs w:val="20"/>
          <w:color w:val="auto"/>
        </w:rPr>
      </w:pPr>
    </w:p>
    <w:tbl>
      <w:tblPr>
        <w:tblLayout w:type="fixed"/>
        <w:tblInd w:w="2880" w:type="dxa"/>
        <w:tblCellMar>
          <w:top w:w="0" w:type="dxa"/>
          <w:left w:w="0" w:type="dxa"/>
          <w:bottom w:w="0" w:type="dxa"/>
          <w:right w:w="0" w:type="dxa"/>
        </w:tblCellMar>
      </w:tblPr>
      <w:tr>
        <w:trPr>
          <w:trHeight w:val="118"/>
        </w:trPr>
        <w:tc>
          <w:tcPr>
            <w:tcW w:w="2420" w:type="dxa"/>
            <w:vAlign w:val="bottom"/>
            <w:gridSpan w:val="3"/>
            <w:vMerge w:val="restart"/>
          </w:tcPr>
          <w:p>
            <w:pPr>
              <w:ind w:left="420"/>
              <w:spacing w:after="0"/>
              <w:rPr>
                <w:sz w:val="20"/>
                <w:szCs w:val="20"/>
                <w:color w:val="auto"/>
              </w:rPr>
            </w:pPr>
            <w:r>
              <w:rPr>
                <w:rFonts w:ascii="Arial" w:cs="Arial" w:eastAsia="Arial" w:hAnsi="Arial"/>
                <w:sz w:val="10"/>
                <w:szCs w:val="10"/>
                <w:b w:val="1"/>
                <w:bCs w:val="1"/>
                <w:color w:val="auto"/>
              </w:rPr>
              <w:t>Base Salary ($)(1)Bonus ($)(2)</w:t>
            </w:r>
          </w:p>
        </w:tc>
        <w:tc>
          <w:tcPr>
            <w:tcW w:w="228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3"/>
              </w:rPr>
              <w:t>Stock Option</w:t>
            </w:r>
          </w:p>
        </w:tc>
        <w:tc>
          <w:tcPr>
            <w:tcW w:w="218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5"/>
              </w:rPr>
              <w:t>Legal Fee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20" w:type="dxa"/>
            <w:vAlign w:val="bottom"/>
            <w:gridSpan w:val="3"/>
            <w:vMerge w:val="continue"/>
          </w:tcPr>
          <w:p>
            <w:pPr>
              <w:spacing w:after="0"/>
              <w:rPr>
                <w:sz w:val="10"/>
                <w:szCs w:val="10"/>
                <w:color w:val="auto"/>
              </w:rPr>
            </w:pPr>
          </w:p>
        </w:tc>
        <w:tc>
          <w:tcPr>
            <w:tcW w:w="228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Acceleration Gain $(3)</w:t>
            </w:r>
          </w:p>
        </w:tc>
        <w:tc>
          <w:tcPr>
            <w:tcW w:w="218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Reimbursement ($)(4)</w:t>
            </w:r>
          </w:p>
        </w:tc>
        <w:tc>
          <w:tcPr>
            <w:tcW w:w="800" w:type="dxa"/>
            <w:vAlign w:val="bottom"/>
          </w:tcPr>
          <w:p>
            <w:pPr>
              <w:jc w:val="right"/>
              <w:ind w:right="141"/>
              <w:spacing w:after="0"/>
              <w:rPr>
                <w:sz w:val="20"/>
                <w:szCs w:val="20"/>
                <w:color w:val="auto"/>
              </w:rPr>
            </w:pPr>
            <w:r>
              <w:rPr>
                <w:rFonts w:ascii="Arial" w:cs="Arial" w:eastAsia="Arial" w:hAnsi="Arial"/>
                <w:sz w:val="10"/>
                <w:szCs w:val="10"/>
                <w:b w:val="1"/>
                <w:bCs w:val="1"/>
                <w:color w:val="auto"/>
              </w:rPr>
              <w:t>Total ($)</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40" w:type="dxa"/>
            <w:vAlign w:val="bottom"/>
          </w:tcPr>
          <w:p>
            <w:pPr>
              <w:jc w:val="right"/>
              <w:ind w:right="541"/>
              <w:spacing w:after="0"/>
              <w:rPr>
                <w:sz w:val="20"/>
                <w:szCs w:val="20"/>
                <w:color w:val="auto"/>
              </w:rPr>
            </w:pPr>
            <w:r>
              <w:rPr>
                <w:rFonts w:ascii="Arial" w:cs="Arial" w:eastAsia="Arial" w:hAnsi="Arial"/>
                <w:sz w:val="13"/>
                <w:szCs w:val="13"/>
                <w:color w:val="auto"/>
                <w:w w:val="89"/>
              </w:rPr>
              <w:t>810,000</w:t>
            </w:r>
          </w:p>
        </w:tc>
        <w:tc>
          <w:tcPr>
            <w:tcW w:w="800" w:type="dxa"/>
            <w:vAlign w:val="bottom"/>
          </w:tcPr>
          <w:p>
            <w:pPr>
              <w:jc w:val="right"/>
              <w:spacing w:after="0"/>
              <w:rPr>
                <w:sz w:val="20"/>
                <w:szCs w:val="20"/>
                <w:color w:val="auto"/>
              </w:rPr>
            </w:pPr>
            <w:r>
              <w:rPr>
                <w:rFonts w:ascii="Arial" w:cs="Arial" w:eastAsia="Arial" w:hAnsi="Arial"/>
                <w:sz w:val="13"/>
                <w:szCs w:val="13"/>
                <w:color w:val="auto"/>
              </w:rPr>
              <w:t>782,310</w:t>
            </w:r>
          </w:p>
        </w:tc>
        <w:tc>
          <w:tcPr>
            <w:tcW w:w="5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112,890</w:t>
            </w:r>
          </w:p>
        </w:tc>
        <w:tc>
          <w:tcPr>
            <w:tcW w:w="580" w:type="dxa"/>
            <w:vAlign w:val="bottom"/>
          </w:tcPr>
          <w:p>
            <w:pPr>
              <w:spacing w:after="0"/>
              <w:rPr>
                <w:sz w:val="16"/>
                <w:szCs w:val="16"/>
                <w:color w:val="auto"/>
              </w:rPr>
            </w:pPr>
          </w:p>
        </w:tc>
        <w:tc>
          <w:tcPr>
            <w:tcW w:w="2180" w:type="dxa"/>
            <w:vAlign w:val="bottom"/>
            <w:gridSpan w:val="2"/>
          </w:tcPr>
          <w:p>
            <w:pPr>
              <w:jc w:val="right"/>
              <w:ind w:right="580"/>
              <w:spacing w:after="0"/>
              <w:rPr>
                <w:sz w:val="20"/>
                <w:szCs w:val="20"/>
                <w:color w:val="auto"/>
              </w:rPr>
            </w:pPr>
            <w:r>
              <w:rPr>
                <w:rFonts w:ascii="Arial" w:cs="Arial" w:eastAsia="Arial" w:hAnsi="Arial"/>
                <w:sz w:val="13"/>
                <w:szCs w:val="13"/>
                <w:color w:val="auto"/>
              </w:rPr>
              <w:t>25,000</w:t>
            </w:r>
          </w:p>
        </w:tc>
        <w:tc>
          <w:tcPr>
            <w:tcW w:w="800" w:type="dxa"/>
            <w:vAlign w:val="bottom"/>
          </w:tcPr>
          <w:p>
            <w:pPr>
              <w:jc w:val="right"/>
              <w:spacing w:after="0"/>
              <w:rPr>
                <w:sz w:val="20"/>
                <w:szCs w:val="20"/>
                <w:color w:val="auto"/>
              </w:rPr>
            </w:pPr>
            <w:r>
              <w:rPr>
                <w:rFonts w:ascii="Arial" w:cs="Arial" w:eastAsia="Arial" w:hAnsi="Arial"/>
                <w:sz w:val="13"/>
                <w:szCs w:val="13"/>
                <w:color w:val="auto"/>
              </w:rPr>
              <w:t>1,730,200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-129540</wp:posOffset>
            </wp:positionV>
            <wp:extent cx="635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180" w:hanging="243"/>
        <w:spacing w:after="0"/>
        <w:tabs>
          <w:tab w:leader="none" w:pos="1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Represents two times the base salary in effect at July 31, 2007.</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Represents two times the average bonus payment received in the last two fiscal years ended July 31.</w:t>
      </w:r>
    </w:p>
    <w:p>
      <w:pPr>
        <w:spacing w:after="0" w:line="47" w:lineRule="exact"/>
        <w:rPr>
          <w:rFonts w:ascii="Arial" w:cs="Arial" w:eastAsia="Arial" w:hAnsi="Arial"/>
          <w:sz w:val="13"/>
          <w:szCs w:val="13"/>
          <w:color w:val="auto"/>
        </w:rPr>
      </w:pPr>
    </w:p>
    <w:p>
      <w:pPr>
        <w:ind w:left="1180" w:right="240" w:hanging="243"/>
        <w:spacing w:after="0" w:line="276" w:lineRule="auto"/>
        <w:tabs>
          <w:tab w:leader="none" w:pos="1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Represents the difference between the closing market price of $34.99 and the exercise price on 46,667 unvested stock options in-the-money that would vest due to the change in control.</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Represents the maximum reimbursement of legal fees allowed.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Peter C. Sephton</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following table shows the amount payable assuming that the terms of the change of control agreement were triggered on July 31, 2007 and the named executive officer had to legally enforce the terms of the agreement.</w:t>
      </w:r>
    </w:p>
    <w:p>
      <w:pPr>
        <w:spacing w:after="0" w:line="61" w:lineRule="exact"/>
        <w:rPr>
          <w:sz w:val="20"/>
          <w:szCs w:val="20"/>
          <w:color w:val="auto"/>
        </w:rPr>
      </w:pPr>
    </w:p>
    <w:tbl>
      <w:tblPr>
        <w:tblLayout w:type="fixed"/>
        <w:tblInd w:w="2120" w:type="dxa"/>
        <w:tblCellMar>
          <w:top w:w="0" w:type="dxa"/>
          <w:left w:w="0" w:type="dxa"/>
          <w:bottom w:w="0" w:type="dxa"/>
          <w:right w:w="0" w:type="dxa"/>
        </w:tblCellMar>
      </w:tblPr>
      <w:tr>
        <w:trPr>
          <w:trHeight w:val="118"/>
        </w:trPr>
        <w:tc>
          <w:tcPr>
            <w:tcW w:w="1020" w:type="dxa"/>
            <w:vAlign w:val="bottom"/>
            <w:vMerge w:val="restart"/>
          </w:tcPr>
          <w:p>
            <w:pPr>
              <w:jc w:val="center"/>
              <w:ind w:right="181"/>
              <w:spacing w:after="0"/>
              <w:rPr>
                <w:sz w:val="20"/>
                <w:szCs w:val="20"/>
                <w:color w:val="auto"/>
              </w:rPr>
            </w:pPr>
            <w:r>
              <w:rPr>
                <w:rFonts w:ascii="Arial" w:cs="Arial" w:eastAsia="Arial" w:hAnsi="Arial"/>
                <w:sz w:val="10"/>
                <w:szCs w:val="10"/>
                <w:b w:val="1"/>
                <w:bCs w:val="1"/>
                <w:color w:val="auto"/>
                <w:w w:val="92"/>
              </w:rPr>
              <w:t>Base Salary ($)(1)</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Stock Option</w:t>
            </w:r>
          </w:p>
        </w:tc>
        <w:tc>
          <w:tcPr>
            <w:tcW w:w="16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2"/>
              </w:rPr>
              <w:t>Excise Tax</w:t>
            </w:r>
          </w:p>
        </w:tc>
        <w:tc>
          <w:tcPr>
            <w:tcW w:w="1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Legal Fee</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20" w:type="dxa"/>
            <w:vAlign w:val="bottom"/>
            <w:vMerge w:val="continue"/>
          </w:tcPr>
          <w:p>
            <w:pPr>
              <w:spacing w:after="0"/>
              <w:rPr>
                <w:sz w:val="10"/>
                <w:szCs w:val="10"/>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Bonus ($)(2)</w:t>
            </w:r>
          </w:p>
        </w:tc>
        <w:tc>
          <w:tcPr>
            <w:tcW w:w="380" w:type="dxa"/>
            <w:vAlign w:val="bottom"/>
          </w:tcPr>
          <w:p>
            <w:pPr>
              <w:spacing w:after="0"/>
              <w:rPr>
                <w:sz w:val="10"/>
                <w:szCs w:val="1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Acceleration Gain $(3)</w:t>
            </w:r>
          </w:p>
        </w:tc>
        <w:tc>
          <w:tcPr>
            <w:tcW w:w="38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Reimbursement ($)</w:t>
            </w:r>
          </w:p>
        </w:tc>
        <w:tc>
          <w:tcPr>
            <w:tcW w:w="380" w:type="dxa"/>
            <w:vAlign w:val="bottom"/>
          </w:tcPr>
          <w:p>
            <w:pPr>
              <w:spacing w:after="0"/>
              <w:rPr>
                <w:sz w:val="10"/>
                <w:szCs w:val="1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Reimbursement ($)(4)</w:t>
            </w:r>
          </w:p>
        </w:tc>
        <w:tc>
          <w:tcPr>
            <w:tcW w:w="400" w:type="dxa"/>
            <w:vAlign w:val="bottom"/>
          </w:tcPr>
          <w:p>
            <w:pPr>
              <w:spacing w:after="0"/>
              <w:rPr>
                <w:sz w:val="10"/>
                <w:szCs w:val="10"/>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Total ($)</w:t>
            </w:r>
          </w:p>
        </w:tc>
        <w:tc>
          <w:tcPr>
            <w:tcW w:w="0" w:type="dxa"/>
            <w:vAlign w:val="bottom"/>
          </w:tcPr>
          <w:p>
            <w:pPr>
              <w:spacing w:after="0"/>
              <w:rPr>
                <w:sz w:val="1"/>
                <w:szCs w:val="1"/>
                <w:color w:val="auto"/>
              </w:rPr>
            </w:pPr>
          </w:p>
        </w:tc>
      </w:tr>
      <w:tr>
        <w:trPr>
          <w:trHeight w:val="185"/>
        </w:trPr>
        <w:tc>
          <w:tcPr>
            <w:tcW w:w="1020" w:type="dxa"/>
            <w:vAlign w:val="bottom"/>
          </w:tcPr>
          <w:p>
            <w:pPr>
              <w:jc w:val="right"/>
              <w:ind w:right="361"/>
              <w:spacing w:after="0"/>
              <w:rPr>
                <w:sz w:val="20"/>
                <w:szCs w:val="20"/>
                <w:color w:val="auto"/>
              </w:rPr>
            </w:pPr>
            <w:r>
              <w:rPr>
                <w:rFonts w:ascii="Arial" w:cs="Arial" w:eastAsia="Arial" w:hAnsi="Arial"/>
                <w:sz w:val="13"/>
                <w:szCs w:val="13"/>
                <w:color w:val="auto"/>
              </w:rPr>
              <w:t>751,581</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569,880</w:t>
            </w:r>
          </w:p>
        </w:tc>
        <w:tc>
          <w:tcPr>
            <w:tcW w:w="1980" w:type="dxa"/>
            <w:vAlign w:val="bottom"/>
            <w:gridSpan w:val="2"/>
          </w:tcPr>
          <w:p>
            <w:pPr>
              <w:jc w:val="right"/>
              <w:ind w:right="380"/>
              <w:spacing w:after="0"/>
              <w:rPr>
                <w:sz w:val="20"/>
                <w:szCs w:val="20"/>
                <w:color w:val="auto"/>
              </w:rPr>
            </w:pPr>
            <w:r>
              <w:rPr>
                <w:rFonts w:ascii="Arial" w:cs="Arial" w:eastAsia="Arial" w:hAnsi="Arial"/>
                <w:sz w:val="13"/>
                <w:szCs w:val="13"/>
                <w:color w:val="auto"/>
              </w:rPr>
              <w:t>236,465</w:t>
            </w:r>
          </w:p>
        </w:tc>
        <w:tc>
          <w:tcPr>
            <w:tcW w:w="1680" w:type="dxa"/>
            <w:vAlign w:val="bottom"/>
            <w:gridSpan w:val="2"/>
          </w:tcPr>
          <w:p>
            <w:pPr>
              <w:jc w:val="right"/>
              <w:ind w:right="380"/>
              <w:spacing w:after="0"/>
              <w:rPr>
                <w:sz w:val="20"/>
                <w:szCs w:val="20"/>
                <w:color w:val="auto"/>
              </w:rPr>
            </w:pPr>
            <w:r>
              <w:rPr>
                <w:rFonts w:ascii="Arial" w:cs="Arial" w:eastAsia="Arial" w:hAnsi="Arial"/>
                <w:sz w:val="13"/>
                <w:szCs w:val="13"/>
                <w:color w:val="auto"/>
              </w:rPr>
              <w:t>241,139</w:t>
            </w: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25,000</w:t>
            </w:r>
          </w:p>
        </w:tc>
        <w:tc>
          <w:tcPr>
            <w:tcW w:w="680" w:type="dxa"/>
            <w:vAlign w:val="bottom"/>
          </w:tcPr>
          <w:p>
            <w:pPr>
              <w:ind w:left="160"/>
              <w:spacing w:after="0"/>
              <w:rPr>
                <w:sz w:val="20"/>
                <w:szCs w:val="20"/>
                <w:color w:val="auto"/>
              </w:rPr>
            </w:pPr>
            <w:r>
              <w:rPr>
                <w:rFonts w:ascii="Arial" w:cs="Arial" w:eastAsia="Arial" w:hAnsi="Arial"/>
                <w:sz w:val="13"/>
                <w:szCs w:val="13"/>
                <w:color w:val="auto"/>
                <w:w w:val="86"/>
              </w:rPr>
              <w:t>1,824,065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-129540</wp:posOffset>
            </wp:positionV>
            <wp:extent cx="635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57150</wp:posOffset>
            </wp:positionV>
            <wp:extent cx="82359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0" w:lineRule="exact"/>
        <w:rPr>
          <w:sz w:val="20"/>
          <w:szCs w:val="20"/>
          <w:color w:val="auto"/>
        </w:rPr>
      </w:pPr>
    </w:p>
    <w:p>
      <w:pPr>
        <w:ind w:left="1180" w:hanging="243"/>
        <w:spacing w:after="0" w:line="276" w:lineRule="auto"/>
        <w:tabs>
          <w:tab w:leader="none" w:pos="11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Represents two times the base salary in effect at July 31, 2007. As Mr. Sephton works and lives in the United Kingdom, his base salary is paid to him in British Pounds. The amount shown in U.S. dollars was converted from British Pounds at the July month-end exchange rate: $1 = £0.4923.</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Represents two times the average bonus payment received in the last two fiscal years ended July 31.</w:t>
      </w:r>
    </w:p>
    <w:p>
      <w:pPr>
        <w:spacing w:after="0" w:line="47" w:lineRule="exact"/>
        <w:rPr>
          <w:rFonts w:ascii="Arial" w:cs="Arial" w:eastAsia="Arial" w:hAnsi="Arial"/>
          <w:sz w:val="13"/>
          <w:szCs w:val="13"/>
          <w:color w:val="auto"/>
        </w:rPr>
      </w:pPr>
    </w:p>
    <w:p>
      <w:pPr>
        <w:ind w:left="1180" w:right="240" w:hanging="243"/>
        <w:spacing w:after="0" w:line="276" w:lineRule="auto"/>
        <w:tabs>
          <w:tab w:leader="none" w:pos="11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Represents the difference between the closing market price of $34.99 and the exercise price on 56,667 unvested stock options in-the-money that would vest due to the change in control.</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Represents the maximum reimbursement of legal fees allowed.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Matt O. Williamson</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following table shows the amount payable assuming that the terms of the change of control agreement were triggered on July 31, 2007 and the named executive officer had to legally enforce the terms of the agreement.</w:t>
      </w:r>
    </w:p>
    <w:p>
      <w:pPr>
        <w:spacing w:after="0" w:line="61" w:lineRule="exact"/>
        <w:rPr>
          <w:sz w:val="20"/>
          <w:szCs w:val="20"/>
          <w:color w:val="auto"/>
        </w:rPr>
      </w:pPr>
    </w:p>
    <w:tbl>
      <w:tblPr>
        <w:tblLayout w:type="fixed"/>
        <w:tblInd w:w="2880" w:type="dxa"/>
        <w:tblCellMar>
          <w:top w:w="0" w:type="dxa"/>
          <w:left w:w="0" w:type="dxa"/>
          <w:bottom w:w="0" w:type="dxa"/>
          <w:right w:w="0" w:type="dxa"/>
        </w:tblCellMar>
      </w:tblPr>
      <w:tr>
        <w:trPr>
          <w:trHeight w:val="118"/>
        </w:trPr>
        <w:tc>
          <w:tcPr>
            <w:tcW w:w="2420" w:type="dxa"/>
            <w:vAlign w:val="bottom"/>
            <w:gridSpan w:val="3"/>
            <w:vMerge w:val="restart"/>
          </w:tcPr>
          <w:p>
            <w:pPr>
              <w:ind w:left="420"/>
              <w:spacing w:after="0"/>
              <w:rPr>
                <w:sz w:val="20"/>
                <w:szCs w:val="20"/>
                <w:color w:val="auto"/>
              </w:rPr>
            </w:pPr>
            <w:r>
              <w:rPr>
                <w:rFonts w:ascii="Arial" w:cs="Arial" w:eastAsia="Arial" w:hAnsi="Arial"/>
                <w:sz w:val="10"/>
                <w:szCs w:val="10"/>
                <w:b w:val="1"/>
                <w:bCs w:val="1"/>
                <w:color w:val="auto"/>
              </w:rPr>
              <w:t>Base Salary ($)(1)Bonus ($)(2)</w:t>
            </w:r>
          </w:p>
        </w:tc>
        <w:tc>
          <w:tcPr>
            <w:tcW w:w="228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3"/>
              </w:rPr>
              <w:t>Stock Option</w:t>
            </w:r>
          </w:p>
        </w:tc>
        <w:tc>
          <w:tcPr>
            <w:tcW w:w="218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5"/>
              </w:rPr>
              <w:t>Legal Fee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20" w:type="dxa"/>
            <w:vAlign w:val="bottom"/>
            <w:gridSpan w:val="3"/>
            <w:vMerge w:val="continue"/>
          </w:tcPr>
          <w:p>
            <w:pPr>
              <w:spacing w:after="0"/>
              <w:rPr>
                <w:sz w:val="10"/>
                <w:szCs w:val="10"/>
                <w:color w:val="auto"/>
              </w:rPr>
            </w:pPr>
          </w:p>
        </w:tc>
        <w:tc>
          <w:tcPr>
            <w:tcW w:w="228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Acceleration Gain $(3)</w:t>
            </w:r>
          </w:p>
        </w:tc>
        <w:tc>
          <w:tcPr>
            <w:tcW w:w="218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Reimbursement ($)(4)</w:t>
            </w:r>
          </w:p>
        </w:tc>
        <w:tc>
          <w:tcPr>
            <w:tcW w:w="800" w:type="dxa"/>
            <w:vAlign w:val="bottom"/>
          </w:tcPr>
          <w:p>
            <w:pPr>
              <w:jc w:val="right"/>
              <w:ind w:right="141"/>
              <w:spacing w:after="0"/>
              <w:rPr>
                <w:sz w:val="20"/>
                <w:szCs w:val="20"/>
                <w:color w:val="auto"/>
              </w:rPr>
            </w:pPr>
            <w:r>
              <w:rPr>
                <w:rFonts w:ascii="Arial" w:cs="Arial" w:eastAsia="Arial" w:hAnsi="Arial"/>
                <w:sz w:val="10"/>
                <w:szCs w:val="10"/>
                <w:b w:val="1"/>
                <w:bCs w:val="1"/>
                <w:color w:val="auto"/>
              </w:rPr>
              <w:t>Total ($)</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40" w:type="dxa"/>
            <w:vAlign w:val="bottom"/>
          </w:tcPr>
          <w:p>
            <w:pPr>
              <w:jc w:val="right"/>
              <w:ind w:right="541"/>
              <w:spacing w:after="0"/>
              <w:rPr>
                <w:sz w:val="20"/>
                <w:szCs w:val="20"/>
                <w:color w:val="auto"/>
              </w:rPr>
            </w:pPr>
            <w:r>
              <w:rPr>
                <w:rFonts w:ascii="Arial" w:cs="Arial" w:eastAsia="Arial" w:hAnsi="Arial"/>
                <w:sz w:val="13"/>
                <w:szCs w:val="13"/>
                <w:color w:val="auto"/>
                <w:w w:val="89"/>
              </w:rPr>
              <w:t>570,000</w:t>
            </w:r>
          </w:p>
        </w:tc>
        <w:tc>
          <w:tcPr>
            <w:tcW w:w="800" w:type="dxa"/>
            <w:vAlign w:val="bottom"/>
          </w:tcPr>
          <w:p>
            <w:pPr>
              <w:jc w:val="right"/>
              <w:spacing w:after="0"/>
              <w:rPr>
                <w:sz w:val="20"/>
                <w:szCs w:val="20"/>
                <w:color w:val="auto"/>
              </w:rPr>
            </w:pPr>
            <w:r>
              <w:rPr>
                <w:rFonts w:ascii="Arial" w:cs="Arial" w:eastAsia="Arial" w:hAnsi="Arial"/>
                <w:sz w:val="13"/>
                <w:szCs w:val="13"/>
                <w:color w:val="auto"/>
              </w:rPr>
              <w:t>507,068</w:t>
            </w:r>
          </w:p>
        </w:tc>
        <w:tc>
          <w:tcPr>
            <w:tcW w:w="5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236,465</w:t>
            </w:r>
          </w:p>
        </w:tc>
        <w:tc>
          <w:tcPr>
            <w:tcW w:w="580" w:type="dxa"/>
            <w:vAlign w:val="bottom"/>
          </w:tcPr>
          <w:p>
            <w:pPr>
              <w:spacing w:after="0"/>
              <w:rPr>
                <w:sz w:val="16"/>
                <w:szCs w:val="16"/>
                <w:color w:val="auto"/>
              </w:rPr>
            </w:pPr>
          </w:p>
        </w:tc>
        <w:tc>
          <w:tcPr>
            <w:tcW w:w="2180" w:type="dxa"/>
            <w:vAlign w:val="bottom"/>
            <w:gridSpan w:val="2"/>
          </w:tcPr>
          <w:p>
            <w:pPr>
              <w:jc w:val="right"/>
              <w:ind w:right="580"/>
              <w:spacing w:after="0"/>
              <w:rPr>
                <w:sz w:val="20"/>
                <w:szCs w:val="20"/>
                <w:color w:val="auto"/>
              </w:rPr>
            </w:pPr>
            <w:r>
              <w:rPr>
                <w:rFonts w:ascii="Arial" w:cs="Arial" w:eastAsia="Arial" w:hAnsi="Arial"/>
                <w:sz w:val="13"/>
                <w:szCs w:val="13"/>
                <w:color w:val="auto"/>
              </w:rPr>
              <w:t>25,000</w:t>
            </w:r>
          </w:p>
        </w:tc>
        <w:tc>
          <w:tcPr>
            <w:tcW w:w="800" w:type="dxa"/>
            <w:vAlign w:val="bottom"/>
          </w:tcPr>
          <w:p>
            <w:pPr>
              <w:jc w:val="right"/>
              <w:spacing w:after="0"/>
              <w:rPr>
                <w:sz w:val="20"/>
                <w:szCs w:val="20"/>
                <w:color w:val="auto"/>
              </w:rPr>
            </w:pPr>
            <w:r>
              <w:rPr>
                <w:rFonts w:ascii="Arial" w:cs="Arial" w:eastAsia="Arial" w:hAnsi="Arial"/>
                <w:sz w:val="13"/>
                <w:szCs w:val="13"/>
                <w:color w:val="auto"/>
              </w:rPr>
              <w:t>1,338,533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-129540</wp:posOffset>
            </wp:positionV>
            <wp:extent cx="635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57150</wp:posOffset>
            </wp:positionV>
            <wp:extent cx="82359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0" w:lineRule="exact"/>
        <w:rPr>
          <w:sz w:val="20"/>
          <w:szCs w:val="20"/>
          <w:color w:val="auto"/>
        </w:rPr>
      </w:pPr>
    </w:p>
    <w:p>
      <w:pPr>
        <w:ind w:left="1180" w:hanging="24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two times the base salary in effect at July 31, 2007.</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two times the average bonus payment received in the last two fiscal years ended July 31.</w:t>
      </w:r>
    </w:p>
    <w:p>
      <w:pPr>
        <w:spacing w:after="0" w:line="47" w:lineRule="exact"/>
        <w:rPr>
          <w:rFonts w:ascii="Arial" w:cs="Arial" w:eastAsia="Arial" w:hAnsi="Arial"/>
          <w:sz w:val="13"/>
          <w:szCs w:val="13"/>
          <w:color w:val="auto"/>
        </w:rPr>
      </w:pPr>
    </w:p>
    <w:p>
      <w:pPr>
        <w:ind w:left="1180" w:right="240" w:hanging="243"/>
        <w:spacing w:after="0" w:line="276" w:lineRule="auto"/>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the difference between the closing market price of $34.99 and the exercise price on 56,667 unvested stock options in-the-money that would vest due to the change in control.</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the maximum reimbursement of legal fees allowed.</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Directors</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To ensure competitive compensation for the directors, surveys prepared by various consulting firms and the National Association of Corporate Directors are reviewed. Directors who are employees of the Company receive no additional compensation for service on the Board or on any committee of the Board. Effective December 1, 2006, directors who were not also employees of the Company received an annual retainer of $35,000 plus $6,000 for each committee they chaired ($10,000 for the audit committee chair) and $1,500 plus expenses for each meeting of the Board or any committee thereof, which they attended and were a member or $1,000 for single issue telephonic committee meetings of the Board. Directors also received $1,000 for each meeting they attended of any committee for which they were not a member.</w:t>
      </w:r>
    </w:p>
    <w:p>
      <w:pPr>
        <w:spacing w:after="0" w:line="27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Directors are also granted 6,000 time-based stock options in November of each year while they are serving on the Board. Upon election to the Board, a director is granted 10,000 time-based stock options. The grant price is the fair market value of the stock on the grant date and is calculated by taking the average of the high and low stock price on that date. The options vest one-third each year for the first three years and have a ten year life.</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401(k) Plan.</w:t>
      </w:r>
    </w:p>
    <w:p>
      <w:pPr>
        <w:spacing w:after="0" w:line="70"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At least one year prior to termination from the Board, the director must elect whether to receive his/her account balance following termination in a single lump sum payment or by means of distribution under an Annual Installment Method. If the director does not submit an election form or has not submitted one timely, then payment shall be made each year for a period of ten years. The first payment must be one-tenth of the balance held; the second one-ninth; and so on, with the balance held in the Trust reduced by each payment.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Director Compensation Table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4"/>
              </w:rPr>
              <w:t>Fees Earned</w:t>
            </w:r>
          </w:p>
        </w:tc>
        <w:tc>
          <w:tcPr>
            <w:tcW w:w="1400" w:type="dxa"/>
            <w:vAlign w:val="bottom"/>
            <w:gridSpan w:val="2"/>
            <w:vMerge w:val="restart"/>
          </w:tcPr>
          <w:p>
            <w:pPr>
              <w:jc w:val="right"/>
              <w:ind w:right="740"/>
              <w:spacing w:after="0"/>
              <w:rPr>
                <w:sz w:val="20"/>
                <w:szCs w:val="20"/>
                <w:color w:val="auto"/>
              </w:rPr>
            </w:pPr>
            <w:r>
              <w:rPr>
                <w:rFonts w:ascii="Arial" w:cs="Arial" w:eastAsia="Arial" w:hAnsi="Arial"/>
                <w:sz w:val="10"/>
                <w:szCs w:val="10"/>
                <w:b w:val="1"/>
                <w:bCs w:val="1"/>
                <w:color w:val="auto"/>
              </w:rPr>
              <w:t>Option</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or Paid in</w:t>
            </w:r>
          </w:p>
        </w:tc>
        <w:tc>
          <w:tcPr>
            <w:tcW w:w="14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0" w:type="dxa"/>
            <w:vAlign w:val="bottom"/>
            <w:gridSpan w:val="2"/>
            <w:vMerge w:val="continue"/>
          </w:tcPr>
          <w:p>
            <w:pPr>
              <w:spacing w:after="0"/>
              <w:rPr>
                <w:sz w:val="10"/>
                <w:szCs w:val="1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Cash ($)</w:t>
            </w:r>
          </w:p>
        </w:tc>
        <w:tc>
          <w:tcPr>
            <w:tcW w:w="140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Awards ($)(1)</w:t>
            </w:r>
          </w:p>
        </w:tc>
        <w:tc>
          <w:tcPr>
            <w:tcW w:w="6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Total ($)</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52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Elizabeth Pungello</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67,833</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52,667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120,500</w:t>
            </w:r>
          </w:p>
        </w:tc>
        <w:tc>
          <w:tcPr>
            <w:tcW w:w="0" w:type="dxa"/>
            <w:vAlign w:val="bottom"/>
          </w:tcPr>
          <w:p>
            <w:pPr>
              <w:spacing w:after="0"/>
              <w:rPr>
                <w:sz w:val="1"/>
                <w:szCs w:val="1"/>
                <w:color w:val="auto"/>
              </w:rPr>
            </w:pPr>
          </w:p>
        </w:tc>
      </w:tr>
      <w:tr>
        <w:trPr>
          <w:trHeight w:val="157"/>
        </w:trPr>
        <w:tc>
          <w:tcPr>
            <w:tcW w:w="6600" w:type="dxa"/>
            <w:vAlign w:val="bottom"/>
            <w:gridSpan w:val="2"/>
          </w:tcPr>
          <w:p>
            <w:pPr>
              <w:spacing w:after="0"/>
              <w:rPr>
                <w:sz w:val="20"/>
                <w:szCs w:val="20"/>
                <w:color w:val="auto"/>
              </w:rPr>
            </w:pPr>
            <w:r>
              <w:rPr>
                <w:rFonts w:ascii="Arial" w:cs="Arial" w:eastAsia="Arial" w:hAnsi="Arial"/>
                <w:sz w:val="13"/>
                <w:szCs w:val="13"/>
                <w:color w:val="auto"/>
              </w:rPr>
              <w:t>Peter J. Lettenberger</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93,000</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51,047</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144,047</w:t>
            </w:r>
          </w:p>
        </w:tc>
        <w:tc>
          <w:tcPr>
            <w:tcW w:w="0" w:type="dxa"/>
            <w:vAlign w:val="bottom"/>
          </w:tcPr>
          <w:p>
            <w:pPr>
              <w:spacing w:after="0"/>
              <w:rPr>
                <w:sz w:val="1"/>
                <w:szCs w:val="1"/>
                <w:color w:val="auto"/>
              </w:rPr>
            </w:pPr>
          </w:p>
        </w:tc>
      </w:tr>
      <w:tr>
        <w:trPr>
          <w:trHeight w:val="157"/>
        </w:trPr>
        <w:tc>
          <w:tcPr>
            <w:tcW w:w="6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Robert C. Buchanan</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83,500</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51,047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134,547</w:t>
            </w:r>
          </w:p>
        </w:tc>
        <w:tc>
          <w:tcPr>
            <w:tcW w:w="0" w:type="dxa"/>
            <w:vAlign w:val="bottom"/>
          </w:tcPr>
          <w:p>
            <w:pPr>
              <w:spacing w:after="0"/>
              <w:rPr>
                <w:sz w:val="1"/>
                <w:szCs w:val="1"/>
                <w:color w:val="auto"/>
              </w:rPr>
            </w:pPr>
          </w:p>
        </w:tc>
      </w:tr>
      <w:tr>
        <w:trPr>
          <w:trHeight w:val="157"/>
        </w:trPr>
        <w:tc>
          <w:tcPr>
            <w:tcW w:w="6600" w:type="dxa"/>
            <w:vAlign w:val="bottom"/>
            <w:gridSpan w:val="2"/>
          </w:tcPr>
          <w:p>
            <w:pPr>
              <w:spacing w:after="0"/>
              <w:rPr>
                <w:sz w:val="20"/>
                <w:szCs w:val="20"/>
                <w:color w:val="auto"/>
              </w:rPr>
            </w:pPr>
            <w:r>
              <w:rPr>
                <w:rFonts w:ascii="Arial" w:cs="Arial" w:eastAsia="Arial" w:hAnsi="Arial"/>
                <w:sz w:val="13"/>
                <w:szCs w:val="13"/>
                <w:color w:val="auto"/>
              </w:rPr>
              <w:t>Roger D. Peirce</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94,750</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51,047</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145,797</w:t>
            </w:r>
          </w:p>
        </w:tc>
        <w:tc>
          <w:tcPr>
            <w:tcW w:w="0" w:type="dxa"/>
            <w:vAlign w:val="bottom"/>
          </w:tcPr>
          <w:p>
            <w:pPr>
              <w:spacing w:after="0"/>
              <w:rPr>
                <w:sz w:val="1"/>
                <w:szCs w:val="1"/>
                <w:color w:val="auto"/>
              </w:rPr>
            </w:pPr>
          </w:p>
        </w:tc>
      </w:tr>
      <w:tr>
        <w:trPr>
          <w:trHeight w:val="157"/>
        </w:trPr>
        <w:tc>
          <w:tcPr>
            <w:tcW w:w="6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A. Bemis</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63,333</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51,047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114,380</w:t>
            </w:r>
          </w:p>
        </w:tc>
        <w:tc>
          <w:tcPr>
            <w:tcW w:w="0" w:type="dxa"/>
            <w:vAlign w:val="bottom"/>
          </w:tcPr>
          <w:p>
            <w:pPr>
              <w:spacing w:after="0"/>
              <w:rPr>
                <w:sz w:val="1"/>
                <w:szCs w:val="1"/>
                <w:color w:val="auto"/>
              </w:rPr>
            </w:pPr>
          </w:p>
        </w:tc>
      </w:tr>
      <w:tr>
        <w:trPr>
          <w:trHeight w:val="157"/>
        </w:trPr>
        <w:tc>
          <w:tcPr>
            <w:tcW w:w="6600" w:type="dxa"/>
            <w:vAlign w:val="bottom"/>
            <w:gridSpan w:val="2"/>
          </w:tcPr>
          <w:p>
            <w:pPr>
              <w:spacing w:after="0"/>
              <w:rPr>
                <w:sz w:val="20"/>
                <w:szCs w:val="20"/>
                <w:color w:val="auto"/>
              </w:rPr>
            </w:pPr>
            <w:r>
              <w:rPr>
                <w:rFonts w:ascii="Arial" w:cs="Arial" w:eastAsia="Arial" w:hAnsi="Arial"/>
                <w:sz w:val="13"/>
                <w:szCs w:val="13"/>
                <w:color w:val="auto"/>
              </w:rPr>
              <w:t>Frank W. Harris</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65,250</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51,047</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116,297</w:t>
            </w:r>
          </w:p>
        </w:tc>
        <w:tc>
          <w:tcPr>
            <w:tcW w:w="0" w:type="dxa"/>
            <w:vAlign w:val="bottom"/>
          </w:tcPr>
          <w:p>
            <w:pPr>
              <w:spacing w:after="0"/>
              <w:rPr>
                <w:sz w:val="1"/>
                <w:szCs w:val="1"/>
                <w:color w:val="auto"/>
              </w:rPr>
            </w:pPr>
          </w:p>
        </w:tc>
      </w:tr>
      <w:tr>
        <w:trPr>
          <w:trHeight w:val="157"/>
        </w:trPr>
        <w:tc>
          <w:tcPr>
            <w:tcW w:w="6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Gary E. Nei</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70,750</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51,047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121,797</w:t>
            </w:r>
          </w:p>
        </w:tc>
        <w:tc>
          <w:tcPr>
            <w:tcW w:w="0" w:type="dxa"/>
            <w:vAlign w:val="bottom"/>
          </w:tcPr>
          <w:p>
            <w:pPr>
              <w:spacing w:after="0"/>
              <w:rPr>
                <w:sz w:val="1"/>
                <w:szCs w:val="1"/>
                <w:color w:val="auto"/>
              </w:rPr>
            </w:pPr>
          </w:p>
        </w:tc>
      </w:tr>
      <w:tr>
        <w:trPr>
          <w:trHeight w:val="157"/>
        </w:trPr>
        <w:tc>
          <w:tcPr>
            <w:tcW w:w="6600" w:type="dxa"/>
            <w:vAlign w:val="bottom"/>
            <w:gridSpan w:val="2"/>
          </w:tcPr>
          <w:p>
            <w:pPr>
              <w:spacing w:after="0"/>
              <w:rPr>
                <w:sz w:val="20"/>
                <w:szCs w:val="20"/>
                <w:color w:val="auto"/>
              </w:rPr>
            </w:pPr>
            <w:r>
              <w:rPr>
                <w:rFonts w:ascii="Arial" w:cs="Arial" w:eastAsia="Arial" w:hAnsi="Arial"/>
                <w:sz w:val="13"/>
                <w:szCs w:val="13"/>
                <w:color w:val="auto"/>
              </w:rPr>
              <w:t>Mary K. Bush</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61,583</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51,047</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112,630</w:t>
            </w:r>
          </w:p>
        </w:tc>
        <w:tc>
          <w:tcPr>
            <w:tcW w:w="0" w:type="dxa"/>
            <w:vAlign w:val="bottom"/>
          </w:tcPr>
          <w:p>
            <w:pPr>
              <w:spacing w:after="0"/>
              <w:rPr>
                <w:sz w:val="1"/>
                <w:szCs w:val="1"/>
                <w:color w:val="auto"/>
              </w:rPr>
            </w:pPr>
          </w:p>
        </w:tc>
      </w:tr>
      <w:tr>
        <w:trPr>
          <w:trHeight w:val="157"/>
        </w:trPr>
        <w:tc>
          <w:tcPr>
            <w:tcW w:w="6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Frank R. Jarc</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88,750</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51,047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139,797</w:t>
            </w:r>
          </w:p>
        </w:tc>
        <w:tc>
          <w:tcPr>
            <w:tcW w:w="0" w:type="dxa"/>
            <w:vAlign w:val="bottom"/>
          </w:tcPr>
          <w:p>
            <w:pPr>
              <w:spacing w:after="0"/>
              <w:rPr>
                <w:sz w:val="1"/>
                <w:szCs w:val="1"/>
                <w:color w:val="auto"/>
              </w:rPr>
            </w:pPr>
          </w:p>
        </w:tc>
      </w:tr>
      <w:tr>
        <w:trPr>
          <w:trHeight w:val="165"/>
        </w:trPr>
        <w:tc>
          <w:tcPr>
            <w:tcW w:w="6600" w:type="dxa"/>
            <w:vAlign w:val="bottom"/>
            <w:gridSpan w:val="2"/>
          </w:tcPr>
          <w:p>
            <w:pPr>
              <w:spacing w:after="0"/>
              <w:rPr>
                <w:sz w:val="20"/>
                <w:szCs w:val="20"/>
                <w:color w:val="auto"/>
              </w:rPr>
            </w:pPr>
            <w:r>
              <w:rPr>
                <w:rFonts w:ascii="Arial" w:cs="Arial" w:eastAsia="Arial" w:hAnsi="Arial"/>
                <w:sz w:val="13"/>
                <w:szCs w:val="13"/>
                <w:color w:val="auto"/>
              </w:rPr>
              <w:t>Chan W. Galbato</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49,750</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31,867</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81,617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right="120" w:hanging="243"/>
        <w:spacing w:after="0" w:line="257" w:lineRule="auto"/>
        <w:tabs>
          <w:tab w:leader="none" w:pos="11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the amounts expensed in fiscal 2007 relating to grants of stock options. The Company accounts for stock-based compensation in accordance with SFAS No. 123(R), which requires it to recognize compensation expense for stock options granted to employees and directors based on the estimated fair value of the awards at the time of grant.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2007. The grant date fair value of options granted in fiscal 2007 for each director was $86,040 for Ms. Pungello, Mr. Lettenberger, Mr. Buchanan, Mr. Peirce, Mr. Bemis, Mr. Harris, Mr. Nei, Ms. Bush and Mr. Jarc and $143,400 for Mr. Galbato.</w:t>
      </w:r>
    </w:p>
    <w:p>
      <w:pPr>
        <w:spacing w:after="0" w:line="61" w:lineRule="exact"/>
        <w:rPr>
          <w:rFonts w:ascii="Arial" w:cs="Arial" w:eastAsia="Arial" w:hAnsi="Arial"/>
          <w:sz w:val="13"/>
          <w:szCs w:val="13"/>
          <w:color w:val="auto"/>
        </w:rPr>
      </w:pPr>
    </w:p>
    <w:p>
      <w:pPr>
        <w:ind w:left="1180" w:right="80"/>
        <w:spacing w:after="0" w:line="276" w:lineRule="auto"/>
        <w:rPr>
          <w:rFonts w:ascii="Arial" w:cs="Arial" w:eastAsia="Arial" w:hAnsi="Arial"/>
          <w:sz w:val="13"/>
          <w:szCs w:val="13"/>
          <w:color w:val="auto"/>
        </w:rPr>
      </w:pPr>
      <w:r>
        <w:rPr>
          <w:rFonts w:ascii="Arial" w:cs="Arial" w:eastAsia="Arial" w:hAnsi="Arial"/>
          <w:sz w:val="13"/>
          <w:szCs w:val="13"/>
          <w:color w:val="auto"/>
        </w:rPr>
        <w:t>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49" w:lineRule="exact"/>
        <w:rPr>
          <w:rFonts w:ascii="Arial" w:cs="Arial" w:eastAsia="Arial" w:hAnsi="Arial"/>
          <w:sz w:val="13"/>
          <w:szCs w:val="13"/>
          <w:color w:val="auto"/>
        </w:rPr>
      </w:pPr>
    </w:p>
    <w:p>
      <w:pPr>
        <w:ind w:left="1180" w:right="220"/>
        <w:spacing w:after="0" w:line="264" w:lineRule="auto"/>
        <w:rPr>
          <w:rFonts w:ascii="Arial" w:cs="Arial" w:eastAsia="Arial" w:hAnsi="Arial"/>
          <w:sz w:val="13"/>
          <w:szCs w:val="13"/>
          <w:color w:val="auto"/>
        </w:rPr>
      </w:pPr>
      <w:r>
        <w:rPr>
          <w:rFonts w:ascii="Arial" w:cs="Arial" w:eastAsia="Arial" w:hAnsi="Arial"/>
          <w:sz w:val="13"/>
          <w:szCs w:val="13"/>
          <w:color w:val="auto"/>
        </w:rPr>
        <w:t>Outstanding option awards at July 31, 2007 for each director include the following: Ms. Pungello, 24,000 shares; Mr. Lettenberger, 21,000 shares; Mr. Buchanan, 22,000 shares; Mr. Peirce, 35,000 shares; Mr. Bemis, 37,000 shares; Mr. Harris, 33,000 shares; Mr. Nei, 34,334 shares; Ms. Bush, 27,000 shares; Mr. Jarc, 36,000 shares; and Mr. Galbato, 10,000 shares.</w:t>
      </w:r>
    </w:p>
    <w:p>
      <w:pPr>
        <w:spacing w:after="0" w:line="26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1080" w:hanging="393"/>
        <w:spacing w:after="0"/>
        <w:tabs>
          <w:tab w:leader="none" w:pos="1080" w:val="left"/>
        </w:tabs>
        <w:numPr>
          <w:ilvl w:val="0"/>
          <w:numId w:val="4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Security Ownership of Certain Beneficial Owners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following table sets forth the current beneficial ownership of shareholders who are known by the Company to own more than five percent (5%) of any class of the Company’s voting shares on August 15, 2007. As of that date, nearly all of the voting stock of the Company was held by two trusts controlled by direct descendants of the Company’s founder, William H. Brady, as follows: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94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280" w:type="dxa"/>
            <w:vAlign w:val="bottom"/>
          </w:tcPr>
          <w:p>
            <w:pPr>
              <w:spacing w:after="0"/>
              <w:rPr>
                <w:sz w:val="10"/>
                <w:szCs w:val="10"/>
                <w:color w:val="auto"/>
              </w:rPr>
            </w:pPr>
          </w:p>
        </w:tc>
        <w:tc>
          <w:tcPr>
            <w:tcW w:w="92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rPr>
              <w:t>Percent of</w:t>
            </w:r>
          </w:p>
        </w:tc>
        <w:tc>
          <w:tcPr>
            <w:tcW w:w="0" w:type="dxa"/>
            <w:vAlign w:val="bottom"/>
          </w:tcPr>
          <w:p>
            <w:pPr>
              <w:spacing w:after="0"/>
              <w:rPr>
                <w:sz w:val="1"/>
                <w:szCs w:val="1"/>
                <w:color w:val="auto"/>
              </w:rPr>
            </w:pPr>
          </w:p>
        </w:tc>
      </w:tr>
      <w:tr>
        <w:trPr>
          <w:trHeight w:val="118"/>
        </w:trPr>
        <w:tc>
          <w:tcPr>
            <w:tcW w:w="1940" w:type="dxa"/>
            <w:vAlign w:val="bottom"/>
            <w:vMerge w:val="restart"/>
          </w:tcPr>
          <w:p>
            <w:pPr>
              <w:spacing w:after="0"/>
              <w:rPr>
                <w:sz w:val="20"/>
                <w:szCs w:val="20"/>
                <w:color w:val="auto"/>
              </w:rPr>
            </w:pPr>
            <w:r>
              <w:rPr>
                <w:rFonts w:ascii="Arial" w:cs="Arial" w:eastAsia="Arial" w:hAnsi="Arial"/>
                <w:sz w:val="10"/>
                <w:szCs w:val="10"/>
                <w:b w:val="1"/>
                <w:bCs w:val="1"/>
                <w:color w:val="auto"/>
              </w:rPr>
              <w:t>Title of Class</w:t>
            </w:r>
          </w:p>
        </w:tc>
        <w:tc>
          <w:tcPr>
            <w:tcW w:w="5740" w:type="dxa"/>
            <w:vAlign w:val="bottom"/>
            <w:vMerge w:val="restart"/>
          </w:tcPr>
          <w:p>
            <w:pPr>
              <w:ind w:left="304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Address of Beneficial Owner</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3"/>
              </w:rPr>
              <w:t>Beneficial</w:t>
            </w:r>
          </w:p>
        </w:tc>
        <w:tc>
          <w:tcPr>
            <w:tcW w:w="2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940" w:type="dxa"/>
            <w:vAlign w:val="bottom"/>
            <w:vMerge w:val="continue"/>
          </w:tcPr>
          <w:p>
            <w:pPr>
              <w:spacing w:after="0"/>
              <w:rPr>
                <w:sz w:val="10"/>
                <w:szCs w:val="10"/>
                <w:color w:val="auto"/>
              </w:rPr>
            </w:pPr>
          </w:p>
        </w:tc>
        <w:tc>
          <w:tcPr>
            <w:tcW w:w="5740" w:type="dxa"/>
            <w:vAlign w:val="bottom"/>
            <w:vMerge w:val="continue"/>
          </w:tcPr>
          <w:p>
            <w:pPr>
              <w:spacing w:after="0"/>
              <w:rPr>
                <w:sz w:val="10"/>
                <w:szCs w:val="1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Ownership</w:t>
            </w:r>
          </w:p>
        </w:tc>
        <w:tc>
          <w:tcPr>
            <w:tcW w:w="280" w:type="dxa"/>
            <w:vAlign w:val="bottom"/>
          </w:tcPr>
          <w:p>
            <w:pPr>
              <w:spacing w:after="0"/>
              <w:rPr>
                <w:sz w:val="10"/>
                <w:szCs w:val="10"/>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rPr>
              <w:t>Ownership(2)</w:t>
            </w:r>
          </w:p>
        </w:tc>
        <w:tc>
          <w:tcPr>
            <w:tcW w:w="0" w:type="dxa"/>
            <w:vAlign w:val="bottom"/>
          </w:tcPr>
          <w:p>
            <w:pPr>
              <w:spacing w:after="0"/>
              <w:rPr>
                <w:sz w:val="1"/>
                <w:szCs w:val="1"/>
                <w:color w:val="auto"/>
              </w:rPr>
            </w:pPr>
          </w:p>
        </w:tc>
      </w:tr>
      <w:tr>
        <w:trPr>
          <w:trHeight w:val="178"/>
        </w:trPr>
        <w:tc>
          <w:tcPr>
            <w:tcW w:w="1940" w:type="dxa"/>
            <w:vAlign w:val="bottom"/>
          </w:tcPr>
          <w:p>
            <w:pPr>
              <w:spacing w:after="0"/>
              <w:rPr>
                <w:sz w:val="20"/>
                <w:szCs w:val="20"/>
                <w:color w:val="auto"/>
              </w:rPr>
            </w:pPr>
            <w:r>
              <w:rPr>
                <w:rFonts w:ascii="Arial" w:cs="Arial" w:eastAsia="Arial" w:hAnsi="Arial"/>
                <w:sz w:val="13"/>
                <w:szCs w:val="13"/>
                <w:color w:val="auto"/>
              </w:rPr>
              <w:t>Class B Common Stock</w:t>
            </w:r>
          </w:p>
        </w:tc>
        <w:tc>
          <w:tcPr>
            <w:tcW w:w="5740" w:type="dxa"/>
            <w:vAlign w:val="bottom"/>
          </w:tcPr>
          <w:p>
            <w:pPr>
              <w:ind w:left="700"/>
              <w:spacing w:after="0"/>
              <w:rPr>
                <w:sz w:val="20"/>
                <w:szCs w:val="20"/>
                <w:color w:val="auto"/>
              </w:rPr>
            </w:pPr>
            <w:r>
              <w:rPr>
                <w:rFonts w:ascii="Arial" w:cs="Arial" w:eastAsia="Arial" w:hAnsi="Arial"/>
                <w:sz w:val="13"/>
                <w:szCs w:val="13"/>
                <w:color w:val="auto"/>
              </w:rPr>
              <w:t>Brady Corporation Class B Common Stock Trust(1)</w:t>
            </w:r>
          </w:p>
        </w:tc>
        <w:tc>
          <w:tcPr>
            <w:tcW w:w="1100" w:type="dxa"/>
            <w:vAlign w:val="bottom"/>
          </w:tcPr>
          <w:p>
            <w:pPr>
              <w:jc w:val="center"/>
              <w:spacing w:after="0"/>
              <w:rPr>
                <w:sz w:val="20"/>
                <w:szCs w:val="20"/>
                <w:color w:val="auto"/>
              </w:rPr>
            </w:pPr>
            <w:r>
              <w:rPr>
                <w:rFonts w:ascii="Arial" w:cs="Arial" w:eastAsia="Arial" w:hAnsi="Arial"/>
                <w:sz w:val="13"/>
                <w:szCs w:val="13"/>
                <w:color w:val="auto"/>
                <w:w w:val="93"/>
              </w:rPr>
              <w:t>1,769,304</w:t>
            </w:r>
          </w:p>
        </w:tc>
        <w:tc>
          <w:tcPr>
            <w:tcW w:w="1200" w:type="dxa"/>
            <w:vAlign w:val="bottom"/>
            <w:gridSpan w:val="2"/>
          </w:tcPr>
          <w:p>
            <w:pPr>
              <w:jc w:val="right"/>
              <w:ind w:right="228"/>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5740" w:type="dxa"/>
            <w:vAlign w:val="bottom"/>
          </w:tcPr>
          <w:p>
            <w:pPr>
              <w:ind w:left="700"/>
              <w:spacing w:after="0"/>
              <w:rPr>
                <w:sz w:val="20"/>
                <w:szCs w:val="20"/>
                <w:color w:val="auto"/>
              </w:rPr>
            </w:pPr>
            <w:r>
              <w:rPr>
                <w:rFonts w:ascii="Arial" w:cs="Arial" w:eastAsia="Arial" w:hAnsi="Arial"/>
                <w:sz w:val="13"/>
                <w:szCs w:val="13"/>
                <w:color w:val="auto"/>
              </w:rPr>
              <w:t>c/o Elizabeth P. Pungello</w:t>
            </w: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5740" w:type="dxa"/>
            <w:vAlign w:val="bottom"/>
          </w:tcPr>
          <w:p>
            <w:pPr>
              <w:ind w:left="700"/>
              <w:spacing w:after="0"/>
              <w:rPr>
                <w:sz w:val="20"/>
                <w:szCs w:val="20"/>
                <w:color w:val="auto"/>
              </w:rPr>
            </w:pPr>
            <w:r>
              <w:rPr>
                <w:rFonts w:ascii="Arial" w:cs="Arial" w:eastAsia="Arial" w:hAnsi="Arial"/>
                <w:sz w:val="13"/>
                <w:szCs w:val="13"/>
                <w:color w:val="auto"/>
              </w:rPr>
              <w:t>2002 S. Hawick Ct.</w:t>
            </w: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5740" w:type="dxa"/>
            <w:vAlign w:val="bottom"/>
          </w:tcPr>
          <w:p>
            <w:pPr>
              <w:ind w:left="700"/>
              <w:spacing w:after="0"/>
              <w:rPr>
                <w:sz w:val="20"/>
                <w:szCs w:val="20"/>
                <w:color w:val="auto"/>
              </w:rPr>
            </w:pPr>
            <w:r>
              <w:rPr>
                <w:rFonts w:ascii="Arial" w:cs="Arial" w:eastAsia="Arial" w:hAnsi="Arial"/>
                <w:sz w:val="13"/>
                <w:szCs w:val="13"/>
                <w:color w:val="auto"/>
              </w:rPr>
              <w:t>Chapel Hill, NC 27516</w:t>
            </w: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19"/>
                <w:szCs w:val="19"/>
                <w:color w:val="auto"/>
              </w:rPr>
            </w:pPr>
          </w:p>
        </w:tc>
        <w:tc>
          <w:tcPr>
            <w:tcW w:w="5740" w:type="dxa"/>
            <w:vAlign w:val="bottom"/>
          </w:tcPr>
          <w:p>
            <w:pPr>
              <w:ind w:left="700"/>
              <w:spacing w:after="0"/>
              <w:rPr>
                <w:sz w:val="20"/>
                <w:szCs w:val="20"/>
                <w:color w:val="auto"/>
              </w:rPr>
            </w:pPr>
            <w:r>
              <w:rPr>
                <w:rFonts w:ascii="Arial" w:cs="Arial" w:eastAsia="Arial" w:hAnsi="Arial"/>
                <w:sz w:val="13"/>
                <w:szCs w:val="13"/>
                <w:color w:val="auto"/>
              </w:rPr>
              <w:t>William H. Brady III Revocable Trust of 2003(3)</w:t>
            </w:r>
          </w:p>
        </w:tc>
        <w:tc>
          <w:tcPr>
            <w:tcW w:w="1100" w:type="dxa"/>
            <w:vAlign w:val="bottom"/>
          </w:tcPr>
          <w:p>
            <w:pPr>
              <w:jc w:val="center"/>
              <w:spacing w:after="0"/>
              <w:rPr>
                <w:sz w:val="20"/>
                <w:szCs w:val="20"/>
                <w:color w:val="auto"/>
              </w:rPr>
            </w:pPr>
            <w:r>
              <w:rPr>
                <w:rFonts w:ascii="Arial" w:cs="Arial" w:eastAsia="Arial" w:hAnsi="Arial"/>
                <w:sz w:val="13"/>
                <w:szCs w:val="13"/>
                <w:color w:val="auto"/>
                <w:w w:val="93"/>
              </w:rPr>
              <w:t>1,769,304</w:t>
            </w:r>
          </w:p>
        </w:tc>
        <w:tc>
          <w:tcPr>
            <w:tcW w:w="1200" w:type="dxa"/>
            <w:vAlign w:val="bottom"/>
            <w:gridSpan w:val="2"/>
          </w:tcPr>
          <w:p>
            <w:pPr>
              <w:jc w:val="right"/>
              <w:ind w:right="228"/>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5740" w:type="dxa"/>
            <w:vAlign w:val="bottom"/>
          </w:tcPr>
          <w:p>
            <w:pPr>
              <w:ind w:left="700"/>
              <w:spacing w:after="0"/>
              <w:rPr>
                <w:sz w:val="20"/>
                <w:szCs w:val="20"/>
                <w:color w:val="auto"/>
              </w:rPr>
            </w:pPr>
            <w:r>
              <w:rPr>
                <w:rFonts w:ascii="Arial" w:cs="Arial" w:eastAsia="Arial" w:hAnsi="Arial"/>
                <w:sz w:val="13"/>
                <w:szCs w:val="13"/>
                <w:color w:val="auto"/>
              </w:rPr>
              <w:t>c/o William H. Brady III</w:t>
            </w: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5740" w:type="dxa"/>
            <w:vAlign w:val="bottom"/>
          </w:tcPr>
          <w:p>
            <w:pPr>
              <w:ind w:left="700"/>
              <w:spacing w:after="0"/>
              <w:rPr>
                <w:sz w:val="20"/>
                <w:szCs w:val="20"/>
                <w:color w:val="auto"/>
              </w:rPr>
            </w:pPr>
            <w:r>
              <w:rPr>
                <w:rFonts w:ascii="Arial" w:cs="Arial" w:eastAsia="Arial" w:hAnsi="Arial"/>
                <w:sz w:val="13"/>
                <w:szCs w:val="13"/>
                <w:color w:val="auto"/>
              </w:rPr>
              <w:t>249 Rosemont Ave.</w:t>
            </w: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5740" w:type="dxa"/>
            <w:vAlign w:val="bottom"/>
          </w:tcPr>
          <w:p>
            <w:pPr>
              <w:ind w:left="700"/>
              <w:spacing w:after="0"/>
              <w:rPr>
                <w:sz w:val="20"/>
                <w:szCs w:val="20"/>
                <w:color w:val="auto"/>
              </w:rPr>
            </w:pPr>
            <w:r>
              <w:rPr>
                <w:rFonts w:ascii="Arial" w:cs="Arial" w:eastAsia="Arial" w:hAnsi="Arial"/>
                <w:sz w:val="13"/>
                <w:szCs w:val="13"/>
                <w:color w:val="auto"/>
              </w:rPr>
              <w:t>Pasadena, CA 91103</w:t>
            </w: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-878840</wp:posOffset>
            </wp:positionV>
            <wp:extent cx="1841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180" w:right="120" w:hanging="243"/>
        <w:spacing w:after="0" w:line="276" w:lineRule="auto"/>
        <w:tabs>
          <w:tab w:leader="none" w:pos="11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trustee is Elizabeth P. Pungello, who has sole voting and dispositive power and who is the remainder beneficiary. Elizabeth Pungello is the great-granddaughter of William H. Brady and currently serves on the Company’s Board of Directors.</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An additional 20 shares are owned by a third trust with different trustees.</w:t>
      </w:r>
    </w:p>
    <w:p>
      <w:pPr>
        <w:spacing w:after="0" w:line="47" w:lineRule="exact"/>
        <w:rPr>
          <w:rFonts w:ascii="Arial" w:cs="Arial" w:eastAsia="Arial" w:hAnsi="Arial"/>
          <w:sz w:val="13"/>
          <w:szCs w:val="13"/>
          <w:color w:val="auto"/>
        </w:rPr>
      </w:pPr>
    </w:p>
    <w:p>
      <w:pPr>
        <w:ind w:left="1180" w:right="360" w:hanging="243"/>
        <w:spacing w:after="0" w:line="276" w:lineRule="auto"/>
        <w:tabs>
          <w:tab w:leader="none" w:pos="11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William H. Brady III is special trustee of this trust and has sole voting and dispositive powers with respect to these shares. William H. Brady III is the grandson of William H. Brady.</w:t>
      </w:r>
    </w:p>
    <w:p>
      <w:pPr>
        <w:spacing w:after="0" w:line="25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hanging="393"/>
        <w:spacing w:after="0"/>
        <w:tabs>
          <w:tab w:leader="none" w:pos="1080" w:val="left"/>
        </w:tabs>
        <w:numPr>
          <w:ilvl w:val="0"/>
          <w:numId w:val="4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Security Ownership of Management</w:t>
      </w:r>
    </w:p>
    <w:p>
      <w:pPr>
        <w:spacing w:after="0" w:line="96"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The following table sets forth the current beneficial ownership of each class of equity securities of the Company by each Director or Nominee and by all Directors and Officers of the Company as a group as of August 15, 2007. Unless otherwise noted, the address for each of the listed persons is c/o Brady Corporation, 6555 West Good Hope Road, Milwaukee, Wisconsin 53223. Except as otherwise indicated, all shares are owned directly.</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3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Amount of</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3"/>
              </w:rPr>
              <w:t>Percent of</w:t>
            </w:r>
          </w:p>
        </w:tc>
        <w:tc>
          <w:tcPr>
            <w:tcW w:w="0" w:type="dxa"/>
            <w:vAlign w:val="bottom"/>
          </w:tcPr>
          <w:p>
            <w:pPr>
              <w:spacing w:after="0"/>
              <w:rPr>
                <w:sz w:val="1"/>
                <w:szCs w:val="1"/>
                <w:color w:val="auto"/>
              </w:rPr>
            </w:pPr>
          </w:p>
        </w:tc>
      </w:tr>
      <w:tr>
        <w:trPr>
          <w:trHeight w:val="118"/>
        </w:trPr>
        <w:tc>
          <w:tcPr>
            <w:tcW w:w="2360" w:type="dxa"/>
            <w:vAlign w:val="bottom"/>
            <w:vMerge w:val="restart"/>
          </w:tcPr>
          <w:p>
            <w:pPr>
              <w:jc w:val="right"/>
              <w:ind w:right="1699"/>
              <w:spacing w:after="0"/>
              <w:rPr>
                <w:sz w:val="20"/>
                <w:szCs w:val="20"/>
                <w:color w:val="auto"/>
              </w:rPr>
            </w:pPr>
            <w:r>
              <w:rPr>
                <w:rFonts w:ascii="Arial" w:cs="Arial" w:eastAsia="Arial" w:hAnsi="Arial"/>
                <w:sz w:val="10"/>
                <w:szCs w:val="10"/>
                <w:b w:val="1"/>
                <w:bCs w:val="1"/>
                <w:color w:val="auto"/>
                <w:w w:val="93"/>
              </w:rPr>
              <w:t>Title of Class</w:t>
            </w:r>
          </w:p>
        </w:tc>
        <w:tc>
          <w:tcPr>
            <w:tcW w:w="5520" w:type="dxa"/>
            <w:vAlign w:val="bottom"/>
            <w:vMerge w:val="restart"/>
          </w:tcPr>
          <w:p>
            <w:pPr>
              <w:ind w:left="16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 &amp; Nature of Beneficial Ownership</w:t>
            </w: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Beneficial</w:t>
            </w: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60" w:type="dxa"/>
            <w:vAlign w:val="bottom"/>
            <w:vMerge w:val="continue"/>
          </w:tcPr>
          <w:p>
            <w:pPr>
              <w:spacing w:after="0"/>
              <w:rPr>
                <w:sz w:val="10"/>
                <w:szCs w:val="10"/>
                <w:color w:val="auto"/>
              </w:rPr>
            </w:pPr>
          </w:p>
        </w:tc>
        <w:tc>
          <w:tcPr>
            <w:tcW w:w="5520" w:type="dxa"/>
            <w:vAlign w:val="bottom"/>
            <w:vMerge w:val="continue"/>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Ownership(7)</w:t>
            </w:r>
          </w:p>
        </w:tc>
        <w:tc>
          <w:tcPr>
            <w:tcW w:w="40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Ownership</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360" w:type="dxa"/>
            <w:vAlign w:val="bottom"/>
          </w:tcPr>
          <w:p>
            <w:pPr>
              <w:jc w:val="right"/>
              <w:ind w:right="79"/>
              <w:spacing w:after="0"/>
              <w:rPr>
                <w:sz w:val="20"/>
                <w:szCs w:val="20"/>
                <w:color w:val="auto"/>
              </w:rPr>
            </w:pPr>
            <w:r>
              <w:rPr>
                <w:rFonts w:ascii="Arial" w:cs="Arial" w:eastAsia="Arial" w:hAnsi="Arial"/>
                <w:sz w:val="13"/>
                <w:szCs w:val="13"/>
                <w:color w:val="auto"/>
              </w:rPr>
              <w:t>Class A Common Stock</w:t>
            </w:r>
          </w:p>
        </w:tc>
        <w:tc>
          <w:tcPr>
            <w:tcW w:w="5520" w:type="dxa"/>
            <w:vAlign w:val="bottom"/>
          </w:tcPr>
          <w:p>
            <w:pPr>
              <w:ind w:left="160"/>
              <w:spacing w:after="0"/>
              <w:rPr>
                <w:sz w:val="20"/>
                <w:szCs w:val="20"/>
                <w:color w:val="auto"/>
              </w:rPr>
            </w:pPr>
            <w:r>
              <w:rPr>
                <w:rFonts w:ascii="Arial" w:cs="Arial" w:eastAsia="Arial" w:hAnsi="Arial"/>
                <w:sz w:val="13"/>
                <w:szCs w:val="13"/>
                <w:color w:val="auto"/>
              </w:rPr>
              <w:t>Elizabeth P. Pungello(1)</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2,528,805</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Frank M. Jaehnert(2)</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377,557</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Thomas J. Felmer</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151,071</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David R. Hawke</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140,443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Allan J. Klotsche</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127,181</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David Mathieson</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119,338</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Michael O. Oliver</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99,303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Peter C. Sephton</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97,733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Matthew O. Williamson</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87,833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Roger D. Peirce</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62,199</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Conrad G. Goodkind</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45,716</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Richard A. Bemis</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43,000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Frank W. Harris</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40,329</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Gary E. Nei(3)</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29,665</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Robert C. Buchanan(4)</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26,234</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Frank R. Jarc</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19,000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Barbara Bolens</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18,433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Mary K. Bush</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15,000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Peter J. Lettenberger</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12,625</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Chan W. Galbato</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Robert L. Tatterson</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Patrick W. Allender(5)</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All Officers and Directors as a Group (22 persons)(6)</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5"/>
        </w:trPr>
        <w:tc>
          <w:tcPr>
            <w:tcW w:w="2360" w:type="dxa"/>
            <w:vAlign w:val="bottom"/>
          </w:tcPr>
          <w:p>
            <w:pPr>
              <w:jc w:val="right"/>
              <w:ind w:right="79"/>
              <w:spacing w:after="0"/>
              <w:rPr>
                <w:sz w:val="20"/>
                <w:szCs w:val="20"/>
                <w:color w:val="auto"/>
              </w:rPr>
            </w:pPr>
            <w:r>
              <w:rPr>
                <w:rFonts w:ascii="Arial" w:cs="Arial" w:eastAsia="Arial" w:hAnsi="Arial"/>
                <w:sz w:val="13"/>
                <w:szCs w:val="13"/>
                <w:color w:val="auto"/>
              </w:rPr>
              <w:t>Class B Common Stock</w:t>
            </w:r>
          </w:p>
        </w:tc>
        <w:tc>
          <w:tcPr>
            <w:tcW w:w="5520" w:type="dxa"/>
            <w:vAlign w:val="bottom"/>
          </w:tcPr>
          <w:p>
            <w:pPr>
              <w:ind w:left="160"/>
              <w:spacing w:after="0"/>
              <w:rPr>
                <w:sz w:val="20"/>
                <w:szCs w:val="20"/>
                <w:color w:val="auto"/>
              </w:rPr>
            </w:pPr>
            <w:r>
              <w:rPr>
                <w:rFonts w:ascii="Arial" w:cs="Arial" w:eastAsia="Arial" w:hAnsi="Arial"/>
                <w:sz w:val="13"/>
                <w:szCs w:val="13"/>
                <w:color w:val="auto"/>
              </w:rPr>
              <w:t>Elizabeth P. Pungello(1)</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1,769,304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-2426335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spacing w:after="0"/>
        <w:tabs>
          <w:tab w:leader="none" w:pos="11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Indicates less than one-tenth of one percent.</w:t>
      </w:r>
    </w:p>
    <w:p>
      <w:pPr>
        <w:spacing w:after="0" w:line="47" w:lineRule="exact"/>
        <w:rPr>
          <w:sz w:val="20"/>
          <w:szCs w:val="20"/>
          <w:color w:val="auto"/>
        </w:rPr>
      </w:pPr>
    </w:p>
    <w:p>
      <w:pPr>
        <w:ind w:left="1180" w:right="280" w:hanging="243"/>
        <w:spacing w:after="0" w:line="264" w:lineRule="auto"/>
        <w:tabs>
          <w:tab w:leader="none" w:pos="11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Ms. Pungello’s holdings of Class A Common Stock include 300,000 shares held jointly with her spouse and 2,216,805 shares owned by trusts for which she is a trustee and has either sole or joint dispositive and voting authority. Ms. Pungello’s holdings of Class B Common Stock include 1,769,304 shares owned by a trust over which she has sole dispositive and voting authority.</w:t>
      </w:r>
    </w:p>
    <w:p>
      <w:pPr>
        <w:spacing w:after="0" w:line="17" w:lineRule="exact"/>
        <w:rPr>
          <w:rFonts w:ascii="Arial" w:cs="Arial" w:eastAsia="Arial" w:hAnsi="Arial"/>
          <w:sz w:val="13"/>
          <w:szCs w:val="13"/>
          <w:color w:val="auto"/>
        </w:rPr>
      </w:pPr>
    </w:p>
    <w:p>
      <w:pPr>
        <w:ind w:left="1180" w:hanging="243"/>
        <w:spacing w:after="0"/>
        <w:tabs>
          <w:tab w:leader="none" w:pos="11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Of the amount reported, Mr. Jaehnert’s spouse owns 5,446 shares of Class A Common Stock directly.</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Of the amount reported, Mr. Nei owns 7,331 shares of Class A Common Stock directly (with respect to which he shares voting and investment power with his spouse).</w:t>
      </w:r>
    </w:p>
    <w:p>
      <w:pPr>
        <w:spacing w:after="0" w:line="58" w:lineRule="exact"/>
        <w:rPr>
          <w:rFonts w:ascii="Arial" w:cs="Arial" w:eastAsia="Arial" w:hAnsi="Arial"/>
          <w:sz w:val="12"/>
          <w:szCs w:val="12"/>
          <w:color w:val="auto"/>
        </w:rPr>
      </w:pPr>
    </w:p>
    <w:p>
      <w:pPr>
        <w:ind w:left="1180" w:hanging="243"/>
        <w:spacing w:after="0"/>
        <w:tabs>
          <w:tab w:leader="none" w:pos="11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Of the amount reported, Mr. Buchanan owns 14,534 shares as co-trustee of three separate trusts.</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Mr. Allender was elected to the Board of Directors in September 2007 and owned no shares of Class A Common Stock as of the reporting date.</w:t>
      </w:r>
    </w:p>
    <w:p>
      <w:pPr>
        <w:spacing w:after="0" w:line="47" w:lineRule="exact"/>
        <w:rPr>
          <w:rFonts w:ascii="Arial" w:cs="Arial" w:eastAsia="Arial" w:hAnsi="Arial"/>
          <w:sz w:val="13"/>
          <w:szCs w:val="13"/>
          <w:color w:val="auto"/>
        </w:rPr>
      </w:pPr>
    </w:p>
    <w:p>
      <w:pPr>
        <w:ind w:left="1180" w:right="60" w:hanging="243"/>
        <w:spacing w:after="0" w:line="264" w:lineRule="auto"/>
        <w:tabs>
          <w:tab w:leader="none" w:pos="11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amount shown for all officers and directors individually and as a group (22 persons) includes options to acquire a total of 1,313,021 shares of Class A Common Stock, which are currently exercisable or will be exercisable within 60 days of August 15, 2007, including the following: Ms. Pungello, 12,000 shares; Mr. Jaehnert, 368,762 shares; Mr. Felmer, 150,333 shares; Mr. Hawke, 108,333 shares; Mr. Klotsche,</w:t>
      </w:r>
    </w:p>
    <w:p>
      <w:pPr>
        <w:spacing w:after="0" w:line="26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125,167 shares; Mr. Mathieson, 113,933 shares; Mr. Oliver, 87,093 shares; Mr. Sephton, 97,333 shares; Mr. Williamson, 87,833 shares; Mr. Peirce, 23,000 shares; Mr. Goodkind,</w:t>
      </w:r>
    </w:p>
    <w:p>
      <w:pPr>
        <w:spacing w:after="0" w:line="27" w:lineRule="exact"/>
        <w:rPr>
          <w:sz w:val="20"/>
          <w:szCs w:val="20"/>
          <w:color w:val="auto"/>
        </w:rPr>
      </w:pPr>
    </w:p>
    <w:p>
      <w:pPr>
        <w:ind w:left="1000" w:right="20"/>
        <w:spacing w:after="0" w:line="258" w:lineRule="auto"/>
        <w:rPr>
          <w:sz w:val="20"/>
          <w:szCs w:val="20"/>
          <w:color w:val="auto"/>
        </w:rPr>
      </w:pPr>
      <w:r>
        <w:rPr>
          <w:rFonts w:ascii="Arial" w:cs="Arial" w:eastAsia="Arial" w:hAnsi="Arial"/>
          <w:sz w:val="13"/>
          <w:szCs w:val="13"/>
          <w:color w:val="auto"/>
        </w:rPr>
        <w:t>0 shares; Mr. Bemis, 25,000 shares; Mr. Harris, 21,000 shares; Mr. Nei, 22,334 shares; Mr. Buchanan, 10,000 shares; Mr. Jarc, 19,000 shares; Ms. Bolens, 17,900 shares; Ms. Bush, 15,000 shares; Mr. Lettenberger, 9,000 shares; Mr. Galbato, 0 shares; Mr. Tatterson, 0 shares; Mr. Allender, 0 shares. It does not include other options for Class A Common Stock which have been granted at later dates and are not exercisable within 60 days of August 15, 2007.</w:t>
      </w:r>
    </w:p>
    <w:p>
      <w:pPr>
        <w:spacing w:after="0" w:line="31" w:lineRule="exact"/>
        <w:rPr>
          <w:sz w:val="20"/>
          <w:szCs w:val="20"/>
          <w:color w:val="auto"/>
        </w:rPr>
      </w:pPr>
    </w:p>
    <w:p>
      <w:pPr>
        <w:ind w:left="1180" w:right="120" w:hanging="243"/>
        <w:spacing w:after="0" w:line="276" w:lineRule="auto"/>
        <w:tabs>
          <w:tab w:leader="none" w:pos="1180" w:val="left"/>
        </w:tabs>
        <w:numPr>
          <w:ilvl w:val="1"/>
          <w:numId w:val="50"/>
        </w:numPr>
        <w:rPr>
          <w:rFonts w:ascii="Arial" w:cs="Arial" w:eastAsia="Arial" w:hAnsi="Arial"/>
          <w:sz w:val="13"/>
          <w:szCs w:val="13"/>
          <w:color w:val="auto"/>
        </w:rPr>
      </w:pPr>
      <w:r>
        <w:rPr>
          <w:rFonts w:ascii="Arial" w:cs="Arial" w:eastAsia="Arial" w:hAnsi="Arial"/>
          <w:sz w:val="13"/>
          <w:szCs w:val="13"/>
          <w:color w:val="auto"/>
        </w:rPr>
        <w:t>In addition to the shares shown in this table, the officers and directors as a group owned the equivalent of 493,731 shares of the Company’s Class A Common Stock in its deferred compensation plans.</w:t>
      </w:r>
    </w:p>
    <w:p>
      <w:pPr>
        <w:spacing w:after="0" w:line="137" w:lineRule="exact"/>
        <w:rPr>
          <w:rFonts w:ascii="Arial" w:cs="Arial" w:eastAsia="Arial" w:hAnsi="Arial"/>
          <w:sz w:val="13"/>
          <w:szCs w:val="13"/>
          <w:color w:val="auto"/>
        </w:rPr>
      </w:pPr>
    </w:p>
    <w:p>
      <w:pPr>
        <w:ind w:left="1080" w:hanging="393"/>
        <w:spacing w:after="0"/>
        <w:tabs>
          <w:tab w:leader="none" w:pos="1080" w:val="left"/>
        </w:tabs>
        <w:numPr>
          <w:ilvl w:val="0"/>
          <w:numId w:val="5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Changes in Control</w:t>
      </w:r>
    </w:p>
    <w:p>
      <w:pPr>
        <w:spacing w:after="0" w:line="96" w:lineRule="exact"/>
        <w:rPr>
          <w:rFonts w:ascii="Arial" w:cs="Arial" w:eastAsia="Arial" w:hAnsi="Arial"/>
          <w:sz w:val="13"/>
          <w:szCs w:val="13"/>
          <w:b w:val="1"/>
          <w:bCs w:val="1"/>
          <w:i w:val="1"/>
          <w:iCs w:val="1"/>
          <w:color w:val="auto"/>
        </w:rPr>
      </w:pPr>
    </w:p>
    <w:p>
      <w:pPr>
        <w:ind w:left="1080"/>
        <w:spacing w:after="0"/>
        <w:rPr>
          <w:rFonts w:ascii="Arial" w:cs="Arial" w:eastAsia="Arial" w:hAnsi="Arial"/>
          <w:sz w:val="13"/>
          <w:szCs w:val="13"/>
          <w:b w:val="1"/>
          <w:bCs w:val="1"/>
          <w:i w:val="1"/>
          <w:iCs w:val="1"/>
          <w:color w:val="auto"/>
        </w:rPr>
      </w:pPr>
      <w:r>
        <w:rPr>
          <w:rFonts w:ascii="Arial" w:cs="Arial" w:eastAsia="Arial" w:hAnsi="Arial"/>
          <w:sz w:val="13"/>
          <w:szCs w:val="13"/>
          <w:color w:val="auto"/>
        </w:rPr>
        <w:t>No arrangements are known to the Company, which may, at a subsequent date, result in a change in control of the Company.</w:t>
      </w:r>
    </w:p>
    <w:p>
      <w:pPr>
        <w:spacing w:after="0" w:line="174" w:lineRule="exact"/>
        <w:rPr>
          <w:rFonts w:ascii="Arial" w:cs="Arial" w:eastAsia="Arial" w:hAnsi="Arial"/>
          <w:sz w:val="13"/>
          <w:szCs w:val="13"/>
          <w:b w:val="1"/>
          <w:bCs w:val="1"/>
          <w:i w:val="1"/>
          <w:iCs w:val="1"/>
          <w:color w:val="auto"/>
        </w:rPr>
      </w:pPr>
    </w:p>
    <w:p>
      <w:pPr>
        <w:ind w:left="1080" w:hanging="393"/>
        <w:spacing w:after="0"/>
        <w:tabs>
          <w:tab w:leader="none" w:pos="1080" w:val="left"/>
        </w:tabs>
        <w:numPr>
          <w:ilvl w:val="0"/>
          <w:numId w:val="5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Equity Compensation Plan Information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Number of securities</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82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4"/>
              </w:rPr>
              <w:t>Number of securities</w:t>
            </w: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remaining available for</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5"/>
              </w:rPr>
              <w:t>Weighted-average</w:t>
            </w: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future issuance under</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8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to be issued upon</w:t>
            </w:r>
          </w:p>
        </w:tc>
        <w:tc>
          <w:tcPr>
            <w:tcW w:w="14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equity compensation</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8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7"/>
              </w:rPr>
              <w:t>exercise of</w:t>
            </w:r>
          </w:p>
        </w:tc>
        <w:tc>
          <w:tcPr>
            <w:tcW w:w="140" w:type="dxa"/>
            <w:vAlign w:val="bottom"/>
          </w:tcPr>
          <w:p>
            <w:pPr>
              <w:spacing w:after="0"/>
              <w:rPr>
                <w:sz w:val="9"/>
                <w:szCs w:val="9"/>
                <w:color w:val="auto"/>
              </w:rPr>
            </w:pPr>
          </w:p>
        </w:tc>
        <w:tc>
          <w:tcPr>
            <w:tcW w:w="164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1"/>
              </w:rPr>
              <w:t>exercise price of</w:t>
            </w: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plans (excluding</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8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0"/>
              </w:rPr>
              <w:t>outstanding options,</w:t>
            </w:r>
          </w:p>
        </w:tc>
        <w:tc>
          <w:tcPr>
            <w:tcW w:w="140" w:type="dxa"/>
            <w:vAlign w:val="bottom"/>
          </w:tcPr>
          <w:p>
            <w:pPr>
              <w:spacing w:after="0"/>
              <w:rPr>
                <w:sz w:val="9"/>
                <w:szCs w:val="9"/>
                <w:color w:val="auto"/>
              </w:rPr>
            </w:pPr>
          </w:p>
        </w:tc>
        <w:tc>
          <w:tcPr>
            <w:tcW w:w="16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0"/>
              </w:rPr>
              <w:t>outstanding options,</w:t>
            </w: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securities reflected in</w:t>
            </w:r>
          </w:p>
        </w:tc>
        <w:tc>
          <w:tcPr>
            <w:tcW w:w="0" w:type="dxa"/>
            <w:vAlign w:val="bottom"/>
          </w:tcPr>
          <w:p>
            <w:pPr>
              <w:spacing w:after="0"/>
              <w:rPr>
                <w:sz w:val="1"/>
                <w:szCs w:val="1"/>
                <w:color w:val="auto"/>
              </w:rPr>
            </w:pPr>
          </w:p>
        </w:tc>
      </w:tr>
      <w:tr>
        <w:trPr>
          <w:trHeight w:val="118"/>
        </w:trPr>
        <w:tc>
          <w:tcPr>
            <w:tcW w:w="4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18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warrants and rights</w:t>
            </w:r>
          </w:p>
        </w:tc>
        <w:tc>
          <w:tcPr>
            <w:tcW w:w="140" w:type="dxa"/>
            <w:vAlign w:val="bottom"/>
          </w:tcPr>
          <w:p>
            <w:pPr>
              <w:spacing w:after="0"/>
              <w:rPr>
                <w:sz w:val="10"/>
                <w:szCs w:val="10"/>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6"/>
              </w:rPr>
              <w:t>warrants and rights</w:t>
            </w: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column (a))</w:t>
            </w:r>
          </w:p>
        </w:tc>
        <w:tc>
          <w:tcPr>
            <w:tcW w:w="0" w:type="dxa"/>
            <w:vAlign w:val="bottom"/>
          </w:tcPr>
          <w:p>
            <w:pPr>
              <w:spacing w:after="0"/>
              <w:rPr>
                <w:sz w:val="1"/>
                <w:szCs w:val="1"/>
                <w:color w:val="auto"/>
              </w:rPr>
            </w:pPr>
          </w:p>
        </w:tc>
      </w:tr>
      <w:tr>
        <w:trPr>
          <w:trHeight w:val="125"/>
        </w:trPr>
        <w:tc>
          <w:tcPr>
            <w:tcW w:w="4700" w:type="dxa"/>
            <w:vAlign w:val="bottom"/>
            <w:vMerge w:val="continue"/>
          </w:tcPr>
          <w:p>
            <w:pPr>
              <w:spacing w:after="0"/>
              <w:rPr>
                <w:sz w:val="10"/>
                <w:szCs w:val="10"/>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(a)</w:t>
            </w:r>
          </w:p>
        </w:tc>
        <w:tc>
          <w:tcPr>
            <w:tcW w:w="140" w:type="dxa"/>
            <w:vAlign w:val="bottom"/>
          </w:tcPr>
          <w:p>
            <w:pPr>
              <w:spacing w:after="0"/>
              <w:rPr>
                <w:sz w:val="10"/>
                <w:szCs w:val="10"/>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rPr>
              <w:t>(b)</w:t>
            </w: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1"/>
              </w:rPr>
              <w:t>(c)</w:t>
            </w: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4,182,739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26.36</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1,987,500</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420" w:type="dxa"/>
            <w:vAlign w:val="bottom"/>
          </w:tcPr>
          <w:p>
            <w:pPr>
              <w:jc w:val="right"/>
              <w:spacing w:after="0"/>
              <w:rPr>
                <w:sz w:val="20"/>
                <w:szCs w:val="20"/>
                <w:color w:val="auto"/>
              </w:rPr>
            </w:pPr>
            <w:r>
              <w:rPr>
                <w:rFonts w:ascii="Arial" w:cs="Arial" w:eastAsia="Arial" w:hAnsi="Arial"/>
                <w:sz w:val="13"/>
                <w:szCs w:val="13"/>
                <w:color w:val="auto"/>
              </w:rPr>
              <w:t>None</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3"/>
                <w:szCs w:val="13"/>
                <w:color w:val="auto"/>
              </w:rPr>
              <w:t>None</w:t>
            </w: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4,182,739</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26.36</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1,987,500</w:t>
            </w: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Company’s Nonqualified Stock Option Plans allow the granting of stock options to various officers, directors and other employees of the Company at prices equal to fair market value at the date of grant. The Company has reserved 300,000 and 2,000,000 shares of Class A Nonvoting Common Stock for issuance under the 2005 and 2006 Plans, respectively. Generally, options will not be exercisable until one year after the date of grant, and will be exercisable thereafter, to the extent of one-third per year and have a maximum term of ten years. In August 2003, 2004, 2005, 2006, and 2007, certain executives and key management employees were issued stock options that vest upon meeting certain financial performance conditions in addition to the vesting schedule described above. The options granted in 2003, 2004 and 2005 have a maximum term of five years and the options granted in 2006 and 2007 have a maximum term of ten years. All grants under the Option Plans are at market price on the date of the grant.</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Conrad G. Goodkind serves as the Secretary and a Director of the Company. He is a partner of Quarles &amp; Brady LLP, which provides legal services to the Company.</w:t>
      </w:r>
    </w:p>
    <w:p>
      <w:pPr>
        <w:spacing w:after="0" w:line="303"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the aggregate fees incurred for professional services by Deloitte &amp; Touche LLP and Deloitte Tax LLP during the years ended July 31, 2007 and 2006.</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Other than as set forth below, no professional services were rendered or fees billed by Deloitte &amp; Touche LLP or Deloitte Tax LLP during the years ended July 31, 2007 and 2006.</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880" w:type="dxa"/>
            <w:vAlign w:val="bottom"/>
            <w:gridSpan w:val="3"/>
          </w:tcPr>
          <w:p>
            <w:pPr>
              <w:jc w:val="right"/>
              <w:ind w:right="136"/>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Audit, audit-related and tax compliance</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Audit fees(1)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2,014</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1,495</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Audit-related fees(2)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Tax fees — compliance</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600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ind w:left="280"/>
              <w:spacing w:after="0"/>
              <w:rPr>
                <w:sz w:val="20"/>
                <w:szCs w:val="20"/>
                <w:color w:val="auto"/>
              </w:rPr>
            </w:pPr>
            <w:r>
              <w:rPr>
                <w:rFonts w:ascii="Arial" w:cs="Arial" w:eastAsia="Arial" w:hAnsi="Arial"/>
                <w:sz w:val="13"/>
                <w:szCs w:val="13"/>
                <w:i w:val="1"/>
                <w:iCs w:val="1"/>
                <w:color w:val="auto"/>
              </w:rPr>
              <w:t>Subtotal audit, audit-related and tax compliance fees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2,074</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i w:val="1"/>
                <w:iCs w:val="1"/>
                <w:color w:val="auto"/>
              </w:rPr>
              <w:t>Non-audit related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Tax fees — planning and advice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1,336</w:t>
            </w:r>
          </w:p>
        </w:tc>
        <w:tc>
          <w:tcPr>
            <w:tcW w:w="0" w:type="dxa"/>
            <w:vAlign w:val="bottom"/>
          </w:tcPr>
          <w:p>
            <w:pPr>
              <w:spacing w:after="0"/>
              <w:rPr>
                <w:sz w:val="1"/>
                <w:szCs w:val="1"/>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Other fees(3)</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195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ind w:left="280"/>
              <w:spacing w:after="0"/>
              <w:rPr>
                <w:sz w:val="20"/>
                <w:szCs w:val="20"/>
                <w:color w:val="auto"/>
              </w:rPr>
            </w:pPr>
            <w:r>
              <w:rPr>
                <w:rFonts w:ascii="Arial" w:cs="Arial" w:eastAsia="Arial" w:hAnsi="Arial"/>
                <w:sz w:val="13"/>
                <w:szCs w:val="13"/>
                <w:i w:val="1"/>
                <w:iCs w:val="1"/>
                <w:color w:val="auto"/>
              </w:rPr>
              <w:t>Subtotal non-audit related fees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1,439</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fees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4,568</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3,513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80" w:hanging="243"/>
        <w:spacing w:after="0" w:line="276" w:lineRule="auto"/>
        <w:tabs>
          <w:tab w:leader="none" w:pos="11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Audit-related fees include fees related to due diligence and employee benefit plan audits.</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All other fees include fees related to expatriate activities.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50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48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2006</w:t>
            </w:r>
          </w:p>
        </w:tc>
      </w:tr>
      <w:tr>
        <w:trPr>
          <w:trHeight w:val="185"/>
        </w:trPr>
        <w:tc>
          <w:tcPr>
            <w:tcW w:w="8500" w:type="dxa"/>
            <w:vAlign w:val="bottom"/>
          </w:tcPr>
          <w:p>
            <w:pPr>
              <w:spacing w:after="0"/>
              <w:rPr>
                <w:sz w:val="20"/>
                <w:szCs w:val="20"/>
                <w:color w:val="auto"/>
              </w:rPr>
            </w:pPr>
            <w:r>
              <w:rPr>
                <w:rFonts w:ascii="Arial" w:cs="Arial" w:eastAsia="Arial" w:hAnsi="Arial"/>
                <w:sz w:val="13"/>
                <w:szCs w:val="13"/>
                <w:color w:val="auto"/>
              </w:rPr>
              <w:t>Ratio of Tax Planning and Advice Fees and All Other Fees to Audit Fees, Audit-Related Fees and Tax Compliance Fees</w:t>
            </w: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.7 to 1</w:t>
            </w:r>
          </w:p>
        </w:tc>
        <w:tc>
          <w:tcPr>
            <w:tcW w:w="480" w:type="dxa"/>
            <w:vAlign w:val="bottom"/>
          </w:tcPr>
          <w:p>
            <w:pPr>
              <w:jc w:val="right"/>
              <w:spacing w:after="0"/>
              <w:rPr>
                <w:sz w:val="20"/>
                <w:szCs w:val="20"/>
                <w:color w:val="auto"/>
              </w:rPr>
            </w:pPr>
            <w:r>
              <w:rPr>
                <w:rFonts w:ascii="Arial" w:cs="Arial" w:eastAsia="Arial" w:hAnsi="Arial"/>
                <w:sz w:val="13"/>
                <w:szCs w:val="13"/>
                <w:color w:val="auto"/>
              </w:rPr>
              <w:t>.7 to 1</w:t>
            </w:r>
          </w:p>
        </w:tc>
      </w:tr>
    </w:tbl>
    <w:p>
      <w:pPr>
        <w:spacing w:after="0" w:line="8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Pre-Approval Policy </w:t>
      </w:r>
      <w:r>
        <w:rPr>
          <w:rFonts w:ascii="Arial" w:cs="Arial" w:eastAsia="Arial" w:hAnsi="Arial"/>
          <w:sz w:val="13"/>
          <w:szCs w:val="13"/>
          <w:color w:val="auto"/>
        </w:rPr>
        <w:t>— The services performed by the Independent Registered Public Accounting Firm (“Independent Auditors”) in fiscal 2006 and 2007 were pre-approved in</w:t>
      </w:r>
      <w:r>
        <w:rPr>
          <w:rFonts w:ascii="Arial" w:cs="Arial" w:eastAsia="Arial" w:hAnsi="Arial"/>
          <w:sz w:val="13"/>
          <w:szCs w:val="13"/>
          <w:i w:val="1"/>
          <w:iCs w:val="1"/>
          <w:color w:val="auto"/>
        </w:rPr>
        <w:t xml:space="preserve"> </w:t>
      </w:r>
      <w:r>
        <w:rPr>
          <w:rFonts w:ascii="Arial" w:cs="Arial" w:eastAsia="Arial" w:hAnsi="Arial"/>
          <w:sz w:val="13"/>
          <w:szCs w:val="13"/>
          <w:color w:val="auto"/>
        </w:rPr>
        <w:t>accordance with the pre-approval policy and procedures adopted by the Audit Committee at its November 19, 2003 meeting. The policy requires the Audit Committee to pre-approve the audit and non-audit services performed by the Independent Auditors in order to assure that the provision of such services does not impair the auditor’s independence. Unless a type of service to be performed by the Independent Auditors has received general pre-approval, it will require specific pre-approval by the Audit Committee. Any proposed services exceeding pre-approved cost levels will require specific pre-approval by the Audit Committee.</w:t>
      </w:r>
    </w:p>
    <w:p>
      <w:pPr>
        <w:spacing w:after="0" w:line="26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Item 15 (a) — The following documents are filed as part of this report:</w:t>
      </w:r>
    </w:p>
    <w:p>
      <w:pPr>
        <w:spacing w:after="0" w:line="96" w:lineRule="exact"/>
        <w:rPr>
          <w:sz w:val="20"/>
          <w:szCs w:val="20"/>
          <w:color w:val="auto"/>
        </w:rPr>
      </w:pPr>
    </w:p>
    <w:p>
      <w:pPr>
        <w:ind w:left="1760" w:right="5739" w:hanging="267"/>
        <w:spacing w:after="0" w:line="427" w:lineRule="auto"/>
        <w:tabs>
          <w:tab w:leader="none" w:pos="1791" w:val="left"/>
        </w:tabs>
        <w:numPr>
          <w:ilvl w:val="1"/>
          <w:numId w:val="53"/>
        </w:numPr>
        <w:rPr>
          <w:rFonts w:ascii="Arial" w:cs="Arial" w:eastAsia="Arial" w:hAnsi="Arial"/>
          <w:sz w:val="12"/>
          <w:szCs w:val="12"/>
          <w:color w:val="auto"/>
        </w:rPr>
      </w:pPr>
      <w:r>
        <w:rPr>
          <w:rFonts w:ascii="Arial" w:cs="Arial" w:eastAsia="Arial" w:hAnsi="Arial"/>
          <w:sz w:val="12"/>
          <w:szCs w:val="12"/>
          <w:color w:val="auto"/>
        </w:rPr>
        <w:t>&amp; 2) Consolidated Financial Statement Schedule — Schedule II Valuation and Qualifying Accounts</w:t>
      </w:r>
    </w:p>
    <w:p>
      <w:pPr>
        <w:ind w:left="1780"/>
        <w:spacing w:after="0"/>
        <w:rPr>
          <w:rFonts w:ascii="Arial" w:cs="Arial" w:eastAsia="Arial" w:hAnsi="Arial"/>
          <w:sz w:val="12"/>
          <w:szCs w:val="12"/>
          <w:color w:val="auto"/>
        </w:rPr>
      </w:pPr>
      <w:r>
        <w:rPr>
          <w:rFonts w:ascii="Arial" w:cs="Arial" w:eastAsia="Arial" w:hAnsi="Arial"/>
          <w:sz w:val="11"/>
          <w:szCs w:val="11"/>
          <w:color w:val="auto"/>
        </w:rPr>
        <w:t>All other schedules are omitted as they are not required, or the required information is shown in the consolidated financial statements or notes thereto.</w:t>
      </w:r>
    </w:p>
    <w:p>
      <w:pPr>
        <w:spacing w:after="0" w:line="119" w:lineRule="exact"/>
        <w:rPr>
          <w:rFonts w:ascii="Arial" w:cs="Arial" w:eastAsia="Arial" w:hAnsi="Arial"/>
          <w:sz w:val="12"/>
          <w:szCs w:val="12"/>
          <w:color w:val="auto"/>
        </w:rPr>
      </w:pPr>
    </w:p>
    <w:p>
      <w:pPr>
        <w:ind w:left="1620" w:hanging="151"/>
        <w:spacing w:after="0"/>
        <w:tabs>
          <w:tab w:leader="none" w:pos="16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Exhibits — See Exhibit Index at page IV-2 of this Form 10-K.</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169"/>
        </w:trPr>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40" w:type="dxa"/>
            <w:vAlign w:val="bottom"/>
          </w:tcPr>
          <w:p>
            <w:pPr>
              <w:ind w:left="342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69"/>
        </w:trPr>
        <w:tc>
          <w:tcPr>
            <w:tcW w:w="74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7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74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7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40" w:type="dxa"/>
            <w:vAlign w:val="bottom"/>
          </w:tcPr>
          <w:p>
            <w:pPr>
              <w:ind w:left="180"/>
              <w:spacing w:after="0"/>
              <w:rPr>
                <w:sz w:val="20"/>
                <w:szCs w:val="20"/>
                <w:color w:val="auto"/>
              </w:rPr>
            </w:pPr>
            <w:r>
              <w:rPr>
                <w:rFonts w:ascii="Arial" w:cs="Arial" w:eastAsia="Arial" w:hAnsi="Arial"/>
                <w:sz w:val="13"/>
                <w:szCs w:val="13"/>
                <w:color w:val="auto"/>
              </w:rPr>
              <w:t>3.1</w:t>
            </w:r>
          </w:p>
        </w:tc>
        <w:tc>
          <w:tcPr>
            <w:tcW w:w="7720" w:type="dxa"/>
            <w:vAlign w:val="bottom"/>
            <w:gridSpan w:val="2"/>
          </w:tcPr>
          <w:p>
            <w:pPr>
              <w:spacing w:after="0"/>
              <w:rPr>
                <w:sz w:val="20"/>
                <w:szCs w:val="20"/>
                <w:color w:val="auto"/>
              </w:rPr>
            </w:pPr>
            <w:r>
              <w:rPr>
                <w:rFonts w:ascii="Arial" w:cs="Arial" w:eastAsia="Arial" w:hAnsi="Arial"/>
                <w:sz w:val="13"/>
                <w:szCs w:val="13"/>
                <w:color w:val="auto"/>
              </w:rPr>
              <w:t>Restated Articles of Incorporation of Brady Corporation(1)</w:t>
            </w:r>
          </w:p>
        </w:tc>
        <w:tc>
          <w:tcPr>
            <w:tcW w:w="0" w:type="dxa"/>
            <w:vAlign w:val="bottom"/>
          </w:tcPr>
          <w:p>
            <w:pPr>
              <w:spacing w:after="0"/>
              <w:rPr>
                <w:sz w:val="1"/>
                <w:szCs w:val="1"/>
                <w:color w:val="auto"/>
              </w:rPr>
            </w:pPr>
          </w:p>
        </w:tc>
      </w:tr>
      <w:tr>
        <w:trPr>
          <w:trHeight w:val="157"/>
        </w:trPr>
        <w:tc>
          <w:tcPr>
            <w:tcW w:w="740" w:type="dxa"/>
            <w:vAlign w:val="bottom"/>
          </w:tcPr>
          <w:p>
            <w:pPr>
              <w:ind w:left="180"/>
              <w:spacing w:after="0"/>
              <w:rPr>
                <w:sz w:val="20"/>
                <w:szCs w:val="20"/>
                <w:color w:val="auto"/>
              </w:rPr>
            </w:pPr>
            <w:r>
              <w:rPr>
                <w:rFonts w:ascii="Arial" w:cs="Arial" w:eastAsia="Arial" w:hAnsi="Arial"/>
                <w:sz w:val="13"/>
                <w:szCs w:val="13"/>
                <w:color w:val="auto"/>
              </w:rPr>
              <w:t>3.2</w:t>
            </w:r>
          </w:p>
        </w:tc>
        <w:tc>
          <w:tcPr>
            <w:tcW w:w="7720" w:type="dxa"/>
            <w:vAlign w:val="bottom"/>
            <w:gridSpan w:val="2"/>
          </w:tcPr>
          <w:p>
            <w:pPr>
              <w:spacing w:after="0"/>
              <w:rPr>
                <w:sz w:val="20"/>
                <w:szCs w:val="20"/>
                <w:color w:val="auto"/>
              </w:rPr>
            </w:pPr>
            <w:r>
              <w:rPr>
                <w:rFonts w:ascii="Arial" w:cs="Arial" w:eastAsia="Arial" w:hAnsi="Arial"/>
                <w:sz w:val="13"/>
                <w:szCs w:val="13"/>
                <w:color w:val="auto"/>
              </w:rPr>
              <w:t>By-laws of Brady Corporation, as amended(2)</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w:t>
            </w:r>
          </w:p>
        </w:tc>
        <w:tc>
          <w:tcPr>
            <w:tcW w:w="7720" w:type="dxa"/>
            <w:vAlign w:val="bottom"/>
            <w:gridSpan w:val="2"/>
          </w:tcPr>
          <w:p>
            <w:pPr>
              <w:spacing w:after="0"/>
              <w:rPr>
                <w:sz w:val="20"/>
                <w:szCs w:val="20"/>
                <w:color w:val="auto"/>
              </w:rPr>
            </w:pPr>
            <w:r>
              <w:rPr>
                <w:rFonts w:ascii="Arial" w:cs="Arial" w:eastAsia="Arial" w:hAnsi="Arial"/>
                <w:sz w:val="13"/>
                <w:szCs w:val="13"/>
                <w:color w:val="auto"/>
                <w:w w:val="92"/>
              </w:rPr>
              <w:t>Form of Brady Corporation (2004) Change of Control Agreement entered into with David Mathieson, Peter Sephton, and Matthew Williamson(17)</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*10.2</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BradyGold Plan, as amended(2)</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*10.3</w:t>
            </w:r>
          </w:p>
        </w:tc>
        <w:tc>
          <w:tcPr>
            <w:tcW w:w="7720" w:type="dxa"/>
            <w:vAlign w:val="bottom"/>
            <w:gridSpan w:val="2"/>
          </w:tcPr>
          <w:p>
            <w:pPr>
              <w:spacing w:after="0"/>
              <w:rPr>
                <w:sz w:val="20"/>
                <w:szCs w:val="20"/>
                <w:color w:val="auto"/>
              </w:rPr>
            </w:pPr>
            <w:r>
              <w:rPr>
                <w:rFonts w:ascii="Arial" w:cs="Arial" w:eastAsia="Arial" w:hAnsi="Arial"/>
                <w:sz w:val="13"/>
                <w:szCs w:val="13"/>
                <w:color w:val="auto"/>
              </w:rPr>
              <w:t>Executive Additional Compensation Plan, as amended(2)</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*10.4</w:t>
            </w:r>
          </w:p>
        </w:tc>
        <w:tc>
          <w:tcPr>
            <w:tcW w:w="7720" w:type="dxa"/>
            <w:vAlign w:val="bottom"/>
            <w:gridSpan w:val="2"/>
          </w:tcPr>
          <w:p>
            <w:pPr>
              <w:spacing w:after="0"/>
              <w:rPr>
                <w:sz w:val="20"/>
                <w:szCs w:val="20"/>
                <w:color w:val="auto"/>
              </w:rPr>
            </w:pPr>
            <w:r>
              <w:rPr>
                <w:rFonts w:ascii="Arial" w:cs="Arial" w:eastAsia="Arial" w:hAnsi="Arial"/>
                <w:sz w:val="13"/>
                <w:szCs w:val="13"/>
                <w:color w:val="auto"/>
              </w:rPr>
              <w:t>Executive Deferred Compensation Plan, as amended(21)</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*10.5</w:t>
            </w:r>
          </w:p>
        </w:tc>
        <w:tc>
          <w:tcPr>
            <w:tcW w:w="7720" w:type="dxa"/>
            <w:vAlign w:val="bottom"/>
            <w:gridSpan w:val="2"/>
          </w:tcPr>
          <w:p>
            <w:pPr>
              <w:spacing w:after="0"/>
              <w:rPr>
                <w:sz w:val="20"/>
                <w:szCs w:val="20"/>
                <w:color w:val="auto"/>
              </w:rPr>
            </w:pPr>
            <w:r>
              <w:rPr>
                <w:rFonts w:ascii="Arial" w:cs="Arial" w:eastAsia="Arial" w:hAnsi="Arial"/>
                <w:sz w:val="13"/>
                <w:szCs w:val="13"/>
                <w:color w:val="auto"/>
              </w:rPr>
              <w:t>Directors’ Deferred Compensation Plan, as amended(21)</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*10.6</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1989 Non-Qualified Stock Option Plan, as amended(9)</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*10.7</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2004 Omnibus Incentive Stock Plan, as amended(9)</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*10.8</w:t>
            </w:r>
          </w:p>
        </w:tc>
        <w:tc>
          <w:tcPr>
            <w:tcW w:w="7720" w:type="dxa"/>
            <w:vAlign w:val="bottom"/>
            <w:gridSpan w:val="2"/>
          </w:tcPr>
          <w:p>
            <w:pPr>
              <w:spacing w:after="0"/>
              <w:rPr>
                <w:sz w:val="20"/>
                <w:szCs w:val="20"/>
                <w:color w:val="auto"/>
              </w:rPr>
            </w:pPr>
            <w:r>
              <w:rPr>
                <w:rFonts w:ascii="Arial" w:cs="Arial" w:eastAsia="Arial" w:hAnsi="Arial"/>
                <w:sz w:val="13"/>
                <w:szCs w:val="13"/>
                <w:color w:val="auto"/>
                <w:w w:val="99"/>
              </w:rPr>
              <w:t>Form of Brady Corporation 2004 Nonqualified Stock Option Agreement under the 2004 Omnibus Incentive Stock Plan, as amended(18)</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10.9</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Automatic Dividend Reinvestment Plan(4)</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*10.10</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2005 Nonqualified Plan for Non-employee Directors, as amended(11)</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*10.11</w:t>
            </w:r>
          </w:p>
        </w:tc>
        <w:tc>
          <w:tcPr>
            <w:tcW w:w="7720" w:type="dxa"/>
            <w:vAlign w:val="bottom"/>
            <w:gridSpan w:val="2"/>
          </w:tcPr>
          <w:p>
            <w:pPr>
              <w:spacing w:after="0"/>
              <w:rPr>
                <w:sz w:val="20"/>
                <w:szCs w:val="20"/>
                <w:color w:val="auto"/>
              </w:rPr>
            </w:pPr>
            <w:r>
              <w:rPr>
                <w:rFonts w:ascii="Arial" w:cs="Arial" w:eastAsia="Arial" w:hAnsi="Arial"/>
                <w:sz w:val="13"/>
                <w:szCs w:val="13"/>
                <w:color w:val="auto"/>
              </w:rPr>
              <w:t>Forms of Nonqualified Stock Option Agreements under 2005 Non-qualified Plan for Non-employee Directors, as amended(11)</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*10.12</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1997 Omnibus Incentive Stock Plan, as amended(9)</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*10.13</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1997 Nonqualified Stock Option Plan for Non-Employee Directors(7)</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10.14</w:t>
            </w:r>
          </w:p>
        </w:tc>
        <w:tc>
          <w:tcPr>
            <w:tcW w:w="7720" w:type="dxa"/>
            <w:vAlign w:val="bottom"/>
            <w:gridSpan w:val="2"/>
          </w:tcPr>
          <w:p>
            <w:pPr>
              <w:spacing w:after="0"/>
              <w:rPr>
                <w:sz w:val="20"/>
                <w:szCs w:val="20"/>
                <w:color w:val="auto"/>
              </w:rPr>
            </w:pPr>
            <w:r>
              <w:rPr>
                <w:rFonts w:ascii="Arial" w:cs="Arial" w:eastAsia="Arial" w:hAnsi="Arial"/>
                <w:sz w:val="13"/>
                <w:szCs w:val="13"/>
                <w:color w:val="auto"/>
              </w:rPr>
              <w:t>Revolving Credit Facility Credit Agreement(19)</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*10.15</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2006 Omnibus Incentive Stock Plan(20)</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*10.16</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Incentive Compensation Plan for Elected Corporate Officers(20)</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*10.17</w:t>
            </w:r>
          </w:p>
        </w:tc>
        <w:tc>
          <w:tcPr>
            <w:tcW w:w="7720" w:type="dxa"/>
            <w:vAlign w:val="bottom"/>
            <w:gridSpan w:val="2"/>
          </w:tcPr>
          <w:p>
            <w:pPr>
              <w:spacing w:after="0"/>
              <w:rPr>
                <w:sz w:val="20"/>
                <w:szCs w:val="20"/>
                <w:color w:val="auto"/>
              </w:rPr>
            </w:pPr>
            <w:r>
              <w:rPr>
                <w:rFonts w:ascii="Arial" w:cs="Arial" w:eastAsia="Arial" w:hAnsi="Arial"/>
                <w:sz w:val="13"/>
                <w:szCs w:val="13"/>
                <w:color w:val="auto"/>
              </w:rPr>
              <w:t>Change of Control Agreement dated January 5, 2001, between Brady Corporation and David R. Hawke(10)</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*10.18</w:t>
            </w:r>
          </w:p>
        </w:tc>
        <w:tc>
          <w:tcPr>
            <w:tcW w:w="7720" w:type="dxa"/>
            <w:vAlign w:val="bottom"/>
            <w:gridSpan w:val="2"/>
          </w:tcPr>
          <w:p>
            <w:pPr>
              <w:spacing w:after="0"/>
              <w:rPr>
                <w:sz w:val="20"/>
                <w:szCs w:val="20"/>
                <w:color w:val="auto"/>
              </w:rPr>
            </w:pPr>
            <w:r>
              <w:rPr>
                <w:rFonts w:ascii="Arial" w:cs="Arial" w:eastAsia="Arial" w:hAnsi="Arial"/>
                <w:sz w:val="13"/>
                <w:szCs w:val="13"/>
                <w:color w:val="auto"/>
              </w:rPr>
              <w:t>Complete and Permanent Release and Retirement Agreement, dated July 9, 2007, between Brady Corporation and David R. Hawke</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*10.23</w:t>
            </w:r>
          </w:p>
        </w:tc>
        <w:tc>
          <w:tcPr>
            <w:tcW w:w="7720" w:type="dxa"/>
            <w:vAlign w:val="bottom"/>
            <w:gridSpan w:val="2"/>
          </w:tcPr>
          <w:p>
            <w:pPr>
              <w:spacing w:after="0"/>
              <w:rPr>
                <w:sz w:val="20"/>
                <w:szCs w:val="20"/>
                <w:color w:val="auto"/>
              </w:rPr>
            </w:pPr>
            <w:r>
              <w:rPr>
                <w:rFonts w:ascii="Arial" w:cs="Arial" w:eastAsia="Arial" w:hAnsi="Arial"/>
                <w:sz w:val="13"/>
                <w:szCs w:val="13"/>
                <w:color w:val="auto"/>
              </w:rPr>
              <w:t>Restricted Stock Agreement dated August 1, 1997, between Brady Corporation and David R. Hawke(8)</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*10.24</w:t>
            </w:r>
          </w:p>
        </w:tc>
        <w:tc>
          <w:tcPr>
            <w:tcW w:w="7720" w:type="dxa"/>
            <w:vAlign w:val="bottom"/>
            <w:gridSpan w:val="2"/>
          </w:tcPr>
          <w:p>
            <w:pPr>
              <w:spacing w:after="0"/>
              <w:rPr>
                <w:sz w:val="20"/>
                <w:szCs w:val="20"/>
                <w:color w:val="auto"/>
              </w:rPr>
            </w:pPr>
            <w:r>
              <w:rPr>
                <w:rFonts w:ascii="Arial" w:cs="Arial" w:eastAsia="Arial" w:hAnsi="Arial"/>
                <w:sz w:val="13"/>
                <w:szCs w:val="13"/>
                <w:color w:val="auto"/>
              </w:rPr>
              <w:t>Amendment to Change of Control Agreement dated May 20, 2003, between Brady Corporation and Frank M. Jaehnert(14)</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*10.25</w:t>
            </w:r>
          </w:p>
        </w:tc>
        <w:tc>
          <w:tcPr>
            <w:tcW w:w="7720" w:type="dxa"/>
            <w:vAlign w:val="bottom"/>
            <w:gridSpan w:val="2"/>
          </w:tcPr>
          <w:p>
            <w:pPr>
              <w:spacing w:after="0"/>
              <w:rPr>
                <w:sz w:val="20"/>
                <w:szCs w:val="20"/>
                <w:color w:val="auto"/>
              </w:rPr>
            </w:pPr>
            <w:r>
              <w:rPr>
                <w:rFonts w:ascii="Arial" w:cs="Arial" w:eastAsia="Arial" w:hAnsi="Arial"/>
                <w:sz w:val="13"/>
                <w:szCs w:val="13"/>
                <w:color w:val="auto"/>
              </w:rPr>
              <w:t>Restated Brady Corporation Restoration Plan(5)</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*10.26</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2001 Omnibus Incentive Stock Plan, as amended(9)</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10.27</w:t>
            </w:r>
          </w:p>
        </w:tc>
        <w:tc>
          <w:tcPr>
            <w:tcW w:w="7720" w:type="dxa"/>
            <w:vAlign w:val="bottom"/>
            <w:gridSpan w:val="2"/>
          </w:tcPr>
          <w:p>
            <w:pPr>
              <w:spacing w:after="0"/>
              <w:rPr>
                <w:sz w:val="20"/>
                <w:szCs w:val="20"/>
                <w:color w:val="auto"/>
              </w:rPr>
            </w:pPr>
            <w:r>
              <w:rPr>
                <w:rFonts w:ascii="Arial" w:cs="Arial" w:eastAsia="Arial" w:hAnsi="Arial"/>
                <w:sz w:val="13"/>
                <w:szCs w:val="13"/>
                <w:color w:val="auto"/>
              </w:rPr>
              <w:t>Revolving Credit Facility Credit Agreement (Replaced by Exhibit 10.14)(12)</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10.28</w:t>
            </w:r>
          </w:p>
        </w:tc>
        <w:tc>
          <w:tcPr>
            <w:tcW w:w="7720" w:type="dxa"/>
            <w:vAlign w:val="bottom"/>
            <w:gridSpan w:val="2"/>
          </w:tcPr>
          <w:p>
            <w:pPr>
              <w:spacing w:after="0"/>
              <w:rPr>
                <w:sz w:val="20"/>
                <w:szCs w:val="20"/>
                <w:color w:val="auto"/>
              </w:rPr>
            </w:pPr>
            <w:r>
              <w:rPr>
                <w:rFonts w:ascii="Arial" w:cs="Arial" w:eastAsia="Arial" w:hAnsi="Arial"/>
                <w:sz w:val="13"/>
                <w:szCs w:val="13"/>
                <w:color w:val="auto"/>
              </w:rPr>
              <w:t>First Amendment to Credit Agreement (Replaced by Exhibit 10.14)(6)</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*10.29</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2003 Omnibus Incentive Stock Plan, as amended(9)</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*10.30</w:t>
            </w:r>
          </w:p>
        </w:tc>
        <w:tc>
          <w:tcPr>
            <w:tcW w:w="7720" w:type="dxa"/>
            <w:vAlign w:val="bottom"/>
            <w:gridSpan w:val="2"/>
          </w:tcPr>
          <w:p>
            <w:pPr>
              <w:spacing w:after="0"/>
              <w:rPr>
                <w:sz w:val="20"/>
                <w:szCs w:val="20"/>
                <w:color w:val="auto"/>
              </w:rPr>
            </w:pPr>
            <w:r>
              <w:rPr>
                <w:rFonts w:ascii="Arial" w:cs="Arial" w:eastAsia="Arial" w:hAnsi="Arial"/>
                <w:sz w:val="13"/>
                <w:szCs w:val="13"/>
                <w:color w:val="auto"/>
              </w:rPr>
              <w:t>Restricted Stock Agreement dated June 18, 2003, between Brady Corporation and David R. Hawke(16)</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10.34</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Note Purchase Agreement dated June 28, 2004(15)</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10.35</w:t>
            </w:r>
          </w:p>
        </w:tc>
        <w:tc>
          <w:tcPr>
            <w:tcW w:w="7720" w:type="dxa"/>
            <w:vAlign w:val="bottom"/>
            <w:gridSpan w:val="2"/>
          </w:tcPr>
          <w:p>
            <w:pPr>
              <w:spacing w:after="0"/>
              <w:rPr>
                <w:sz w:val="20"/>
                <w:szCs w:val="20"/>
                <w:color w:val="auto"/>
              </w:rPr>
            </w:pPr>
            <w:r>
              <w:rPr>
                <w:rFonts w:ascii="Arial" w:cs="Arial" w:eastAsia="Arial" w:hAnsi="Arial"/>
                <w:sz w:val="13"/>
                <w:szCs w:val="13"/>
                <w:color w:val="auto"/>
              </w:rPr>
              <w:t>First Supplement to Note Purchase Agreement, dated February 14, 2006(13)</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10.36</w:t>
            </w:r>
          </w:p>
        </w:tc>
        <w:tc>
          <w:tcPr>
            <w:tcW w:w="7720" w:type="dxa"/>
            <w:vAlign w:val="bottom"/>
            <w:gridSpan w:val="2"/>
          </w:tcPr>
          <w:p>
            <w:pPr>
              <w:spacing w:after="0"/>
              <w:rPr>
                <w:sz w:val="20"/>
                <w:szCs w:val="20"/>
                <w:color w:val="auto"/>
              </w:rPr>
            </w:pPr>
            <w:r>
              <w:rPr>
                <w:rFonts w:ascii="Arial" w:cs="Arial" w:eastAsia="Arial" w:hAnsi="Arial"/>
                <w:sz w:val="13"/>
                <w:szCs w:val="13"/>
                <w:color w:val="auto"/>
              </w:rPr>
              <w:t>Second Supplement to Note Purchase Agreement, dated March 23, 2007(5)</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21</w:t>
            </w:r>
          </w:p>
        </w:tc>
        <w:tc>
          <w:tcPr>
            <w:tcW w:w="7720" w:type="dxa"/>
            <w:vAlign w:val="bottom"/>
            <w:gridSpan w:val="2"/>
          </w:tcPr>
          <w:p>
            <w:pPr>
              <w:spacing w:after="0"/>
              <w:rPr>
                <w:sz w:val="20"/>
                <w:szCs w:val="20"/>
                <w:color w:val="auto"/>
              </w:rPr>
            </w:pPr>
            <w:r>
              <w:rPr>
                <w:rFonts w:ascii="Arial" w:cs="Arial" w:eastAsia="Arial" w:hAnsi="Arial"/>
                <w:sz w:val="13"/>
                <w:szCs w:val="13"/>
                <w:color w:val="auto"/>
              </w:rPr>
              <w:t>Subsidiaries of Brady Corporation</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23</w:t>
            </w:r>
          </w:p>
        </w:tc>
        <w:tc>
          <w:tcPr>
            <w:tcW w:w="7720" w:type="dxa"/>
            <w:vAlign w:val="bottom"/>
            <w:gridSpan w:val="2"/>
          </w:tcPr>
          <w:p>
            <w:pPr>
              <w:spacing w:after="0"/>
              <w:rPr>
                <w:sz w:val="20"/>
                <w:szCs w:val="20"/>
                <w:color w:val="auto"/>
              </w:rPr>
            </w:pPr>
            <w:r>
              <w:rPr>
                <w:rFonts w:ascii="Arial" w:cs="Arial" w:eastAsia="Arial" w:hAnsi="Arial"/>
                <w:sz w:val="13"/>
                <w:szCs w:val="13"/>
                <w:color w:val="auto"/>
              </w:rPr>
              <w:t>Consent of Deloitte &amp; Touche LLP, Independent Registered Public Accounting Firm</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31.1</w:t>
            </w:r>
          </w:p>
        </w:tc>
        <w:tc>
          <w:tcPr>
            <w:tcW w:w="7720" w:type="dxa"/>
            <w:vAlign w:val="bottom"/>
            <w:gridSpan w:val="2"/>
          </w:tcPr>
          <w:p>
            <w:pPr>
              <w:spacing w:after="0"/>
              <w:rPr>
                <w:sz w:val="20"/>
                <w:szCs w:val="20"/>
                <w:color w:val="auto"/>
              </w:rPr>
            </w:pPr>
            <w:r>
              <w:rPr>
                <w:rFonts w:ascii="Arial" w:cs="Arial" w:eastAsia="Arial" w:hAnsi="Arial"/>
                <w:sz w:val="13"/>
                <w:szCs w:val="13"/>
                <w:color w:val="auto"/>
              </w:rPr>
              <w:t>Rule 13a-14(a)/15d-14(a) Certification of Frank M. Jaehnert</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31.2</w:t>
            </w:r>
          </w:p>
        </w:tc>
        <w:tc>
          <w:tcPr>
            <w:tcW w:w="7720" w:type="dxa"/>
            <w:vAlign w:val="bottom"/>
            <w:gridSpan w:val="2"/>
          </w:tcPr>
          <w:p>
            <w:pPr>
              <w:spacing w:after="0"/>
              <w:rPr>
                <w:sz w:val="20"/>
                <w:szCs w:val="20"/>
                <w:color w:val="auto"/>
              </w:rPr>
            </w:pPr>
            <w:r>
              <w:rPr>
                <w:rFonts w:ascii="Arial" w:cs="Arial" w:eastAsia="Arial" w:hAnsi="Arial"/>
                <w:sz w:val="13"/>
                <w:szCs w:val="13"/>
                <w:color w:val="auto"/>
              </w:rPr>
              <w:t>Rule 13a-14(a)/15d-14(a) Certification of David Mathieson</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32.1</w:t>
            </w:r>
          </w:p>
        </w:tc>
        <w:tc>
          <w:tcPr>
            <w:tcW w:w="7720" w:type="dxa"/>
            <w:vAlign w:val="bottom"/>
            <w:gridSpan w:val="2"/>
          </w:tcPr>
          <w:p>
            <w:pPr>
              <w:spacing w:after="0"/>
              <w:rPr>
                <w:sz w:val="20"/>
                <w:szCs w:val="20"/>
                <w:color w:val="auto"/>
              </w:rPr>
            </w:pPr>
            <w:r>
              <w:rPr>
                <w:rFonts w:ascii="Arial" w:cs="Arial" w:eastAsia="Arial" w:hAnsi="Arial"/>
                <w:sz w:val="13"/>
                <w:szCs w:val="13"/>
                <w:color w:val="auto"/>
              </w:rPr>
              <w:t>Section 1350 Certification of Frank M. Jaehnert</w:t>
            </w:r>
          </w:p>
        </w:tc>
        <w:tc>
          <w:tcPr>
            <w:tcW w:w="0" w:type="dxa"/>
            <w:vAlign w:val="bottom"/>
          </w:tcPr>
          <w:p>
            <w:pPr>
              <w:spacing w:after="0"/>
              <w:rPr>
                <w:sz w:val="1"/>
                <w:szCs w:val="1"/>
                <w:color w:val="auto"/>
              </w:rPr>
            </w:pPr>
          </w:p>
        </w:tc>
      </w:tr>
      <w:tr>
        <w:trPr>
          <w:trHeight w:val="165"/>
        </w:trPr>
        <w:tc>
          <w:tcPr>
            <w:tcW w:w="740" w:type="dxa"/>
            <w:vAlign w:val="bottom"/>
          </w:tcPr>
          <w:p>
            <w:pPr>
              <w:ind w:left="120"/>
              <w:spacing w:after="0"/>
              <w:rPr>
                <w:sz w:val="20"/>
                <w:szCs w:val="20"/>
                <w:color w:val="auto"/>
              </w:rPr>
            </w:pPr>
            <w:r>
              <w:rPr>
                <w:rFonts w:ascii="Arial" w:cs="Arial" w:eastAsia="Arial" w:hAnsi="Arial"/>
                <w:sz w:val="13"/>
                <w:szCs w:val="13"/>
                <w:color w:val="auto"/>
              </w:rPr>
              <w:t>32.2</w:t>
            </w:r>
          </w:p>
        </w:tc>
        <w:tc>
          <w:tcPr>
            <w:tcW w:w="7720" w:type="dxa"/>
            <w:vAlign w:val="bottom"/>
            <w:gridSpan w:val="2"/>
          </w:tcPr>
          <w:p>
            <w:pPr>
              <w:spacing w:after="0"/>
              <w:rPr>
                <w:sz w:val="20"/>
                <w:szCs w:val="20"/>
                <w:color w:val="auto"/>
              </w:rPr>
            </w:pPr>
            <w:r>
              <w:rPr>
                <w:rFonts w:ascii="Arial" w:cs="Arial" w:eastAsia="Arial" w:hAnsi="Arial"/>
                <w:sz w:val="13"/>
                <w:szCs w:val="13"/>
                <w:color w:val="auto"/>
              </w:rPr>
              <w:t>Section 1350 Certification of David Mathieson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-3724910</wp:posOffset>
            </wp:positionV>
            <wp:extent cx="635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100"/>
        <w:spacing w:after="0"/>
        <w:tabs>
          <w:tab w:leader="none" w:pos="1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Management contract or compensatory plan or arrangement</w:t>
      </w:r>
    </w:p>
    <w:p>
      <w:pPr>
        <w:spacing w:after="0" w:line="29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245"/>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Incorporated by reference to Registrant’s Registration Statement No. 333-04155 on Form S-3</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Incorporated by reference to Registrant’s Current Report on Form 8-K filed September 15, 2006</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Incorporated by reference to Registrant’s Quarterly Report on Form 10-Q for the fiscal quarter ended October 31, 2005</w:t>
      </w:r>
    </w:p>
    <w:p>
      <w:pPr>
        <w:spacing w:after="0" w:line="70" w:lineRule="exact"/>
        <w:rPr>
          <w:rFonts w:ascii="Arial" w:cs="Arial" w:eastAsia="Arial" w:hAnsi="Arial"/>
          <w:sz w:val="11"/>
          <w:szCs w:val="11"/>
          <w:color w:val="auto"/>
        </w:rPr>
      </w:pPr>
    </w:p>
    <w:p>
      <w:pPr>
        <w:ind w:left="1280" w:hanging="245"/>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Incorporated by reference to Registrant’s Annual Report on Form 10-K for the fiscal year ended July 31, 1992</w:t>
      </w:r>
    </w:p>
    <w:p>
      <w:pPr>
        <w:spacing w:after="0" w:line="58" w:lineRule="exact"/>
        <w:rPr>
          <w:rFonts w:ascii="Arial" w:cs="Arial" w:eastAsia="Arial" w:hAnsi="Arial"/>
          <w:sz w:val="12"/>
          <w:szCs w:val="12"/>
          <w:color w:val="auto"/>
        </w:rPr>
      </w:pPr>
    </w:p>
    <w:p>
      <w:pPr>
        <w:ind w:left="1280" w:hanging="245"/>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Incorporated by reference to Registrant’s Current Report on Form 8-K filed March 26, 2007</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Incorporated by reference to Registrant’s Quarterly Report on Form 10-Q for the fiscal quarter ended January 31, 2006</w:t>
      </w:r>
    </w:p>
    <w:p>
      <w:pPr>
        <w:spacing w:after="0" w:line="70" w:lineRule="exact"/>
        <w:rPr>
          <w:rFonts w:ascii="Arial" w:cs="Arial" w:eastAsia="Arial" w:hAnsi="Arial"/>
          <w:sz w:val="11"/>
          <w:szCs w:val="11"/>
          <w:color w:val="auto"/>
        </w:rPr>
      </w:pPr>
    </w:p>
    <w:p>
      <w:pPr>
        <w:ind w:left="1280" w:hanging="245"/>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Incorporated by reference to Registrant’s Quarterly Report on Form 10-Q for the fiscal quarter ended April 30, 1997</w:t>
      </w:r>
    </w:p>
    <w:p>
      <w:pPr>
        <w:spacing w:after="0" w:line="58" w:lineRule="exact"/>
        <w:rPr>
          <w:rFonts w:ascii="Arial" w:cs="Arial" w:eastAsia="Arial" w:hAnsi="Arial"/>
          <w:sz w:val="12"/>
          <w:szCs w:val="12"/>
          <w:color w:val="auto"/>
        </w:rPr>
      </w:pPr>
    </w:p>
    <w:p>
      <w:pPr>
        <w:ind w:left="1280" w:hanging="245"/>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Incorporated by reference to Registrant’s Annual Report on Form 10-K for the fiscal year ended July 31, 1997</w:t>
      </w:r>
    </w:p>
    <w:p>
      <w:pPr>
        <w:spacing w:after="0" w:line="58" w:lineRule="exact"/>
        <w:rPr>
          <w:rFonts w:ascii="Arial" w:cs="Arial" w:eastAsia="Arial" w:hAnsi="Arial"/>
          <w:sz w:val="12"/>
          <w:szCs w:val="12"/>
          <w:color w:val="auto"/>
        </w:rPr>
      </w:pPr>
    </w:p>
    <w:p>
      <w:pPr>
        <w:ind w:left="1280" w:hanging="245"/>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Incorporated by reference to Registrant’s Quarterly Report on Form 10-Q for the fiscal quarter ended April 30, 2007</w:t>
      </w:r>
    </w:p>
    <w:p>
      <w:pPr>
        <w:spacing w:after="0" w:line="58" w:lineRule="exact"/>
        <w:rPr>
          <w:rFonts w:ascii="Arial" w:cs="Arial" w:eastAsia="Arial" w:hAnsi="Arial"/>
          <w:sz w:val="12"/>
          <w:szCs w:val="12"/>
          <w:color w:val="auto"/>
        </w:rPr>
      </w:pPr>
    </w:p>
    <w:p>
      <w:pPr>
        <w:ind w:left="1280" w:hanging="310"/>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Incorporated by reference to Registrant’s Annual Report on Form 10-K for the fiscal year ended July 31, 2001</w:t>
      </w:r>
    </w:p>
    <w:p>
      <w:pPr>
        <w:spacing w:after="0" w:line="58" w:lineRule="exact"/>
        <w:rPr>
          <w:rFonts w:ascii="Arial" w:cs="Arial" w:eastAsia="Arial" w:hAnsi="Arial"/>
          <w:sz w:val="12"/>
          <w:szCs w:val="12"/>
          <w:color w:val="auto"/>
        </w:rPr>
      </w:pPr>
    </w:p>
    <w:p>
      <w:pPr>
        <w:ind w:left="1280" w:hanging="305"/>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Incorporated by reference to Registrant’s Current Report on Form 8-K filed December 4, 2006</w:t>
      </w:r>
    </w:p>
    <w:p>
      <w:pPr>
        <w:spacing w:after="0" w:line="47" w:lineRule="exact"/>
        <w:rPr>
          <w:rFonts w:ascii="Arial" w:cs="Arial" w:eastAsia="Arial" w:hAnsi="Arial"/>
          <w:sz w:val="13"/>
          <w:szCs w:val="13"/>
          <w:color w:val="auto"/>
        </w:rPr>
      </w:pPr>
    </w:p>
    <w:p>
      <w:pPr>
        <w:ind w:left="1280" w:hanging="310"/>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Incorporated by reference to Registrant’s Quarterly Report on Form 10-Q for the fiscal quarter ended April 30, 2004</w:t>
      </w:r>
    </w:p>
    <w:p>
      <w:pPr>
        <w:spacing w:after="0" w:line="58" w:lineRule="exact"/>
        <w:rPr>
          <w:rFonts w:ascii="Arial" w:cs="Arial" w:eastAsia="Arial" w:hAnsi="Arial"/>
          <w:sz w:val="12"/>
          <w:szCs w:val="12"/>
          <w:color w:val="auto"/>
        </w:rPr>
      </w:pPr>
    </w:p>
    <w:p>
      <w:pPr>
        <w:ind w:left="1280" w:hanging="310"/>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Incorporated by reference to Registrant’s Current Report on Form 8-K filed February 17, 2006</w:t>
      </w:r>
    </w:p>
    <w:p>
      <w:pPr>
        <w:spacing w:after="0" w:line="47" w:lineRule="exact"/>
        <w:rPr>
          <w:rFonts w:ascii="Arial" w:cs="Arial" w:eastAsia="Arial" w:hAnsi="Arial"/>
          <w:sz w:val="13"/>
          <w:szCs w:val="13"/>
          <w:color w:val="auto"/>
        </w:rPr>
      </w:pPr>
    </w:p>
    <w:p>
      <w:pPr>
        <w:ind w:left="1280" w:hanging="310"/>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Incorporated by reference to Registrant’s Quarterly Report on Form 10-Q for the fiscal quarter ended April 30, 2003</w:t>
      </w:r>
    </w:p>
    <w:p>
      <w:pPr>
        <w:spacing w:after="0" w:line="58" w:lineRule="exact"/>
        <w:rPr>
          <w:rFonts w:ascii="Arial" w:cs="Arial" w:eastAsia="Arial" w:hAnsi="Arial"/>
          <w:sz w:val="12"/>
          <w:szCs w:val="12"/>
          <w:color w:val="auto"/>
        </w:rPr>
      </w:pPr>
    </w:p>
    <w:p>
      <w:pPr>
        <w:ind w:left="1280" w:hanging="310"/>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Incorporated by reference to Registrant’s 8-K/A filed August 3, 2004</w:t>
      </w:r>
    </w:p>
    <w:p>
      <w:pPr>
        <w:spacing w:after="0" w:line="47" w:lineRule="exact"/>
        <w:rPr>
          <w:rFonts w:ascii="Arial" w:cs="Arial" w:eastAsia="Arial" w:hAnsi="Arial"/>
          <w:sz w:val="13"/>
          <w:szCs w:val="13"/>
          <w:color w:val="auto"/>
        </w:rPr>
      </w:pPr>
    </w:p>
    <w:p>
      <w:pPr>
        <w:ind w:left="1280" w:hanging="310"/>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Incorporated by reference to Registrant’s Annual Report on Form 10-K for the fiscal year ended July 31, 2003</w:t>
      </w:r>
    </w:p>
    <w:p>
      <w:pPr>
        <w:spacing w:after="0" w:line="58" w:lineRule="exact"/>
        <w:rPr>
          <w:rFonts w:ascii="Arial" w:cs="Arial" w:eastAsia="Arial" w:hAnsi="Arial"/>
          <w:sz w:val="12"/>
          <w:szCs w:val="12"/>
          <w:color w:val="auto"/>
        </w:rPr>
      </w:pPr>
    </w:p>
    <w:p>
      <w:pPr>
        <w:ind w:left="1280" w:hanging="310"/>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Incorporated by reference to Registrant’s Current Report on Form 8-K filed November 24, 2004.</w:t>
      </w:r>
    </w:p>
    <w:p>
      <w:pPr>
        <w:spacing w:after="0" w:line="47" w:lineRule="exact"/>
        <w:rPr>
          <w:rFonts w:ascii="Arial" w:cs="Arial" w:eastAsia="Arial" w:hAnsi="Arial"/>
          <w:sz w:val="13"/>
          <w:szCs w:val="13"/>
          <w:color w:val="auto"/>
        </w:rPr>
      </w:pPr>
    </w:p>
    <w:p>
      <w:pPr>
        <w:ind w:left="1280" w:hanging="310"/>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Incorporated by reference to Registrant’s Annual Report on Form 10-K for the fiscal year ended July 31, 2005</w:t>
      </w:r>
    </w:p>
    <w:p>
      <w:pPr>
        <w:spacing w:after="0" w:line="58" w:lineRule="exact"/>
        <w:rPr>
          <w:rFonts w:ascii="Arial" w:cs="Arial" w:eastAsia="Arial" w:hAnsi="Arial"/>
          <w:sz w:val="12"/>
          <w:szCs w:val="12"/>
          <w:color w:val="auto"/>
        </w:rPr>
      </w:pPr>
    </w:p>
    <w:p>
      <w:pPr>
        <w:ind w:left="1280" w:hanging="310"/>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Incorporated by reference to Registrant’s Annual Report on Form 10-K for the fiscal year ended July 31, 2006</w:t>
      </w:r>
    </w:p>
    <w:p>
      <w:pPr>
        <w:spacing w:after="0" w:line="58" w:lineRule="exact"/>
        <w:rPr>
          <w:rFonts w:ascii="Arial" w:cs="Arial" w:eastAsia="Arial" w:hAnsi="Arial"/>
          <w:sz w:val="12"/>
          <w:szCs w:val="12"/>
          <w:color w:val="auto"/>
        </w:rPr>
      </w:pPr>
    </w:p>
    <w:p>
      <w:pPr>
        <w:ind w:left="1280" w:hanging="310"/>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Incorporated by reference to Registrant’s Current Report on Form 8-K filed November 20, 2006</w:t>
      </w:r>
    </w:p>
    <w:p>
      <w:pPr>
        <w:spacing w:after="0" w:line="47" w:lineRule="exact"/>
        <w:rPr>
          <w:rFonts w:ascii="Arial" w:cs="Arial" w:eastAsia="Arial" w:hAnsi="Arial"/>
          <w:sz w:val="13"/>
          <w:szCs w:val="13"/>
          <w:color w:val="auto"/>
        </w:rPr>
      </w:pPr>
    </w:p>
    <w:p>
      <w:pPr>
        <w:ind w:left="1280" w:hanging="310"/>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Incorporated by reference to Registrant’s Current Report on Form 8-K filed September 17, 2007</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rPr>
              <w:t>Year ended July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ind w:right="136"/>
              <w:spacing w:after="0" w:line="10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116"/>
              <w:spacing w:after="0" w:line="10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ind w:right="76"/>
              <w:spacing w:after="0" w:line="10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w w:val="96"/>
              </w:rPr>
              <w:t>(Dollars in thousands)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Valuation accounts deducted in balance sheet from assets to which they apply —</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320" w:type="dxa"/>
            <w:vAlign w:val="bottom"/>
          </w:tcPr>
          <w:p>
            <w:pPr>
              <w:ind w:left="60"/>
              <w:spacing w:after="0"/>
              <w:rPr>
                <w:sz w:val="20"/>
                <w:szCs w:val="20"/>
                <w:color w:val="auto"/>
              </w:rPr>
            </w:pPr>
            <w:r>
              <w:rPr>
                <w:rFonts w:ascii="Arial" w:cs="Arial" w:eastAsia="Arial" w:hAnsi="Arial"/>
                <w:sz w:val="13"/>
                <w:szCs w:val="13"/>
                <w:color w:val="auto"/>
              </w:rPr>
              <w:t>Accounts receivable — allowance for losses: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Balances at beginning of period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6,390</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3,869</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320" w:type="dxa"/>
            <w:vAlign w:val="bottom"/>
          </w:tcPr>
          <w:p>
            <w:pPr>
              <w:ind w:left="60"/>
              <w:spacing w:after="0"/>
              <w:rPr>
                <w:sz w:val="20"/>
                <w:szCs w:val="20"/>
                <w:color w:val="auto"/>
              </w:rPr>
            </w:pPr>
            <w:r>
              <w:rPr>
                <w:rFonts w:ascii="Arial" w:cs="Arial" w:eastAsia="Arial" w:hAnsi="Arial"/>
                <w:sz w:val="13"/>
                <w:szCs w:val="13"/>
                <w:color w:val="auto"/>
              </w:rPr>
              <w:t>Additions — Charged to expense</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3,287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1,152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1,216</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Due to acquired businesses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2,861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320" w:type="dxa"/>
            <w:vAlign w:val="bottom"/>
          </w:tcPr>
          <w:p>
            <w:pPr>
              <w:ind w:left="60"/>
              <w:spacing w:after="0"/>
              <w:rPr>
                <w:sz w:val="20"/>
                <w:szCs w:val="20"/>
                <w:color w:val="auto"/>
              </w:rPr>
            </w:pPr>
            <w:r>
              <w:rPr>
                <w:rFonts w:ascii="Arial" w:cs="Arial" w:eastAsia="Arial" w:hAnsi="Arial"/>
                <w:sz w:val="13"/>
                <w:szCs w:val="13"/>
                <w:color w:val="auto"/>
              </w:rPr>
              <w:t>Deductions — Bad debts written off, net of recoveries</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(1,228)</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(1,349)</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(1,470)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 w:type="dxa"/>
            <w:vAlign w:val="bottom"/>
            <w:shd w:val="clear" w:color="auto" w:fill="CCEEFF"/>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Balances at end of period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9,109</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3,726</w:t>
            </w: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Arial" w:cs="Arial" w:eastAsia="Arial" w:hAnsi="Arial"/>
                <w:sz w:val="13"/>
                <w:szCs w:val="13"/>
                <w:color w:val="auto"/>
              </w:rPr>
              <w:t>Inventory — reserve for slow-moving inventory:</w:t>
            </w: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CEEFF"/>
          </w:tcPr>
          <w:p>
            <w:pPr>
              <w:spacing w:after="0"/>
              <w:rPr>
                <w:sz w:val="13"/>
                <w:szCs w:val="13"/>
                <w:color w:val="auto"/>
              </w:rPr>
            </w:pPr>
          </w:p>
        </w:tc>
        <w:tc>
          <w:tcPr>
            <w:tcW w:w="7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Balances at beginning of period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13,555</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7,434</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320" w:type="dxa"/>
            <w:vAlign w:val="bottom"/>
          </w:tcPr>
          <w:p>
            <w:pPr>
              <w:ind w:left="60"/>
              <w:spacing w:after="0"/>
              <w:rPr>
                <w:sz w:val="20"/>
                <w:szCs w:val="20"/>
                <w:color w:val="auto"/>
              </w:rPr>
            </w:pPr>
            <w:r>
              <w:rPr>
                <w:rFonts w:ascii="Arial" w:cs="Arial" w:eastAsia="Arial" w:hAnsi="Arial"/>
                <w:sz w:val="13"/>
                <w:szCs w:val="13"/>
                <w:color w:val="auto"/>
              </w:rPr>
              <w:t>Additions — Charged to expense</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2,542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2,441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Due to acquired businesses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320" w:type="dxa"/>
            <w:vAlign w:val="bottom"/>
            <w:vMerge w:val="restart"/>
          </w:tcPr>
          <w:p>
            <w:pPr>
              <w:ind w:left="60"/>
              <w:spacing w:after="0"/>
              <w:rPr>
                <w:sz w:val="20"/>
                <w:szCs w:val="20"/>
                <w:color w:val="auto"/>
              </w:rPr>
            </w:pPr>
            <w:r>
              <w:rPr>
                <w:rFonts w:ascii="Arial" w:cs="Arial" w:eastAsia="Arial" w:hAnsi="Arial"/>
                <w:sz w:val="13"/>
                <w:szCs w:val="13"/>
                <w:color w:val="auto"/>
              </w:rPr>
              <w:t>Balances at end of period</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732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18,073</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13,555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8,573</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4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 this 28</w:t>
      </w:r>
      <w:r>
        <w:rPr>
          <w:rFonts w:ascii="Arial" w:cs="Arial" w:eastAsia="Arial" w:hAnsi="Arial"/>
          <w:sz w:val="11"/>
          <w:szCs w:val="11"/>
          <w:color w:val="auto"/>
        </w:rPr>
        <w:t>th</w:t>
      </w:r>
      <w:r>
        <w:rPr>
          <w:rFonts w:ascii="Arial" w:cs="Arial" w:eastAsia="Arial" w:hAnsi="Arial"/>
          <w:sz w:val="13"/>
          <w:szCs w:val="13"/>
          <w:color w:val="auto"/>
        </w:rPr>
        <w:t xml:space="preserve"> day of September 2007.</w:t>
      </w:r>
    </w:p>
    <w:p>
      <w:pPr>
        <w:spacing w:after="0" w:line="295" w:lineRule="exact"/>
        <w:rPr>
          <w:sz w:val="20"/>
          <w:szCs w:val="20"/>
          <w:color w:val="auto"/>
        </w:rPr>
      </w:pPr>
    </w:p>
    <w:tbl>
      <w:tblPr>
        <w:tblLayout w:type="fixed"/>
        <w:tblInd w:w="5580" w:type="dxa"/>
        <w:tblCellMar>
          <w:top w:w="0" w:type="dxa"/>
          <w:left w:w="0" w:type="dxa"/>
          <w:bottom w:w="0" w:type="dxa"/>
          <w:right w:w="0" w:type="dxa"/>
        </w:tblCellMar>
      </w:tblPr>
      <w:tr>
        <w:trPr>
          <w:trHeight w:val="165"/>
        </w:trPr>
        <w:tc>
          <w:tcPr>
            <w:tcW w:w="400" w:type="dxa"/>
            <w:vAlign w:val="bottom"/>
          </w:tcPr>
          <w:p>
            <w:pPr>
              <w:spacing w:after="0"/>
              <w:rPr>
                <w:sz w:val="14"/>
                <w:szCs w:val="14"/>
                <w:color w:val="auto"/>
              </w:rPr>
            </w:pPr>
          </w:p>
        </w:tc>
        <w:tc>
          <w:tcPr>
            <w:tcW w:w="5560" w:type="dxa"/>
            <w:vAlign w:val="bottom"/>
          </w:tcPr>
          <w:p>
            <w:pPr>
              <w:ind w:left="1640"/>
              <w:spacing w:after="0"/>
              <w:rPr>
                <w:sz w:val="20"/>
                <w:szCs w:val="20"/>
                <w:color w:val="auto"/>
              </w:rPr>
            </w:pPr>
            <w:r>
              <w:rPr>
                <w:rFonts w:ascii="Arial" w:cs="Arial" w:eastAsia="Arial" w:hAnsi="Arial"/>
                <w:sz w:val="13"/>
                <w:szCs w:val="13"/>
                <w:color w:val="auto"/>
              </w:rPr>
              <w:t>B</w:t>
            </w:r>
            <w:r>
              <w:rPr>
                <w:rFonts w:ascii="Arial" w:cs="Arial" w:eastAsia="Arial" w:hAnsi="Arial"/>
                <w:sz w:val="8"/>
                <w:szCs w:val="8"/>
                <w:color w:val="auto"/>
              </w:rPr>
              <w:t>RADY</w:t>
            </w:r>
            <w:r>
              <w:rPr>
                <w:rFonts w:ascii="Arial" w:cs="Arial" w:eastAsia="Arial" w:hAnsi="Arial"/>
                <w:sz w:val="13"/>
                <w:szCs w:val="13"/>
                <w:color w:val="auto"/>
              </w:rPr>
              <w:t xml:space="preserve"> C</w:t>
            </w:r>
            <w:r>
              <w:rPr>
                <w:rFonts w:ascii="Arial" w:cs="Arial" w:eastAsia="Arial" w:hAnsi="Arial"/>
                <w:sz w:val="8"/>
                <w:szCs w:val="8"/>
                <w:color w:val="auto"/>
              </w:rPr>
              <w:t>ORPORATION</w:t>
            </w:r>
          </w:p>
        </w:tc>
      </w:tr>
      <w:tr>
        <w:trPr>
          <w:trHeight w:val="802"/>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M</w:t>
            </w:r>
            <w:r>
              <w:rPr>
                <w:rFonts w:ascii="Arial" w:cs="Arial" w:eastAsia="Arial" w:hAnsi="Arial"/>
                <w:sz w:val="8"/>
                <w:szCs w:val="8"/>
                <w:color w:val="auto"/>
              </w:rPr>
              <w:t>ATHIESON</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4"/>
              </w:rPr>
              <w:t>David Mathieson</w:t>
            </w:r>
          </w:p>
        </w:tc>
      </w:tr>
      <w:tr>
        <w:trPr>
          <w:trHeight w:val="157"/>
        </w:trPr>
        <w:tc>
          <w:tcPr>
            <w:tcW w:w="400" w:type="dxa"/>
            <w:vAlign w:val="bottom"/>
          </w:tcPr>
          <w:p>
            <w:pPr>
              <w:spacing w:after="0"/>
              <w:rPr>
                <w:sz w:val="13"/>
                <w:szCs w:val="13"/>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3"/>
              </w:rPr>
              <w:t>Senior Vice President &amp; Chief Financial Officer</w:t>
            </w:r>
          </w:p>
        </w:tc>
      </w:tr>
      <w:tr>
        <w:trPr>
          <w:trHeight w:val="157"/>
        </w:trPr>
        <w:tc>
          <w:tcPr>
            <w:tcW w:w="400" w:type="dxa"/>
            <w:vAlign w:val="bottom"/>
          </w:tcPr>
          <w:p>
            <w:pPr>
              <w:spacing w:after="0"/>
              <w:rPr>
                <w:sz w:val="13"/>
                <w:szCs w:val="13"/>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5"/>
              </w:rPr>
              <w:t>(Principal Accounting Officer)</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7"/>
              </w:rPr>
              <w:t>(Principal Financial Officer)</w:t>
            </w:r>
          </w:p>
        </w:tc>
      </w:tr>
    </w:tbl>
    <w:p>
      <w:pPr>
        <w:spacing w:after="0" w:line="81"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384"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F. M. J</w:t>
            </w:r>
            <w:r>
              <w:rPr>
                <w:rFonts w:ascii="Arial" w:cs="Arial" w:eastAsia="Arial" w:hAnsi="Arial"/>
                <w:sz w:val="8"/>
                <w:szCs w:val="8"/>
                <w:color w:val="auto"/>
              </w:rPr>
              <w:t>AEHNERT</w:t>
            </w:r>
          </w:p>
        </w:tc>
        <w:tc>
          <w:tcPr>
            <w:tcW w:w="3680" w:type="dxa"/>
            <w:vAlign w:val="bottom"/>
          </w:tcPr>
          <w:p>
            <w:pPr>
              <w:jc w:val="center"/>
              <w:ind w:left="434"/>
              <w:spacing w:after="0"/>
              <w:rPr>
                <w:sz w:val="20"/>
                <w:szCs w:val="20"/>
                <w:color w:val="auto"/>
              </w:rPr>
            </w:pPr>
            <w:r>
              <w:rPr>
                <w:rFonts w:ascii="Arial" w:cs="Arial" w:eastAsia="Arial" w:hAnsi="Arial"/>
                <w:sz w:val="13"/>
                <w:szCs w:val="13"/>
                <w:color w:val="auto"/>
                <w:w w:val="91"/>
              </w:rPr>
              <w:t>President and Director</w:t>
            </w:r>
          </w:p>
        </w:tc>
        <w:tc>
          <w:tcPr>
            <w:tcW w:w="1860" w:type="dxa"/>
            <w:vAlign w:val="bottom"/>
          </w:tcPr>
          <w:p>
            <w:pPr>
              <w:ind w:left="820"/>
              <w:spacing w:after="0"/>
              <w:rPr>
                <w:sz w:val="20"/>
                <w:szCs w:val="20"/>
                <w:color w:val="auto"/>
              </w:rPr>
            </w:pPr>
            <w:r>
              <w:rPr>
                <w:rFonts w:ascii="Arial" w:cs="Arial" w:eastAsia="Arial" w:hAnsi="Arial"/>
                <w:sz w:val="13"/>
                <w:szCs w:val="13"/>
                <w:color w:val="auto"/>
                <w:w w:val="86"/>
              </w:rPr>
              <w:t>September 28, 2007</w:t>
            </w:r>
          </w:p>
        </w:tc>
      </w:tr>
      <w:tr>
        <w:trPr>
          <w:trHeight w:val="156"/>
        </w:trPr>
        <w:tc>
          <w:tcPr>
            <w:tcW w:w="4120" w:type="dxa"/>
            <w:vAlign w:val="bottom"/>
            <w:gridSpan w:val="2"/>
          </w:tcPr>
          <w:p>
            <w:pPr>
              <w:spacing w:after="0"/>
              <w:rPr>
                <w:sz w:val="20"/>
                <w:szCs w:val="20"/>
                <w:color w:val="auto"/>
              </w:rPr>
            </w:pPr>
            <w:r>
              <w:rPr>
                <w:rFonts w:ascii="Arial" w:cs="Arial" w:eastAsia="Arial" w:hAnsi="Arial"/>
                <w:sz w:val="13"/>
                <w:szCs w:val="13"/>
                <w:color w:val="auto"/>
              </w:rPr>
              <w:t>F. M. Jaehnert</w:t>
            </w:r>
          </w:p>
        </w:tc>
        <w:tc>
          <w:tcPr>
            <w:tcW w:w="3680" w:type="dxa"/>
            <w:vAlign w:val="bottom"/>
          </w:tcPr>
          <w:p>
            <w:pPr>
              <w:jc w:val="center"/>
              <w:ind w:left="414"/>
              <w:spacing w:after="0" w:line="145" w:lineRule="exact"/>
              <w:rPr>
                <w:sz w:val="20"/>
                <w:szCs w:val="20"/>
                <w:color w:val="auto"/>
              </w:rPr>
            </w:pPr>
            <w:r>
              <w:rPr>
                <w:rFonts w:ascii="Arial" w:cs="Arial" w:eastAsia="Arial" w:hAnsi="Arial"/>
                <w:sz w:val="13"/>
                <w:szCs w:val="13"/>
                <w:color w:val="auto"/>
                <w:w w:val="94"/>
              </w:rPr>
              <w:t>(Principal Executive Officer)</w:t>
            </w:r>
          </w:p>
        </w:tc>
        <w:tc>
          <w:tcPr>
            <w:tcW w:w="186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P. J. L</w:t>
            </w:r>
            <w:r>
              <w:rPr>
                <w:rFonts w:ascii="Arial" w:cs="Arial" w:eastAsia="Arial" w:hAnsi="Arial"/>
                <w:sz w:val="8"/>
                <w:szCs w:val="8"/>
                <w:color w:val="auto"/>
              </w:rPr>
              <w:t>ETTENBERGER</w:t>
            </w:r>
          </w:p>
        </w:tc>
        <w:tc>
          <w:tcPr>
            <w:tcW w:w="368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1860" w:type="dxa"/>
            <w:vAlign w:val="bottom"/>
          </w:tcPr>
          <w:p>
            <w:pPr>
              <w:ind w:left="820"/>
              <w:spacing w:after="0"/>
              <w:rPr>
                <w:sz w:val="20"/>
                <w:szCs w:val="20"/>
                <w:color w:val="auto"/>
              </w:rPr>
            </w:pPr>
            <w:r>
              <w:rPr>
                <w:rFonts w:ascii="Arial" w:cs="Arial" w:eastAsia="Arial" w:hAnsi="Arial"/>
                <w:sz w:val="13"/>
                <w:szCs w:val="13"/>
                <w:color w:val="auto"/>
                <w:w w:val="86"/>
              </w:rPr>
              <w:t>September 28, 2007</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P. J. Lettenberger</w:t>
            </w:r>
          </w:p>
        </w:tc>
        <w:tc>
          <w:tcPr>
            <w:tcW w:w="36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R. A. B</w:t>
            </w:r>
            <w:r>
              <w:rPr>
                <w:rFonts w:ascii="Arial" w:cs="Arial" w:eastAsia="Arial" w:hAnsi="Arial"/>
                <w:sz w:val="8"/>
                <w:szCs w:val="8"/>
                <w:color w:val="auto"/>
              </w:rPr>
              <w:t>EMIS</w:t>
            </w:r>
          </w:p>
        </w:tc>
        <w:tc>
          <w:tcPr>
            <w:tcW w:w="368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1860" w:type="dxa"/>
            <w:vAlign w:val="bottom"/>
          </w:tcPr>
          <w:p>
            <w:pPr>
              <w:ind w:left="820"/>
              <w:spacing w:after="0"/>
              <w:rPr>
                <w:sz w:val="20"/>
                <w:szCs w:val="20"/>
                <w:color w:val="auto"/>
              </w:rPr>
            </w:pPr>
            <w:r>
              <w:rPr>
                <w:rFonts w:ascii="Arial" w:cs="Arial" w:eastAsia="Arial" w:hAnsi="Arial"/>
                <w:sz w:val="13"/>
                <w:szCs w:val="13"/>
                <w:color w:val="auto"/>
                <w:w w:val="86"/>
              </w:rPr>
              <w:t>September 28, 2007</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R. A. Bemis</w:t>
            </w:r>
          </w:p>
        </w:tc>
        <w:tc>
          <w:tcPr>
            <w:tcW w:w="36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F. W. H</w:t>
            </w:r>
            <w:r>
              <w:rPr>
                <w:rFonts w:ascii="Arial" w:cs="Arial" w:eastAsia="Arial" w:hAnsi="Arial"/>
                <w:sz w:val="8"/>
                <w:szCs w:val="8"/>
                <w:color w:val="auto"/>
              </w:rPr>
              <w:t>ARRIS</w:t>
            </w:r>
          </w:p>
        </w:tc>
        <w:tc>
          <w:tcPr>
            <w:tcW w:w="368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1860" w:type="dxa"/>
            <w:vAlign w:val="bottom"/>
          </w:tcPr>
          <w:p>
            <w:pPr>
              <w:ind w:left="820"/>
              <w:spacing w:after="0"/>
              <w:rPr>
                <w:sz w:val="20"/>
                <w:szCs w:val="20"/>
                <w:color w:val="auto"/>
              </w:rPr>
            </w:pPr>
            <w:r>
              <w:rPr>
                <w:rFonts w:ascii="Arial" w:cs="Arial" w:eastAsia="Arial" w:hAnsi="Arial"/>
                <w:sz w:val="13"/>
                <w:szCs w:val="13"/>
                <w:color w:val="auto"/>
                <w:w w:val="86"/>
              </w:rPr>
              <w:t>September 28, 2007</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F. W. Harris</w:t>
            </w:r>
          </w:p>
        </w:tc>
        <w:tc>
          <w:tcPr>
            <w:tcW w:w="36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R. C. B</w:t>
            </w:r>
            <w:r>
              <w:rPr>
                <w:rFonts w:ascii="Arial" w:cs="Arial" w:eastAsia="Arial" w:hAnsi="Arial"/>
                <w:sz w:val="8"/>
                <w:szCs w:val="8"/>
                <w:color w:val="auto"/>
              </w:rPr>
              <w:t>UCHANAN</w:t>
            </w:r>
          </w:p>
        </w:tc>
        <w:tc>
          <w:tcPr>
            <w:tcW w:w="368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1860" w:type="dxa"/>
            <w:vAlign w:val="bottom"/>
          </w:tcPr>
          <w:p>
            <w:pPr>
              <w:ind w:left="820"/>
              <w:spacing w:after="0"/>
              <w:rPr>
                <w:sz w:val="20"/>
                <w:szCs w:val="20"/>
                <w:color w:val="auto"/>
              </w:rPr>
            </w:pPr>
            <w:r>
              <w:rPr>
                <w:rFonts w:ascii="Arial" w:cs="Arial" w:eastAsia="Arial" w:hAnsi="Arial"/>
                <w:sz w:val="13"/>
                <w:szCs w:val="13"/>
                <w:color w:val="auto"/>
                <w:w w:val="86"/>
              </w:rPr>
              <w:t>September 28, 2007</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R. C. Buchanan</w:t>
            </w:r>
          </w:p>
        </w:tc>
        <w:tc>
          <w:tcPr>
            <w:tcW w:w="36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R. D. P</w:t>
            </w:r>
            <w:r>
              <w:rPr>
                <w:rFonts w:ascii="Arial" w:cs="Arial" w:eastAsia="Arial" w:hAnsi="Arial"/>
                <w:sz w:val="8"/>
                <w:szCs w:val="8"/>
                <w:color w:val="auto"/>
              </w:rPr>
              <w:t>EIRCE</w:t>
            </w:r>
          </w:p>
        </w:tc>
        <w:tc>
          <w:tcPr>
            <w:tcW w:w="368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1860" w:type="dxa"/>
            <w:vAlign w:val="bottom"/>
          </w:tcPr>
          <w:p>
            <w:pPr>
              <w:ind w:left="820"/>
              <w:spacing w:after="0"/>
              <w:rPr>
                <w:sz w:val="20"/>
                <w:szCs w:val="20"/>
                <w:color w:val="auto"/>
              </w:rPr>
            </w:pPr>
            <w:r>
              <w:rPr>
                <w:rFonts w:ascii="Arial" w:cs="Arial" w:eastAsia="Arial" w:hAnsi="Arial"/>
                <w:sz w:val="13"/>
                <w:szCs w:val="13"/>
                <w:color w:val="auto"/>
                <w:w w:val="86"/>
              </w:rPr>
              <w:t>September 28, 2007</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R. D. Peirce</w:t>
            </w:r>
          </w:p>
        </w:tc>
        <w:tc>
          <w:tcPr>
            <w:tcW w:w="36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G. E. N</w:t>
            </w:r>
            <w:r>
              <w:rPr>
                <w:rFonts w:ascii="Arial" w:cs="Arial" w:eastAsia="Arial" w:hAnsi="Arial"/>
                <w:sz w:val="8"/>
                <w:szCs w:val="8"/>
                <w:color w:val="auto"/>
              </w:rPr>
              <w:t>EI</w:t>
            </w:r>
          </w:p>
        </w:tc>
        <w:tc>
          <w:tcPr>
            <w:tcW w:w="368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1860" w:type="dxa"/>
            <w:vAlign w:val="bottom"/>
          </w:tcPr>
          <w:p>
            <w:pPr>
              <w:ind w:left="820"/>
              <w:spacing w:after="0"/>
              <w:rPr>
                <w:sz w:val="20"/>
                <w:szCs w:val="20"/>
                <w:color w:val="auto"/>
              </w:rPr>
            </w:pPr>
            <w:r>
              <w:rPr>
                <w:rFonts w:ascii="Arial" w:cs="Arial" w:eastAsia="Arial" w:hAnsi="Arial"/>
                <w:sz w:val="13"/>
                <w:szCs w:val="13"/>
                <w:color w:val="auto"/>
                <w:w w:val="86"/>
              </w:rPr>
              <w:t>September 28, 2007</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G. E. Nei</w:t>
            </w:r>
          </w:p>
        </w:tc>
        <w:tc>
          <w:tcPr>
            <w:tcW w:w="36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306"/>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M. K. B</w:t>
            </w:r>
            <w:r>
              <w:rPr>
                <w:rFonts w:ascii="Arial" w:cs="Arial" w:eastAsia="Arial" w:hAnsi="Arial"/>
                <w:sz w:val="8"/>
                <w:szCs w:val="8"/>
                <w:color w:val="auto"/>
              </w:rPr>
              <w:t>USH</w:t>
            </w:r>
          </w:p>
        </w:tc>
        <w:tc>
          <w:tcPr>
            <w:tcW w:w="368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1860" w:type="dxa"/>
            <w:vAlign w:val="bottom"/>
          </w:tcPr>
          <w:p>
            <w:pPr>
              <w:ind w:left="820"/>
              <w:spacing w:after="0"/>
              <w:rPr>
                <w:sz w:val="20"/>
                <w:szCs w:val="20"/>
                <w:color w:val="auto"/>
              </w:rPr>
            </w:pPr>
            <w:r>
              <w:rPr>
                <w:rFonts w:ascii="Arial" w:cs="Arial" w:eastAsia="Arial" w:hAnsi="Arial"/>
                <w:sz w:val="13"/>
                <w:szCs w:val="13"/>
                <w:color w:val="auto"/>
                <w:w w:val="86"/>
              </w:rPr>
              <w:t>September 28, 2007</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M. K. Bush</w:t>
            </w:r>
          </w:p>
        </w:tc>
        <w:tc>
          <w:tcPr>
            <w:tcW w:w="36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F. R. J</w:t>
            </w:r>
            <w:r>
              <w:rPr>
                <w:rFonts w:ascii="Arial" w:cs="Arial" w:eastAsia="Arial" w:hAnsi="Arial"/>
                <w:sz w:val="8"/>
                <w:szCs w:val="8"/>
                <w:color w:val="auto"/>
              </w:rPr>
              <w:t>ARC</w:t>
            </w:r>
          </w:p>
        </w:tc>
        <w:tc>
          <w:tcPr>
            <w:tcW w:w="368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1860" w:type="dxa"/>
            <w:vAlign w:val="bottom"/>
          </w:tcPr>
          <w:p>
            <w:pPr>
              <w:ind w:left="820"/>
              <w:spacing w:after="0"/>
              <w:rPr>
                <w:sz w:val="20"/>
                <w:szCs w:val="20"/>
                <w:color w:val="auto"/>
              </w:rPr>
            </w:pPr>
            <w:r>
              <w:rPr>
                <w:rFonts w:ascii="Arial" w:cs="Arial" w:eastAsia="Arial" w:hAnsi="Arial"/>
                <w:sz w:val="13"/>
                <w:szCs w:val="13"/>
                <w:color w:val="auto"/>
                <w:w w:val="86"/>
              </w:rPr>
              <w:t>September 28, 2007</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F. R. Jarc</w:t>
            </w:r>
          </w:p>
        </w:tc>
        <w:tc>
          <w:tcPr>
            <w:tcW w:w="36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E. P. P</w:t>
            </w:r>
            <w:r>
              <w:rPr>
                <w:rFonts w:ascii="Arial" w:cs="Arial" w:eastAsia="Arial" w:hAnsi="Arial"/>
                <w:sz w:val="8"/>
                <w:szCs w:val="8"/>
                <w:color w:val="auto"/>
              </w:rPr>
              <w:t>UNGELLO</w:t>
            </w:r>
          </w:p>
        </w:tc>
        <w:tc>
          <w:tcPr>
            <w:tcW w:w="368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1860" w:type="dxa"/>
            <w:vAlign w:val="bottom"/>
          </w:tcPr>
          <w:p>
            <w:pPr>
              <w:ind w:left="820"/>
              <w:spacing w:after="0"/>
              <w:rPr>
                <w:sz w:val="20"/>
                <w:szCs w:val="20"/>
                <w:color w:val="auto"/>
              </w:rPr>
            </w:pPr>
            <w:r>
              <w:rPr>
                <w:rFonts w:ascii="Arial" w:cs="Arial" w:eastAsia="Arial" w:hAnsi="Arial"/>
                <w:sz w:val="13"/>
                <w:szCs w:val="13"/>
                <w:color w:val="auto"/>
                <w:w w:val="86"/>
              </w:rPr>
              <w:t>September 28, 2007</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E. P. Pungello</w:t>
            </w:r>
          </w:p>
        </w:tc>
        <w:tc>
          <w:tcPr>
            <w:tcW w:w="3680" w:type="dxa"/>
            <w:vAlign w:val="bottom"/>
          </w:tcPr>
          <w:p>
            <w:pPr>
              <w:spacing w:after="0"/>
              <w:rPr>
                <w:sz w:val="13"/>
                <w:szCs w:val="13"/>
                <w:color w:val="auto"/>
              </w:rPr>
            </w:pPr>
          </w:p>
        </w:tc>
        <w:tc>
          <w:tcPr>
            <w:tcW w:w="1860" w:type="dxa"/>
            <w:vAlign w:val="bottom"/>
          </w:tcPr>
          <w:p>
            <w:pPr>
              <w:spacing w:after="0"/>
              <w:rPr>
                <w:sz w:val="13"/>
                <w:szCs w:val="13"/>
                <w:color w:val="auto"/>
              </w:rPr>
            </w:pPr>
          </w:p>
        </w:tc>
      </w:tr>
    </w:tbl>
    <w:p>
      <w:pPr>
        <w:spacing w:after="0" w:line="269"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IV-5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95"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 W. G</w:t>
            </w:r>
            <w:r>
              <w:rPr>
                <w:rFonts w:ascii="Arial" w:cs="Arial" w:eastAsia="Arial" w:hAnsi="Arial"/>
                <w:sz w:val="8"/>
                <w:szCs w:val="8"/>
                <w:color w:val="auto"/>
              </w:rPr>
              <w:t>ALBATO</w:t>
            </w:r>
          </w:p>
        </w:tc>
        <w:tc>
          <w:tcPr>
            <w:tcW w:w="3400" w:type="dxa"/>
            <w:vAlign w:val="bottom"/>
          </w:tcPr>
          <w:p>
            <w:pPr>
              <w:ind w:left="1860"/>
              <w:spacing w:after="0"/>
              <w:rPr>
                <w:sz w:val="20"/>
                <w:szCs w:val="20"/>
                <w:color w:val="auto"/>
              </w:rPr>
            </w:pPr>
            <w:r>
              <w:rPr>
                <w:rFonts w:ascii="Arial" w:cs="Arial" w:eastAsia="Arial" w:hAnsi="Arial"/>
                <w:sz w:val="13"/>
                <w:szCs w:val="13"/>
                <w:color w:val="auto"/>
              </w:rPr>
              <w:t>Director</w:t>
            </w:r>
          </w:p>
        </w:tc>
        <w:tc>
          <w:tcPr>
            <w:tcW w:w="2140" w:type="dxa"/>
            <w:vAlign w:val="bottom"/>
          </w:tcPr>
          <w:p>
            <w:pPr>
              <w:ind w:left="1100"/>
              <w:spacing w:after="0"/>
              <w:rPr>
                <w:sz w:val="20"/>
                <w:szCs w:val="20"/>
                <w:color w:val="auto"/>
              </w:rPr>
            </w:pPr>
            <w:r>
              <w:rPr>
                <w:rFonts w:ascii="Arial" w:cs="Arial" w:eastAsia="Arial" w:hAnsi="Arial"/>
                <w:sz w:val="13"/>
                <w:szCs w:val="13"/>
                <w:color w:val="auto"/>
                <w:w w:val="86"/>
              </w:rPr>
              <w:t>September 28, 2007</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C. W. Galbato</w:t>
            </w:r>
          </w:p>
        </w:tc>
        <w:tc>
          <w:tcPr>
            <w:tcW w:w="340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301"/>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 G. G</w:t>
            </w:r>
            <w:r>
              <w:rPr>
                <w:rFonts w:ascii="Arial" w:cs="Arial" w:eastAsia="Arial" w:hAnsi="Arial"/>
                <w:sz w:val="8"/>
                <w:szCs w:val="8"/>
                <w:color w:val="auto"/>
              </w:rPr>
              <w:t>OODKIND</w:t>
            </w:r>
          </w:p>
        </w:tc>
        <w:tc>
          <w:tcPr>
            <w:tcW w:w="3400" w:type="dxa"/>
            <w:vAlign w:val="bottom"/>
          </w:tcPr>
          <w:p>
            <w:pPr>
              <w:ind w:left="1860"/>
              <w:spacing w:after="0"/>
              <w:rPr>
                <w:sz w:val="20"/>
                <w:szCs w:val="20"/>
                <w:color w:val="auto"/>
              </w:rPr>
            </w:pPr>
            <w:r>
              <w:rPr>
                <w:rFonts w:ascii="Arial" w:cs="Arial" w:eastAsia="Arial" w:hAnsi="Arial"/>
                <w:sz w:val="13"/>
                <w:szCs w:val="13"/>
                <w:color w:val="auto"/>
              </w:rPr>
              <w:t>Director</w:t>
            </w:r>
          </w:p>
        </w:tc>
        <w:tc>
          <w:tcPr>
            <w:tcW w:w="2140" w:type="dxa"/>
            <w:vAlign w:val="bottom"/>
          </w:tcPr>
          <w:p>
            <w:pPr>
              <w:ind w:left="1100"/>
              <w:spacing w:after="0"/>
              <w:rPr>
                <w:sz w:val="20"/>
                <w:szCs w:val="20"/>
                <w:color w:val="auto"/>
              </w:rPr>
            </w:pPr>
            <w:r>
              <w:rPr>
                <w:rFonts w:ascii="Arial" w:cs="Arial" w:eastAsia="Arial" w:hAnsi="Arial"/>
                <w:sz w:val="13"/>
                <w:szCs w:val="13"/>
                <w:color w:val="auto"/>
                <w:w w:val="86"/>
              </w:rPr>
              <w:t>September 28, 2007</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C. G. Goodkind</w:t>
            </w:r>
          </w:p>
        </w:tc>
        <w:tc>
          <w:tcPr>
            <w:tcW w:w="340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301"/>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 W. A</w:t>
            </w:r>
            <w:r>
              <w:rPr>
                <w:rFonts w:ascii="Arial" w:cs="Arial" w:eastAsia="Arial" w:hAnsi="Arial"/>
                <w:sz w:val="8"/>
                <w:szCs w:val="8"/>
                <w:color w:val="auto"/>
              </w:rPr>
              <w:t>LLENDER</w:t>
            </w:r>
          </w:p>
        </w:tc>
        <w:tc>
          <w:tcPr>
            <w:tcW w:w="3400" w:type="dxa"/>
            <w:vAlign w:val="bottom"/>
          </w:tcPr>
          <w:p>
            <w:pPr>
              <w:ind w:left="1860"/>
              <w:spacing w:after="0"/>
              <w:rPr>
                <w:sz w:val="20"/>
                <w:szCs w:val="20"/>
                <w:color w:val="auto"/>
              </w:rPr>
            </w:pPr>
            <w:r>
              <w:rPr>
                <w:rFonts w:ascii="Arial" w:cs="Arial" w:eastAsia="Arial" w:hAnsi="Arial"/>
                <w:sz w:val="13"/>
                <w:szCs w:val="13"/>
                <w:color w:val="auto"/>
              </w:rPr>
              <w:t>Director</w:t>
            </w:r>
          </w:p>
        </w:tc>
        <w:tc>
          <w:tcPr>
            <w:tcW w:w="2140" w:type="dxa"/>
            <w:vAlign w:val="bottom"/>
          </w:tcPr>
          <w:p>
            <w:pPr>
              <w:ind w:left="1100"/>
              <w:spacing w:after="0"/>
              <w:rPr>
                <w:sz w:val="20"/>
                <w:szCs w:val="20"/>
                <w:color w:val="auto"/>
              </w:rPr>
            </w:pPr>
            <w:r>
              <w:rPr>
                <w:rFonts w:ascii="Arial" w:cs="Arial" w:eastAsia="Arial" w:hAnsi="Arial"/>
                <w:sz w:val="13"/>
                <w:szCs w:val="13"/>
                <w:color w:val="auto"/>
                <w:w w:val="86"/>
              </w:rPr>
              <w:t>September 28, 2007</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P. W. Allender</w:t>
            </w:r>
          </w:p>
        </w:tc>
        <w:tc>
          <w:tcPr>
            <w:tcW w:w="340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434"/>
        </w:trPr>
        <w:tc>
          <w:tcPr>
            <w:tcW w:w="4120" w:type="dxa"/>
            <w:vAlign w:val="bottom"/>
          </w:tcPr>
          <w:p>
            <w:pPr>
              <w:spacing w:after="0"/>
              <w:rPr>
                <w:sz w:val="24"/>
                <w:szCs w:val="24"/>
                <w:color w:val="auto"/>
              </w:rPr>
            </w:pPr>
          </w:p>
        </w:tc>
        <w:tc>
          <w:tcPr>
            <w:tcW w:w="3400" w:type="dxa"/>
            <w:vAlign w:val="bottom"/>
          </w:tcPr>
          <w:p>
            <w:pPr>
              <w:ind w:left="760"/>
              <w:spacing w:after="0"/>
              <w:rPr>
                <w:sz w:val="20"/>
                <w:szCs w:val="20"/>
                <w:color w:val="auto"/>
              </w:rPr>
            </w:pPr>
            <w:r>
              <w:rPr>
                <w:rFonts w:ascii="Arial" w:cs="Arial" w:eastAsia="Arial" w:hAnsi="Arial"/>
                <w:sz w:val="13"/>
                <w:szCs w:val="13"/>
                <w:color w:val="auto"/>
              </w:rPr>
              <w:t>IV-6</w:t>
            </w:r>
          </w:p>
        </w:tc>
        <w:tc>
          <w:tcPr>
            <w:tcW w:w="2140" w:type="dxa"/>
            <w:vAlign w:val="bottom"/>
          </w:tcPr>
          <w:p>
            <w:pPr>
              <w:spacing w:after="0"/>
              <w:rPr>
                <w:sz w:val="24"/>
                <w:szCs w:val="24"/>
                <w:color w:val="auto"/>
              </w:rPr>
            </w:pPr>
          </w:p>
        </w:tc>
      </w:tr>
    </w:tbl>
    <w:p>
      <w:pPr>
        <w:sectPr>
          <w:pgSz w:w="11900" w:h="16838" w:orient="portrait"/>
          <w:cols w:equalWidth="0" w:num="1">
            <w:col w:w="10340"/>
          </w:cols>
          <w:pgMar w:left="220" w:top="343" w:right="1339" w:bottom="1440" w:gutter="0" w:footer="0" w:header="0"/>
        </w:sectPr>
      </w:pPr>
    </w:p>
    <w:bookmarkStart w:id="95" w:name="page96"/>
    <w:bookmarkEnd w:id="95"/>
    <w:p>
      <w:pPr>
        <w:jc w:val="right"/>
        <w:spacing w:after="0"/>
        <w:rPr>
          <w:sz w:val="20"/>
          <w:szCs w:val="20"/>
          <w:color w:val="auto"/>
        </w:rPr>
      </w:pPr>
      <w:r>
        <w:rPr>
          <w:rFonts w:ascii="Arial" w:cs="Arial" w:eastAsia="Arial" w:hAnsi="Arial"/>
          <w:sz w:val="13"/>
          <w:szCs w:val="13"/>
          <w:b w:val="1"/>
          <w:bCs w:val="1"/>
          <w:color w:val="auto"/>
        </w:rPr>
        <w:t>EXHIBIT 10.18</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COMPLETE AND PERMANENT RELEASE AND RETIREMENT AGREEMENT</w:t>
      </w:r>
    </w:p>
    <w:p>
      <w:pPr>
        <w:spacing w:after="0" w:line="90" w:lineRule="exact"/>
        <w:rPr>
          <w:sz w:val="20"/>
          <w:szCs w:val="20"/>
          <w:color w:val="auto"/>
        </w:rPr>
      </w:pPr>
    </w:p>
    <w:p>
      <w:pPr>
        <w:ind w:right="400" w:firstLine="164"/>
        <w:spacing w:after="0" w:line="276" w:lineRule="auto"/>
        <w:rPr>
          <w:sz w:val="20"/>
          <w:szCs w:val="20"/>
          <w:color w:val="auto"/>
        </w:rPr>
      </w:pPr>
      <w:r>
        <w:rPr>
          <w:rFonts w:ascii="Arial" w:cs="Arial" w:eastAsia="Arial" w:hAnsi="Arial"/>
          <w:sz w:val="13"/>
          <w:szCs w:val="13"/>
          <w:color w:val="auto"/>
        </w:rPr>
        <w:t>Mr. David R. Hawke (“Mr. Hawke”) and Brady Corporation (“the Company”) hereby enter into this Complete and Permanent Release and Retirement Agreement to resolve all matters relating to Mr. Hawke’s employment with and retirement from the Company. Mr. Hawke and the Company hereby agree as follows:</w:t>
      </w:r>
    </w:p>
    <w:p>
      <w:pPr>
        <w:spacing w:after="0" w:line="49" w:lineRule="exact"/>
        <w:rPr>
          <w:sz w:val="20"/>
          <w:szCs w:val="20"/>
          <w:color w:val="auto"/>
        </w:rPr>
      </w:pPr>
    </w:p>
    <w:p>
      <w:pPr>
        <w:ind w:firstLine="162"/>
        <w:spacing w:after="0" w:line="280" w:lineRule="auto"/>
        <w:tabs>
          <w:tab w:leader="none" w:pos="295" w:val="left"/>
        </w:tabs>
        <w:numPr>
          <w:ilvl w:val="0"/>
          <w:numId w:val="56"/>
        </w:numPr>
        <w:rPr>
          <w:rFonts w:ascii="Arial" w:cs="Arial" w:eastAsia="Arial" w:hAnsi="Arial"/>
          <w:sz w:val="12"/>
          <w:szCs w:val="12"/>
          <w:color w:val="auto"/>
        </w:rPr>
      </w:pPr>
      <w:r>
        <w:rPr>
          <w:rFonts w:ascii="Arial" w:cs="Arial" w:eastAsia="Arial" w:hAnsi="Arial"/>
          <w:sz w:val="12"/>
          <w:szCs w:val="12"/>
          <w:color w:val="auto"/>
        </w:rPr>
        <w:t>Effective September 30, 2007, Mr. Hawke’s current position as Executive Vice President of Brady Corporation will be eliminated. As of that date, Mr. Hawke will remain an employee of Brady, but will assume the position of Chief Operating Officer of the Brady Foundation, and shall perform the customary duties associated with that position and other duties as may be assigned to him from time to time. Assuming Mr. Hawke accepts this Agreement and does not revoke it, the Company will pay Mr. Hawke his normal base salary (less required withholding), and customary fringe benefits (except as noted below), from October 1, 2007 through his retirement on September 30, 2009, as a transition payment. Mr. Hawke’s employment with the Company will irrevocably terminate through his retirement on September 30, 2009 (the “termination date”). During the period from August 1, 2007, through September 30, 2009, Mr. Hawke will not receive a new Company vehicle, but will be entitled to retain his current vehicle without charge to him when the lease expires. If it expires prior to September 30, 2009, the Company will reimburse Mr. Hawke for any tax consequences associated with the transfer of that vehicle to him. Mr. Hawke’s termination date shall be deemed to be the “Qualifying Event” for insurance continuation purposes under state and federal law. As of August 1, 2007, Mr. Hawke shall no longer be entitled to participate in the Brady Corporation Non-Qualified Stock Option Agreement (“Stock Option Agreement”), but he shall have all rights, with respect to the vesting and exercising of stock options, as outlined in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96" w:name="page97"/>
    <w:bookmarkEnd w:id="96"/>
    <w:p>
      <w:pPr>
        <w:spacing w:after="0"/>
        <w:rPr>
          <w:sz w:val="20"/>
          <w:szCs w:val="20"/>
          <w:color w:val="auto"/>
        </w:rPr>
      </w:pPr>
      <w:r>
        <w:rPr>
          <w:rFonts w:ascii="Arial" w:cs="Arial" w:eastAsia="Arial" w:hAnsi="Arial"/>
          <w:sz w:val="11"/>
          <w:szCs w:val="11"/>
          <w:color w:val="auto"/>
        </w:rPr>
        <w:t>stock options agreements he has previously received. As of August 1, 2007, Mr. Hawke shall no longer be eligible to participate in any bonus plans, but he shall have all rights with respect to the Fiscal 2007 bonus plan.</w:t>
      </w:r>
    </w:p>
    <w:p>
      <w:pPr>
        <w:spacing w:after="0" w:line="109" w:lineRule="exact"/>
        <w:rPr>
          <w:sz w:val="20"/>
          <w:szCs w:val="20"/>
          <w:color w:val="auto"/>
        </w:rPr>
      </w:pPr>
    </w:p>
    <w:p>
      <w:pPr>
        <w:ind w:firstLine="162"/>
        <w:spacing w:after="0" w:line="260" w:lineRule="auto"/>
        <w:tabs>
          <w:tab w:leader="none" w:pos="295" w:val="left"/>
        </w:tabs>
        <w:numPr>
          <w:ilvl w:val="0"/>
          <w:numId w:val="57"/>
        </w:numPr>
        <w:rPr>
          <w:rFonts w:ascii="Arial" w:cs="Arial" w:eastAsia="Arial" w:hAnsi="Arial"/>
          <w:sz w:val="13"/>
          <w:szCs w:val="13"/>
          <w:color w:val="auto"/>
        </w:rPr>
      </w:pPr>
      <w:r>
        <w:rPr>
          <w:rFonts w:ascii="Arial" w:cs="Arial" w:eastAsia="Arial" w:hAnsi="Arial"/>
          <w:sz w:val="13"/>
          <w:szCs w:val="13"/>
          <w:color w:val="auto"/>
        </w:rPr>
        <w:t>Mr. Hawke acknowledges that the Company is under no pre-existing obligation to pay him any of the transition payments or benefits described above, and that no amounts are due and owing Mr. Hawke other than vested benefits to which he is otherwise entitled (“vested benefits”). The parties agree that the foregoing constitute all of the payments and benefits to be provided to Mr. Hawke under this Agreement, and that they are in full settlement of all payments and benefits, including but not limited to, claims for wages, vacation pay, sick pay, bonuses, commissions, relocation costs, severance payments, stock options, or any other compensation.</w:t>
      </w:r>
    </w:p>
    <w:p>
      <w:pPr>
        <w:spacing w:after="0" w:line="59" w:lineRule="exact"/>
        <w:rPr>
          <w:rFonts w:ascii="Arial" w:cs="Arial" w:eastAsia="Arial" w:hAnsi="Arial"/>
          <w:sz w:val="13"/>
          <w:szCs w:val="13"/>
          <w:color w:val="auto"/>
        </w:rPr>
      </w:pPr>
    </w:p>
    <w:p>
      <w:pPr>
        <w:ind w:right="40" w:firstLine="162"/>
        <w:spacing w:after="0" w:line="285" w:lineRule="auto"/>
        <w:tabs>
          <w:tab w:leader="none" w:pos="295" w:val="left"/>
        </w:tabs>
        <w:numPr>
          <w:ilvl w:val="0"/>
          <w:numId w:val="57"/>
        </w:numPr>
        <w:rPr>
          <w:rFonts w:ascii="Arial" w:cs="Arial" w:eastAsia="Arial" w:hAnsi="Arial"/>
          <w:sz w:val="12"/>
          <w:szCs w:val="12"/>
          <w:color w:val="auto"/>
        </w:rPr>
      </w:pPr>
      <w:r>
        <w:rPr>
          <w:rFonts w:ascii="Arial" w:cs="Arial" w:eastAsia="Arial" w:hAnsi="Arial"/>
          <w:sz w:val="12"/>
          <w:szCs w:val="12"/>
          <w:color w:val="auto"/>
        </w:rPr>
        <w:t>During the period August 1, 2007, through September 30, 2009, Mr. Hawke’s employment with Brady shall only be terminable for cause, defined as misconduct or other wrongdoing by Mr. Hawke contrary to the interests of Brady. In the event he is terminated for cause, all compensation and benefits under this agreement shall cease. During the period from August 1, 2007 through September 30, 2009, Mr. Hawke agrees to notify Brady of any alternative job opportunities that become available to him. In the event he accepts full-time employment with an alternative employer during that time, the termination date noted above shall be accelerated to the date he commences such new employment, and he shall then be paid severance payments, at his normal base salary, from the date of commencement of such employment to September 30, 2009. However, coverage under any Brady tax qualified plan shall end as of the commencement of his alternative employment.</w:t>
      </w:r>
    </w:p>
    <w:p>
      <w:pPr>
        <w:spacing w:after="0" w:line="45" w:lineRule="exact"/>
        <w:rPr>
          <w:rFonts w:ascii="Arial" w:cs="Arial" w:eastAsia="Arial" w:hAnsi="Arial"/>
          <w:sz w:val="12"/>
          <w:szCs w:val="12"/>
          <w:color w:val="auto"/>
        </w:rPr>
      </w:pPr>
    </w:p>
    <w:p>
      <w:pPr>
        <w:ind w:left="300" w:hanging="138"/>
        <w:spacing w:after="0"/>
        <w:tabs>
          <w:tab w:leader="none" w:pos="3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Mr. Hawke agrees that his employment with the Company will irrevocably end as of his termination date, with no right of re-employment with the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97" w:name="page98"/>
    <w:bookmarkEnd w:id="97"/>
    <w:p>
      <w:pPr>
        <w:jc w:val="both"/>
        <w:ind w:firstLine="162"/>
        <w:spacing w:after="0" w:line="303" w:lineRule="auto"/>
        <w:tabs>
          <w:tab w:leader="none" w:pos="295" w:val="left"/>
        </w:tabs>
        <w:numPr>
          <w:ilvl w:val="0"/>
          <w:numId w:val="58"/>
        </w:numPr>
        <w:rPr>
          <w:rFonts w:ascii="Arial" w:cs="Arial" w:eastAsia="Arial" w:hAnsi="Arial"/>
          <w:sz w:val="11"/>
          <w:szCs w:val="11"/>
          <w:color w:val="auto"/>
        </w:rPr>
      </w:pPr>
      <w:r>
        <w:rPr>
          <w:rFonts w:ascii="Arial" w:cs="Arial" w:eastAsia="Arial" w:hAnsi="Arial"/>
          <w:sz w:val="11"/>
          <w:szCs w:val="11"/>
          <w:color w:val="auto"/>
        </w:rPr>
        <w:t xml:space="preserve">In consideration of the payments and benefits described above, and to the fullest extent allowed by law, Mr. Hawke, for himself, his spouse, heirs, successors and assigns, hereby releases and forever discharges the Company, its owners, parents, successors, affiliates, directors, officers, employees and all other representatives, from any and all charges, claims, suits and expenses (including attorneys’ fees and costs), whether known or unknown, including, but not limited to, claims of age or other discrimination, breach of contract, wrongful discharge, constructive discharge, claims under the Wisconsin Fair Employment Act, § 111.31, </w:t>
      </w:r>
      <w:r>
        <w:rPr>
          <w:rFonts w:ascii="Arial" w:cs="Arial" w:eastAsia="Arial" w:hAnsi="Arial"/>
          <w:sz w:val="11"/>
          <w:szCs w:val="11"/>
          <w:u w:val="single" w:color="auto"/>
          <w:color w:val="auto"/>
        </w:rPr>
        <w:t>et seq</w:t>
      </w:r>
      <w:r>
        <w:rPr>
          <w:rFonts w:ascii="Arial" w:cs="Arial" w:eastAsia="Arial" w:hAnsi="Arial"/>
          <w:sz w:val="11"/>
          <w:szCs w:val="11"/>
          <w:color w:val="auto"/>
        </w:rPr>
        <w:t xml:space="preserve">. </w:t>
      </w:r>
      <w:r>
        <w:rPr>
          <w:rFonts w:ascii="Arial" w:cs="Arial" w:eastAsia="Arial" w:hAnsi="Arial"/>
          <w:sz w:val="11"/>
          <w:szCs w:val="11"/>
          <w:u w:val="single" w:color="auto"/>
          <w:color w:val="auto"/>
        </w:rPr>
        <w:t>Wis</w:t>
      </w:r>
      <w:r>
        <w:rPr>
          <w:rFonts w:ascii="Arial" w:cs="Arial" w:eastAsia="Arial" w:hAnsi="Arial"/>
          <w:sz w:val="11"/>
          <w:szCs w:val="11"/>
          <w:color w:val="auto"/>
        </w:rPr>
        <w:t>.</w:t>
      </w:r>
    </w:p>
    <w:p>
      <w:pPr>
        <w:jc w:val="both"/>
        <w:ind w:right="60"/>
        <w:spacing w:after="0" w:line="258" w:lineRule="auto"/>
        <w:rPr>
          <w:rFonts w:ascii="Arial" w:cs="Arial" w:eastAsia="Arial" w:hAnsi="Arial"/>
          <w:sz w:val="11"/>
          <w:szCs w:val="11"/>
          <w:color w:val="auto"/>
        </w:rPr>
      </w:pPr>
      <w:r>
        <w:rPr>
          <w:rFonts w:ascii="Arial" w:cs="Arial" w:eastAsia="Arial" w:hAnsi="Arial"/>
          <w:sz w:val="13"/>
          <w:szCs w:val="13"/>
          <w:u w:val="single" w:color="auto"/>
          <w:color w:val="auto"/>
        </w:rPr>
        <w:t>Stats</w:t>
      </w:r>
      <w:r>
        <w:rPr>
          <w:rFonts w:ascii="Arial" w:cs="Arial" w:eastAsia="Arial" w:hAnsi="Arial"/>
          <w:sz w:val="13"/>
          <w:szCs w:val="13"/>
          <w:color w:val="auto"/>
        </w:rPr>
        <w:t xml:space="preserve">.; Title VII of The Civil Rights Act of 1964, as amended, 42 U.S.C. § 2000e, </w:t>
      </w:r>
      <w:r>
        <w:rPr>
          <w:rFonts w:ascii="Arial" w:cs="Arial" w:eastAsia="Arial" w:hAnsi="Arial"/>
          <w:sz w:val="13"/>
          <w:szCs w:val="13"/>
          <w:u w:val="single" w:color="auto"/>
          <w:color w:val="auto"/>
        </w:rPr>
        <w:t>et seq</w:t>
      </w:r>
      <w:r>
        <w:rPr>
          <w:rFonts w:ascii="Arial" w:cs="Arial" w:eastAsia="Arial" w:hAnsi="Arial"/>
          <w:sz w:val="13"/>
          <w:szCs w:val="13"/>
          <w:color w:val="auto"/>
        </w:rPr>
        <w:t xml:space="preserve">.; the Age Discrimination in Employment Act, 29 U.S.C. § 621 </w:t>
      </w:r>
      <w:r>
        <w:rPr>
          <w:rFonts w:ascii="Arial" w:cs="Arial" w:eastAsia="Arial" w:hAnsi="Arial"/>
          <w:sz w:val="13"/>
          <w:szCs w:val="13"/>
          <w:u w:val="single" w:color="auto"/>
          <w:color w:val="auto"/>
        </w:rPr>
        <w:t>et</w:t>
      </w:r>
      <w:r>
        <w:rPr>
          <w:rFonts w:ascii="Arial" w:cs="Arial" w:eastAsia="Arial" w:hAnsi="Arial"/>
          <w:sz w:val="13"/>
          <w:szCs w:val="13"/>
          <w:color w:val="auto"/>
        </w:rPr>
        <w:t xml:space="preserve">. </w:t>
      </w:r>
      <w:r>
        <w:rPr>
          <w:rFonts w:ascii="Arial" w:cs="Arial" w:eastAsia="Arial" w:hAnsi="Arial"/>
          <w:sz w:val="13"/>
          <w:szCs w:val="13"/>
          <w:u w:val="single" w:color="auto"/>
          <w:color w:val="auto"/>
        </w:rPr>
        <w:t>seq</w:t>
      </w:r>
      <w:r>
        <w:rPr>
          <w:rFonts w:ascii="Arial" w:cs="Arial" w:eastAsia="Arial" w:hAnsi="Arial"/>
          <w:sz w:val="13"/>
          <w:szCs w:val="13"/>
          <w:color w:val="auto"/>
        </w:rPr>
        <w:t>.; the common law of Wisconsin, or any other federal, state or local law relating to employment. This release includes any and all matters in connection with or relating in any way to Mr. Hawke’s employment with the Company and his retirement from the Company, provided, however, that nothing herein shall release, diminish, or otherwise affect Mr. Hawke’s vested benefits.</w:t>
      </w:r>
    </w:p>
    <w:p>
      <w:pPr>
        <w:spacing w:after="0" w:line="60" w:lineRule="exact"/>
        <w:rPr>
          <w:rFonts w:ascii="Arial" w:cs="Arial" w:eastAsia="Arial" w:hAnsi="Arial"/>
          <w:sz w:val="11"/>
          <w:szCs w:val="11"/>
          <w:color w:val="auto"/>
        </w:rPr>
      </w:pPr>
    </w:p>
    <w:p>
      <w:pPr>
        <w:ind w:right="60" w:firstLine="162"/>
        <w:spacing w:after="0" w:line="276" w:lineRule="auto"/>
        <w:tabs>
          <w:tab w:leader="none" w:pos="295" w:val="left"/>
        </w:tabs>
        <w:numPr>
          <w:ilvl w:val="0"/>
          <w:numId w:val="58"/>
        </w:numPr>
        <w:rPr>
          <w:rFonts w:ascii="Arial" w:cs="Arial" w:eastAsia="Arial" w:hAnsi="Arial"/>
          <w:sz w:val="13"/>
          <w:szCs w:val="13"/>
          <w:color w:val="auto"/>
        </w:rPr>
      </w:pPr>
      <w:r>
        <w:rPr>
          <w:rFonts w:ascii="Arial" w:cs="Arial" w:eastAsia="Arial" w:hAnsi="Arial"/>
          <w:sz w:val="13"/>
          <w:szCs w:val="13"/>
          <w:color w:val="auto"/>
        </w:rPr>
        <w:t>Mr. Hawke and the Company agree that this Complete and Permanent Release and Retirement Agreement shall not constitute an admission by the Company that it has acted wrongfully with respect to Mr. Hawke or that it has discriminated against him or against any other individual.</w:t>
      </w:r>
    </w:p>
    <w:p>
      <w:pPr>
        <w:spacing w:after="0" w:line="49" w:lineRule="exact"/>
        <w:rPr>
          <w:rFonts w:ascii="Arial" w:cs="Arial" w:eastAsia="Arial" w:hAnsi="Arial"/>
          <w:sz w:val="13"/>
          <w:szCs w:val="13"/>
          <w:color w:val="auto"/>
        </w:rPr>
      </w:pPr>
    </w:p>
    <w:p>
      <w:pPr>
        <w:jc w:val="both"/>
        <w:ind w:right="140" w:firstLine="162"/>
        <w:spacing w:after="0" w:line="264" w:lineRule="auto"/>
        <w:tabs>
          <w:tab w:leader="none" w:pos="295" w:val="left"/>
        </w:tabs>
        <w:numPr>
          <w:ilvl w:val="0"/>
          <w:numId w:val="58"/>
        </w:numPr>
        <w:rPr>
          <w:rFonts w:ascii="Arial" w:cs="Arial" w:eastAsia="Arial" w:hAnsi="Arial"/>
          <w:sz w:val="13"/>
          <w:szCs w:val="13"/>
          <w:color w:val="auto"/>
        </w:rPr>
      </w:pPr>
      <w:r>
        <w:rPr>
          <w:rFonts w:ascii="Arial" w:cs="Arial" w:eastAsia="Arial" w:hAnsi="Arial"/>
          <w:sz w:val="13"/>
          <w:szCs w:val="13"/>
          <w:color w:val="auto"/>
        </w:rPr>
        <w:t>Except as permitted below, Mr. Hawke hereby agrees to keep the terms and existence of this Complete and Permanent Release and Retirement Agreement confidential, and he agrees that he shall neither directly nor indirectly disclose the terms of this Agreement to any other person or entity except to his attorneys, tax preparers or financial advisors, and immediate family members, but only on the condition that they agree to abide by the terms of this confidentiality clause, unless compelled by law.</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98" w:name="page99"/>
    <w:bookmarkEnd w:id="98"/>
    <w:p>
      <w:pPr>
        <w:ind w:right="120" w:firstLine="162"/>
        <w:spacing w:after="0" w:line="264" w:lineRule="auto"/>
        <w:tabs>
          <w:tab w:leader="none" w:pos="295" w:val="left"/>
        </w:tabs>
        <w:numPr>
          <w:ilvl w:val="0"/>
          <w:numId w:val="59"/>
        </w:numPr>
        <w:rPr>
          <w:rFonts w:ascii="Arial" w:cs="Arial" w:eastAsia="Arial" w:hAnsi="Arial"/>
          <w:sz w:val="13"/>
          <w:szCs w:val="13"/>
          <w:color w:val="auto"/>
        </w:rPr>
      </w:pPr>
      <w:r>
        <w:rPr>
          <w:rFonts w:ascii="Arial" w:cs="Arial" w:eastAsia="Arial" w:hAnsi="Arial"/>
          <w:sz w:val="13"/>
          <w:szCs w:val="13"/>
          <w:color w:val="auto"/>
        </w:rPr>
        <w:t>Mr. Hawke agrees that at no time will he make disparaging remarks about the Company, its products or practices including, but not limited to, its personnel practices. Mr. Hawke and the Company specifically agree that the payments under paragraph 1 above shall be deemed to fully satisfy any obligation the Company may have to provide salary payments to Mr. Hawke under his January 24, 2001 Confidential Information Agreement.</w:t>
      </w:r>
    </w:p>
    <w:p>
      <w:pPr>
        <w:spacing w:after="0" w:line="57" w:lineRule="exact"/>
        <w:rPr>
          <w:rFonts w:ascii="Arial" w:cs="Arial" w:eastAsia="Arial" w:hAnsi="Arial"/>
          <w:sz w:val="13"/>
          <w:szCs w:val="13"/>
          <w:color w:val="auto"/>
        </w:rPr>
      </w:pPr>
    </w:p>
    <w:p>
      <w:pPr>
        <w:ind w:firstLine="162"/>
        <w:spacing w:after="0" w:line="258" w:lineRule="auto"/>
        <w:tabs>
          <w:tab w:leader="none" w:pos="292"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Complete and Permanent Release and Retirement Agreement sets forth the entire agreement between the parties and fully supersedes any and all prior agreements or understandings between Mr. Hawke and the Company, with the specific exception of the January 24, 2001 Confidential Information Agreement which shall remain in full force and effect, except as modified by paragraph 8 above and which shall survive Mr. Hawke’s termination of employment. Mr. Hawke acknowledges that he is hereby advised to seek legal counsel before signing this Agreement, that he has twenty-one (21) days to consider this Agreement, that upon his acceptance he has seven (7) days to revoke his acceptance, and that this Agreement will not become effective until that seven (7) day period has expired. Mr. Hawke agrees that he has read, understands and voluntarily accepts its terms. This Agreement is binding upon the parties, their successors and assigns.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40" w:type="dxa"/>
            <w:vAlign w:val="bottom"/>
          </w:tcPr>
          <w:p>
            <w:pPr>
              <w:spacing w:after="0"/>
              <w:rPr>
                <w:sz w:val="20"/>
                <w:szCs w:val="20"/>
                <w:color w:val="auto"/>
              </w:rPr>
            </w:pPr>
            <w:r>
              <w:rPr>
                <w:rFonts w:ascii="Arial" w:cs="Arial" w:eastAsia="Arial" w:hAnsi="Arial"/>
                <w:sz w:val="13"/>
                <w:szCs w:val="13"/>
                <w:color w:val="auto"/>
              </w:rPr>
              <w:t>Date July 2, 2007</w:t>
            </w:r>
          </w:p>
        </w:tc>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David R. Hawke</w:t>
            </w:r>
          </w:p>
        </w:tc>
      </w:tr>
      <w:tr>
        <w:trPr>
          <w:trHeight w:val="155"/>
        </w:trPr>
        <w:tc>
          <w:tcPr>
            <w:tcW w:w="544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David R. Hawke</w:t>
            </w:r>
          </w:p>
        </w:tc>
      </w:tr>
      <w:tr>
        <w:trPr>
          <w:trHeight w:val="463"/>
        </w:trPr>
        <w:tc>
          <w:tcPr>
            <w:tcW w:w="54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BRADY CORPORATION</w:t>
            </w:r>
          </w:p>
        </w:tc>
      </w:tr>
      <w:tr>
        <w:trPr>
          <w:trHeight w:val="315"/>
        </w:trPr>
        <w:tc>
          <w:tcPr>
            <w:tcW w:w="5440" w:type="dxa"/>
            <w:vAlign w:val="bottom"/>
          </w:tcPr>
          <w:p>
            <w:pPr>
              <w:spacing w:after="0"/>
              <w:rPr>
                <w:sz w:val="20"/>
                <w:szCs w:val="20"/>
                <w:color w:val="auto"/>
              </w:rPr>
            </w:pPr>
            <w:r>
              <w:rPr>
                <w:rFonts w:ascii="Arial" w:cs="Arial" w:eastAsia="Arial" w:hAnsi="Arial"/>
                <w:sz w:val="13"/>
                <w:szCs w:val="13"/>
                <w:color w:val="auto"/>
              </w:rPr>
              <w:t>Date July 9, 2007</w:t>
            </w:r>
          </w:p>
        </w:tc>
        <w:tc>
          <w:tcPr>
            <w:tcW w:w="4320" w:type="dxa"/>
            <w:vAlign w:val="bottom"/>
            <w:gridSpan w:val="2"/>
          </w:tcPr>
          <w:p>
            <w:pPr>
              <w:spacing w:after="0"/>
              <w:rPr>
                <w:sz w:val="20"/>
                <w:szCs w:val="20"/>
                <w:color w:val="auto"/>
              </w:rPr>
            </w:pPr>
            <w:r>
              <w:rPr>
                <w:rFonts w:ascii="Arial" w:cs="Arial" w:eastAsia="Arial" w:hAnsi="Arial"/>
                <w:sz w:val="13"/>
                <w:szCs w:val="13"/>
                <w:color w:val="auto"/>
              </w:rPr>
              <w:t>By: /s/ Michael O. Oliver</w:t>
            </w:r>
          </w:p>
        </w:tc>
      </w:tr>
      <w:tr>
        <w:trPr>
          <w:trHeight w:val="155"/>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Its Authorized Representative</w:t>
            </w:r>
          </w:p>
        </w:tc>
      </w:tr>
      <w:tr>
        <w:trPr>
          <w:trHeight w:val="601"/>
        </w:trPr>
        <w:tc>
          <w:tcPr>
            <w:tcW w:w="5440" w:type="dxa"/>
            <w:vAlign w:val="bottom"/>
          </w:tcPr>
          <w:p>
            <w:pPr>
              <w:spacing w:after="0"/>
              <w:rPr>
                <w:sz w:val="24"/>
                <w:szCs w:val="24"/>
                <w:color w:val="auto"/>
              </w:rPr>
            </w:pPr>
          </w:p>
        </w:tc>
        <w:tc>
          <w:tcPr>
            <w:tcW w:w="4320" w:type="dxa"/>
            <w:vAlign w:val="bottom"/>
            <w:gridSpan w:val="2"/>
          </w:tcPr>
          <w:p>
            <w:pPr>
              <w:ind w:left="220"/>
              <w:spacing w:after="0"/>
              <w:rPr>
                <w:sz w:val="20"/>
                <w:szCs w:val="20"/>
                <w:color w:val="auto"/>
              </w:rPr>
            </w:pPr>
            <w:r>
              <w:rPr>
                <w:rFonts w:ascii="Arial" w:cs="Arial" w:eastAsia="Arial" w:hAnsi="Arial"/>
                <w:sz w:val="13"/>
                <w:szCs w:val="13"/>
                <w:color w:val="auto"/>
              </w:rPr>
              <w:t>-4-</w:t>
            </w:r>
          </w:p>
        </w:tc>
      </w:tr>
    </w:tbl>
    <w:p>
      <w:pPr>
        <w:sectPr>
          <w:pgSz w:w="11900" w:h="16838" w:orient="portrait"/>
          <w:cols w:equalWidth="0" w:num="1">
            <w:col w:w="11420"/>
          </w:cols>
          <w:pgMar w:left="220" w:top="720" w:right="25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40" w:type="dxa"/>
            <w:vAlign w:val="bottom"/>
            <w:gridSpan w:val="3"/>
          </w:tcPr>
          <w:p>
            <w:pPr>
              <w:jc w:val="center"/>
              <w:ind w:left="474"/>
              <w:spacing w:after="0"/>
              <w:rPr>
                <w:sz w:val="20"/>
                <w:szCs w:val="20"/>
                <w:color w:val="auto"/>
              </w:rPr>
            </w:pPr>
            <w:r>
              <w:rPr>
                <w:rFonts w:ascii="Arial" w:cs="Arial" w:eastAsia="Arial" w:hAnsi="Arial"/>
                <w:sz w:val="13"/>
                <w:szCs w:val="13"/>
                <w:b w:val="1"/>
                <w:bCs w:val="1"/>
                <w:color w:val="auto"/>
                <w:w w:val="91"/>
              </w:rPr>
              <w:t>Exhibit 21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120" w:type="dxa"/>
            <w:vAlign w:val="bottom"/>
            <w:gridSpan w:val="3"/>
          </w:tcPr>
          <w:p>
            <w:pPr>
              <w:ind w:left="700"/>
              <w:spacing w:after="0"/>
              <w:rPr>
                <w:sz w:val="20"/>
                <w:szCs w:val="20"/>
                <w:color w:val="auto"/>
              </w:rPr>
            </w:pPr>
            <w:r>
              <w:rPr>
                <w:rFonts w:ascii="Arial" w:cs="Arial" w:eastAsia="Arial" w:hAnsi="Arial"/>
                <w:sz w:val="13"/>
                <w:szCs w:val="13"/>
                <w:b w:val="1"/>
                <w:bCs w:val="1"/>
                <w:color w:val="auto"/>
              </w:rPr>
              <w:t>SCHEDULE OF SUBSIDIARIES OF BRADY CORPORATION</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Percentage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500" w:type="dxa"/>
            <w:vAlign w:val="bottom"/>
            <w:vMerge w:val="restart"/>
          </w:tcPr>
          <w:p>
            <w:pPr>
              <w:ind w:left="900"/>
              <w:spacing w:after="0"/>
              <w:rPr>
                <w:sz w:val="20"/>
                <w:szCs w:val="20"/>
                <w:color w:val="auto"/>
              </w:rPr>
            </w:pPr>
            <w:r>
              <w:rPr>
                <w:rFonts w:ascii="Arial" w:cs="Arial" w:eastAsia="Arial" w:hAnsi="Arial"/>
                <w:sz w:val="10"/>
                <w:szCs w:val="10"/>
                <w:b w:val="1"/>
                <w:bCs w:val="1"/>
                <w:color w:val="auto"/>
              </w:rPr>
              <w:t>State (Country)</w:t>
            </w:r>
          </w:p>
        </w:tc>
        <w:tc>
          <w:tcPr>
            <w:tcW w:w="560" w:type="dxa"/>
            <w:vAlign w:val="bottom"/>
          </w:tcPr>
          <w:p>
            <w:pPr>
              <w:spacing w:after="0"/>
              <w:rPr>
                <w:sz w:val="9"/>
                <w:szCs w:val="9"/>
                <w:color w:val="auto"/>
              </w:rPr>
            </w:pPr>
          </w:p>
        </w:tc>
        <w:tc>
          <w:tcPr>
            <w:tcW w:w="5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6"/>
              </w:rPr>
              <w:t>of Voting</w:t>
            </w:r>
          </w:p>
        </w:tc>
        <w:tc>
          <w:tcPr>
            <w:tcW w:w="0" w:type="dxa"/>
            <w:vAlign w:val="bottom"/>
          </w:tcPr>
          <w:p>
            <w:pPr>
              <w:spacing w:after="0"/>
              <w:rPr>
                <w:sz w:val="1"/>
                <w:szCs w:val="1"/>
                <w:color w:val="auto"/>
              </w:rPr>
            </w:pPr>
          </w:p>
        </w:tc>
      </w:tr>
      <w:tr>
        <w:trPr>
          <w:trHeight w:val="108"/>
        </w:trPr>
        <w:tc>
          <w:tcPr>
            <w:tcW w:w="32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of Company</w:t>
            </w:r>
          </w:p>
        </w:tc>
        <w:tc>
          <w:tcPr>
            <w:tcW w:w="4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87"/>
              </w:rPr>
              <w:t>Securities</w:t>
            </w:r>
          </w:p>
        </w:tc>
        <w:tc>
          <w:tcPr>
            <w:tcW w:w="0" w:type="dxa"/>
            <w:vAlign w:val="bottom"/>
          </w:tcPr>
          <w:p>
            <w:pPr>
              <w:spacing w:after="0"/>
              <w:rPr>
                <w:sz w:val="1"/>
                <w:szCs w:val="1"/>
                <w:color w:val="auto"/>
              </w:rPr>
            </w:pPr>
          </w:p>
        </w:tc>
      </w:tr>
      <w:tr>
        <w:trPr>
          <w:trHeight w:val="125"/>
        </w:trPr>
        <w:tc>
          <w:tcPr>
            <w:tcW w:w="3220" w:type="dxa"/>
            <w:vAlign w:val="bottom"/>
            <w:gridSpan w:val="2"/>
            <w:vMerge w:val="continue"/>
          </w:tcPr>
          <w:p>
            <w:pPr>
              <w:spacing w:after="0"/>
              <w:rPr>
                <w:sz w:val="10"/>
                <w:szCs w:val="10"/>
                <w:color w:val="auto"/>
              </w:rPr>
            </w:pPr>
          </w:p>
        </w:tc>
        <w:tc>
          <w:tcPr>
            <w:tcW w:w="4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500" w:type="dxa"/>
            <w:vAlign w:val="bottom"/>
          </w:tcPr>
          <w:p>
            <w:pPr>
              <w:ind w:left="880"/>
              <w:spacing w:after="0"/>
              <w:rPr>
                <w:sz w:val="20"/>
                <w:szCs w:val="20"/>
                <w:color w:val="auto"/>
              </w:rPr>
            </w:pPr>
            <w:r>
              <w:rPr>
                <w:rFonts w:ascii="Arial" w:cs="Arial" w:eastAsia="Arial" w:hAnsi="Arial"/>
                <w:sz w:val="10"/>
                <w:szCs w:val="10"/>
                <w:b w:val="1"/>
                <w:bCs w:val="1"/>
                <w:color w:val="auto"/>
              </w:rPr>
              <w:t>of Incorporation</w:t>
            </w:r>
          </w:p>
        </w:tc>
        <w:tc>
          <w:tcPr>
            <w:tcW w:w="560" w:type="dxa"/>
            <w:vAlign w:val="bottom"/>
          </w:tcPr>
          <w:p>
            <w:pPr>
              <w:spacing w:after="0"/>
              <w:rPr>
                <w:sz w:val="10"/>
                <w:szCs w:val="10"/>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5"/>
              </w:rPr>
              <w:t>Owned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0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Brady Corporation</w:t>
            </w:r>
          </w:p>
        </w:tc>
        <w:tc>
          <w:tcPr>
            <w:tcW w:w="404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50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Wisconsin</w:t>
            </w:r>
          </w:p>
        </w:tc>
        <w:tc>
          <w:tcPr>
            <w:tcW w:w="5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3"/>
                <w:szCs w:val="13"/>
                <w:color w:val="auto"/>
                <w:w w:val="88"/>
              </w:rPr>
              <w:t>Parent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Tricor Direct Inc. —</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Delaware</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Doing Business As:</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ind w:left="280"/>
              <w:spacing w:after="0"/>
              <w:rPr>
                <w:sz w:val="20"/>
                <w:szCs w:val="20"/>
                <w:color w:val="auto"/>
              </w:rPr>
            </w:pPr>
            <w:r>
              <w:rPr>
                <w:rFonts w:ascii="Arial" w:cs="Arial" w:eastAsia="Arial" w:hAnsi="Arial"/>
                <w:sz w:val="13"/>
                <w:szCs w:val="13"/>
                <w:color w:val="auto"/>
              </w:rPr>
              <w:t>Seton</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Seton Name Plate Company</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ind w:left="280"/>
              <w:spacing w:after="0"/>
              <w:rPr>
                <w:sz w:val="20"/>
                <w:szCs w:val="20"/>
                <w:color w:val="auto"/>
              </w:rPr>
            </w:pPr>
            <w:r>
              <w:rPr>
                <w:rFonts w:ascii="Arial" w:cs="Arial" w:eastAsia="Arial" w:hAnsi="Arial"/>
                <w:sz w:val="13"/>
                <w:szCs w:val="13"/>
                <w:color w:val="auto"/>
              </w:rPr>
              <w:t>D&amp;G Sign and Label Co.</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Seton Identification Products</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Worldmark of Wisconsin Inc.</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Delaware</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Brady Investment Co.</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Nevada</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EMED Co., Inc.</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New York</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Stopware, Inc.</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California</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Permar Sytems, Inc. —</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New York</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Doing Business As Electromark</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Henryc, Inc. (U.S.)</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New York</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Oliver of New York (U.S.)</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New York</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AIO Holding Inc.</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Delaware</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Doing Business As Personnel Concepts</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AIO Acquisition Inc.</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Delaware</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TruMed Technologies, Inc.</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Minnesota</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IDenticard Systems Worldwide, Inc.</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Pennsylvania</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Brady Mexico Holding LLC</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Delaware</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Brady People Identification LLC</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Wisconsin</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Comprehensive Identification Products, Inc.</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Massachusetts</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PV Acquisitions, LLC</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Delaware</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Scafftag Inc.</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Texas</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Sorbent Products Co. Inc.</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New Jersey</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Global Sorbent Sales LLC</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New Jersey</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Brady Precision Converting, LLC</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Wisconsin</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Clement Communications, Inc.</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Pennsylvania</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Visual Wear LLC</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Massachusetts</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Brady International Sales, Inc.</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U.S. Virgin Islands</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Brady International Co.</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Wisconsin</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Brady Worldwide, Inc.</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Wisconsin</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ind w:left="120"/>
              <w:spacing w:after="0"/>
              <w:rPr>
                <w:sz w:val="20"/>
                <w:szCs w:val="20"/>
                <w:color w:val="auto"/>
              </w:rPr>
            </w:pPr>
            <w:r>
              <w:rPr>
                <w:rFonts w:ascii="Arial" w:cs="Arial" w:eastAsia="Arial" w:hAnsi="Arial"/>
                <w:sz w:val="13"/>
                <w:szCs w:val="13"/>
                <w:color w:val="auto"/>
              </w:rPr>
              <w:t>Also Doing Business As:</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Varitronic Systems</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ind w:left="280"/>
              <w:spacing w:after="0"/>
              <w:rPr>
                <w:sz w:val="20"/>
                <w:szCs w:val="20"/>
                <w:color w:val="auto"/>
              </w:rPr>
            </w:pPr>
            <w:r>
              <w:rPr>
                <w:rFonts w:ascii="Arial" w:cs="Arial" w:eastAsia="Arial" w:hAnsi="Arial"/>
                <w:sz w:val="13"/>
                <w:szCs w:val="13"/>
                <w:color w:val="auto"/>
              </w:rPr>
              <w:t>Teklynx International</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Temtec</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Brady Australia Pty. Ltd.</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Australia</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Seton Australia Pty. Ltd.</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Australia</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Accidental Health &amp; Safety Pty. Ltd.</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Australia</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Trafalgar First Aid Pty. Ltd.</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Australia</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Carroll Australasia Pty. Ltd.</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Australia</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Scafftag Australia Pty. Ltd.</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Australia</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Sorbent Products Company International BVBA</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Belgium</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W.H. Brady, N.V.</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Belgium</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W.H.B. do Brasil Ltda.</w:t>
            </w:r>
          </w:p>
        </w:tc>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Brazil</w:t>
            </w:r>
          </w:p>
        </w:tc>
        <w:tc>
          <w:tcPr>
            <w:tcW w:w="1120" w:type="dxa"/>
            <w:vAlign w:val="bottom"/>
            <w:gridSpan w:val="2"/>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Tradex do Brasil Ltda.</w:t>
            </w:r>
          </w:p>
        </w:tc>
        <w:tc>
          <w:tcPr>
            <w:tcW w:w="4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Brazil</w:t>
            </w:r>
          </w:p>
        </w:tc>
        <w:tc>
          <w:tcPr>
            <w:tcW w:w="11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6"/>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15"/>
        </w:trPr>
        <w:tc>
          <w:tcPr>
            <w:tcW w:w="7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2"/>
              </w:rPr>
              <w:t>Percentage</w:t>
            </w:r>
          </w:p>
        </w:tc>
        <w:tc>
          <w:tcPr>
            <w:tcW w:w="0" w:type="dxa"/>
            <w:vAlign w:val="bottom"/>
          </w:tcPr>
          <w:p>
            <w:pPr>
              <w:spacing w:after="0"/>
              <w:rPr>
                <w:sz w:val="1"/>
                <w:szCs w:val="1"/>
                <w:color w:val="auto"/>
              </w:rPr>
            </w:pPr>
          </w:p>
        </w:tc>
      </w:tr>
      <w:tr>
        <w:trPr>
          <w:trHeight w:val="108"/>
        </w:trPr>
        <w:tc>
          <w:tcPr>
            <w:tcW w:w="7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State (Country)</w:t>
            </w:r>
          </w:p>
        </w:tc>
        <w:tc>
          <w:tcPr>
            <w:tcW w:w="58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Voting</w:t>
            </w:r>
          </w:p>
        </w:tc>
        <w:tc>
          <w:tcPr>
            <w:tcW w:w="0" w:type="dxa"/>
            <w:vAlign w:val="bottom"/>
          </w:tcPr>
          <w:p>
            <w:pPr>
              <w:spacing w:after="0"/>
              <w:rPr>
                <w:sz w:val="1"/>
                <w:szCs w:val="1"/>
                <w:color w:val="auto"/>
              </w:rPr>
            </w:pPr>
          </w:p>
        </w:tc>
      </w:tr>
      <w:tr>
        <w:trPr>
          <w:trHeight w:val="108"/>
        </w:trPr>
        <w:tc>
          <w:tcPr>
            <w:tcW w:w="7300" w:type="dxa"/>
            <w:vAlign w:val="bottom"/>
            <w:vMerge w:val="restart"/>
          </w:tcPr>
          <w:p>
            <w:pPr>
              <w:spacing w:after="0"/>
              <w:rPr>
                <w:sz w:val="20"/>
                <w:szCs w:val="20"/>
                <w:color w:val="auto"/>
              </w:rPr>
            </w:pPr>
            <w:r>
              <w:rPr>
                <w:rFonts w:ascii="Arial" w:cs="Arial" w:eastAsia="Arial" w:hAnsi="Arial"/>
                <w:sz w:val="10"/>
                <w:szCs w:val="10"/>
                <w:b w:val="1"/>
                <w:bCs w:val="1"/>
                <w:color w:val="auto"/>
              </w:rPr>
              <w:t>Name of Company</w:t>
            </w:r>
          </w:p>
        </w:tc>
        <w:tc>
          <w:tcPr>
            <w:tcW w:w="5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Securities</w:t>
            </w:r>
          </w:p>
        </w:tc>
        <w:tc>
          <w:tcPr>
            <w:tcW w:w="0" w:type="dxa"/>
            <w:vAlign w:val="bottom"/>
          </w:tcPr>
          <w:p>
            <w:pPr>
              <w:spacing w:after="0"/>
              <w:rPr>
                <w:sz w:val="1"/>
                <w:szCs w:val="1"/>
                <w:color w:val="auto"/>
              </w:rPr>
            </w:pPr>
          </w:p>
        </w:tc>
      </w:tr>
      <w:tr>
        <w:trPr>
          <w:trHeight w:val="125"/>
        </w:trPr>
        <w:tc>
          <w:tcPr>
            <w:tcW w:w="7300" w:type="dxa"/>
            <w:vAlign w:val="bottom"/>
            <w:tcBorders>
              <w:bottom w:val="single" w:sz="8" w:color="auto"/>
            </w:tcBorders>
            <w:vMerge w:val="continue"/>
          </w:tcPr>
          <w:p>
            <w:pPr>
              <w:spacing w:after="0"/>
              <w:rPr>
                <w:sz w:val="10"/>
                <w:szCs w:val="10"/>
                <w:color w:val="auto"/>
              </w:rPr>
            </w:pPr>
          </w:p>
        </w:tc>
        <w:tc>
          <w:tcPr>
            <w:tcW w:w="560" w:type="dxa"/>
            <w:vAlign w:val="bottom"/>
          </w:tcPr>
          <w:p>
            <w:pPr>
              <w:spacing w:after="0"/>
              <w:rPr>
                <w:sz w:val="10"/>
                <w:szCs w:val="1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of Incorporation</w:t>
            </w:r>
          </w:p>
        </w:tc>
        <w:tc>
          <w:tcPr>
            <w:tcW w:w="58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Owned</w:t>
            </w:r>
          </w:p>
        </w:tc>
        <w:tc>
          <w:tcPr>
            <w:tcW w:w="0" w:type="dxa"/>
            <w:vAlign w:val="bottom"/>
          </w:tcPr>
          <w:p>
            <w:pPr>
              <w:spacing w:after="0"/>
              <w:rPr>
                <w:sz w:val="1"/>
                <w:szCs w:val="1"/>
                <w:color w:val="auto"/>
              </w:rPr>
            </w:pPr>
          </w:p>
        </w:tc>
      </w:tr>
      <w:tr>
        <w:trPr>
          <w:trHeight w:val="147"/>
        </w:trPr>
        <w:tc>
          <w:tcPr>
            <w:tcW w:w="7300" w:type="dxa"/>
            <w:vAlign w:val="bottom"/>
          </w:tcPr>
          <w:p>
            <w:pPr>
              <w:spacing w:after="0" w:line="148" w:lineRule="exact"/>
              <w:rPr>
                <w:sz w:val="20"/>
                <w:szCs w:val="20"/>
                <w:color w:val="auto"/>
              </w:rPr>
            </w:pPr>
            <w:r>
              <w:rPr>
                <w:rFonts w:ascii="Arial" w:cs="Arial" w:eastAsia="Arial" w:hAnsi="Arial"/>
                <w:sz w:val="13"/>
                <w:szCs w:val="13"/>
                <w:color w:val="auto"/>
              </w:rPr>
              <w:t>Asterisco Artes Graficas Ltda</w:t>
            </w:r>
          </w:p>
        </w:tc>
        <w:tc>
          <w:tcPr>
            <w:tcW w:w="560" w:type="dxa"/>
            <w:vAlign w:val="bottom"/>
          </w:tcPr>
          <w:p>
            <w:pPr>
              <w:spacing w:after="0"/>
              <w:rPr>
                <w:sz w:val="12"/>
                <w:szCs w:val="12"/>
                <w:color w:val="auto"/>
              </w:rPr>
            </w:pPr>
          </w:p>
        </w:tc>
        <w:tc>
          <w:tcPr>
            <w:tcW w:w="2500" w:type="dxa"/>
            <w:vAlign w:val="bottom"/>
          </w:tcPr>
          <w:p>
            <w:pPr>
              <w:spacing w:after="0" w:line="148" w:lineRule="exact"/>
              <w:rPr>
                <w:sz w:val="20"/>
                <w:szCs w:val="20"/>
                <w:color w:val="auto"/>
              </w:rPr>
            </w:pPr>
            <w:r>
              <w:rPr>
                <w:rFonts w:ascii="Arial" w:cs="Arial" w:eastAsia="Arial" w:hAnsi="Arial"/>
                <w:sz w:val="13"/>
                <w:szCs w:val="13"/>
                <w:color w:val="auto"/>
              </w:rPr>
              <w:t>Brazil</w:t>
            </w:r>
          </w:p>
        </w:tc>
        <w:tc>
          <w:tcPr>
            <w:tcW w:w="580" w:type="dxa"/>
            <w:vAlign w:val="bottom"/>
          </w:tcPr>
          <w:p>
            <w:pPr>
              <w:spacing w:after="0"/>
              <w:rPr>
                <w:sz w:val="12"/>
                <w:szCs w:val="12"/>
                <w:color w:val="auto"/>
              </w:rPr>
            </w:pP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W.H.B. Identification Solutions, Inc. —</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Canada</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Doing Business As:</w:t>
            </w:r>
          </w:p>
        </w:tc>
        <w:tc>
          <w:tcPr>
            <w:tcW w:w="5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Brady</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300"/>
              <w:spacing w:after="0"/>
              <w:rPr>
                <w:sz w:val="20"/>
                <w:szCs w:val="20"/>
                <w:color w:val="auto"/>
              </w:rPr>
            </w:pPr>
            <w:r>
              <w:rPr>
                <w:rFonts w:ascii="Arial" w:cs="Arial" w:eastAsia="Arial" w:hAnsi="Arial"/>
                <w:sz w:val="13"/>
                <w:szCs w:val="13"/>
                <w:color w:val="auto"/>
              </w:rPr>
              <w:t>GrafTek</w:t>
            </w:r>
          </w:p>
        </w:tc>
        <w:tc>
          <w:tcPr>
            <w:tcW w:w="5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Revere-Seton</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300"/>
              <w:spacing w:after="0"/>
              <w:rPr>
                <w:sz w:val="20"/>
                <w:szCs w:val="20"/>
                <w:color w:val="auto"/>
              </w:rPr>
            </w:pPr>
            <w:r>
              <w:rPr>
                <w:rFonts w:ascii="Arial" w:cs="Arial" w:eastAsia="Arial" w:hAnsi="Arial"/>
                <w:sz w:val="13"/>
                <w:szCs w:val="13"/>
                <w:color w:val="auto"/>
              </w:rPr>
              <w:t>Seton</w:t>
            </w:r>
          </w:p>
        </w:tc>
        <w:tc>
          <w:tcPr>
            <w:tcW w:w="5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Identicam Systems Inc.</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Canada</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BRC Financial</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Canada</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Brady (Shanghai) International Trading Co., Ltd.</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China</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Brady Technology (Wuxi) Co. Ltd.</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China</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Brady (Beijing) Co. Ltd.</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China</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Brady (Shenzhen) Co., Ltd.</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China</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Brady (Dongguan) Co., Ltd.</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China</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Suzhou Dicel EMC Co., Ltd.</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China</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Tradex Converting (Langfang) Co., Ltd.</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China</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Brady Technology (Suzhou) Co., Ltd.</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China</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CIPI Xiamen, Ltd.</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China</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PanYu Meixin Metal Company Ltd.</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China</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Brady Holdings Danmark ApS</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Denmark</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Brady A.S (Denmark)</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Denmark</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Braton Europe S.A.R.L</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France</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Braton Groupe S.A.R.L</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France</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Doing Business As:</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300"/>
              <w:spacing w:after="0"/>
              <w:rPr>
                <w:sz w:val="20"/>
                <w:szCs w:val="20"/>
                <w:color w:val="auto"/>
              </w:rPr>
            </w:pPr>
            <w:r>
              <w:rPr>
                <w:rFonts w:ascii="Arial" w:cs="Arial" w:eastAsia="Arial" w:hAnsi="Arial"/>
                <w:sz w:val="13"/>
                <w:szCs w:val="13"/>
                <w:color w:val="auto"/>
              </w:rPr>
              <w:t>Brady</w:t>
            </w:r>
          </w:p>
        </w:tc>
        <w:tc>
          <w:tcPr>
            <w:tcW w:w="5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Techniques Avancees</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300"/>
              <w:spacing w:after="0"/>
              <w:rPr>
                <w:sz w:val="20"/>
                <w:szCs w:val="20"/>
                <w:color w:val="auto"/>
              </w:rPr>
            </w:pPr>
            <w:r>
              <w:rPr>
                <w:rFonts w:ascii="Arial" w:cs="Arial" w:eastAsia="Arial" w:hAnsi="Arial"/>
                <w:sz w:val="13"/>
                <w:szCs w:val="13"/>
                <w:color w:val="auto"/>
              </w:rPr>
              <w:t>Holman</w:t>
            </w:r>
          </w:p>
        </w:tc>
        <w:tc>
          <w:tcPr>
            <w:tcW w:w="5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Periprint</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Brady Group S.A.S</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France</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Doing Business As:</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300"/>
              <w:spacing w:after="0"/>
              <w:rPr>
                <w:sz w:val="20"/>
                <w:szCs w:val="20"/>
                <w:color w:val="auto"/>
              </w:rPr>
            </w:pPr>
            <w:r>
              <w:rPr>
                <w:rFonts w:ascii="Arial" w:cs="Arial" w:eastAsia="Arial" w:hAnsi="Arial"/>
                <w:sz w:val="13"/>
                <w:szCs w:val="13"/>
                <w:color w:val="auto"/>
              </w:rPr>
              <w:t>Seton</w:t>
            </w:r>
          </w:p>
        </w:tc>
        <w:tc>
          <w:tcPr>
            <w:tcW w:w="5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Signals &amp; Lettrasoft</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Brady Holding GmbH</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Germany</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Brady GmbH</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Germany</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Doing Business As:</w:t>
            </w:r>
          </w:p>
        </w:tc>
        <w:tc>
          <w:tcPr>
            <w:tcW w:w="5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Seton</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300"/>
              <w:spacing w:after="0"/>
              <w:rPr>
                <w:sz w:val="20"/>
                <w:szCs w:val="20"/>
                <w:color w:val="auto"/>
              </w:rPr>
            </w:pPr>
            <w:r>
              <w:rPr>
                <w:rFonts w:ascii="Arial" w:cs="Arial" w:eastAsia="Arial" w:hAnsi="Arial"/>
                <w:sz w:val="13"/>
                <w:szCs w:val="13"/>
                <w:color w:val="auto"/>
              </w:rPr>
              <w:t>Balkhausen</w:t>
            </w:r>
          </w:p>
        </w:tc>
        <w:tc>
          <w:tcPr>
            <w:tcW w:w="5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Brady ISST</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300"/>
              <w:spacing w:after="0"/>
              <w:rPr>
                <w:sz w:val="20"/>
                <w:szCs w:val="20"/>
                <w:color w:val="auto"/>
              </w:rPr>
            </w:pPr>
            <w:r>
              <w:rPr>
                <w:rFonts w:ascii="Arial" w:cs="Arial" w:eastAsia="Arial" w:hAnsi="Arial"/>
                <w:sz w:val="13"/>
                <w:szCs w:val="13"/>
                <w:color w:val="auto"/>
              </w:rPr>
              <w:t>Soft &amp; Etimark</w:t>
            </w:r>
          </w:p>
        </w:tc>
        <w:tc>
          <w:tcPr>
            <w:tcW w:w="5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Quo-Luck Company Limited</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Hong Kong</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Bakee Metal Manufactory Company Limited</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Hong Kong</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Brady Corporation Hong Kong Limited</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Hong Kong</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Brady Company India Pte. Ltd.</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India</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Brady Italia, SRL</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Italy</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Modernotecnica SRL</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Italy</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Nippon Brady K.K.</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Japan</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Brady Luxembourg SARL</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Luxembourg</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Brady Technology SDN, BHD</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Malaysia</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 H. Brady S. de R.L. de C.V.</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Mexico</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Brady Servicios, S. de R.L. de C.V.</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Mexico</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Brady B.V.</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Netherlands</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CIPI Europe, B.V.</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Netherlands</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Brady A.S. (Norway)</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Norway</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Brady Philippines Direct Marketing Inc.</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Philippines</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Brady Corporation S.E.A. Pte. Ltd.</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Singapore</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Brady Corporation Asia Pte. Ltd.</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Singapore</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Brandon Precision Pte. Ltd.</w:t>
            </w:r>
          </w:p>
        </w:tc>
        <w:tc>
          <w:tcPr>
            <w:tcW w:w="3060" w:type="dxa"/>
            <w:vAlign w:val="bottom"/>
            <w:gridSpan w:val="2"/>
          </w:tcPr>
          <w:p>
            <w:pPr>
              <w:ind w:left="560"/>
              <w:spacing w:after="0"/>
              <w:rPr>
                <w:sz w:val="20"/>
                <w:szCs w:val="20"/>
                <w:color w:val="auto"/>
              </w:rPr>
            </w:pPr>
            <w:r>
              <w:rPr>
                <w:rFonts w:ascii="Arial" w:cs="Arial" w:eastAsia="Arial" w:hAnsi="Arial"/>
                <w:sz w:val="13"/>
                <w:szCs w:val="13"/>
                <w:color w:val="auto"/>
              </w:rPr>
              <w:t>Singapore</w:t>
            </w:r>
          </w:p>
        </w:tc>
        <w:tc>
          <w:tcPr>
            <w:tcW w:w="1100" w:type="dxa"/>
            <w:vAlign w:val="bottom"/>
            <w:gridSpan w:val="2"/>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Brady Technologies Asia Pte. Ltd.</w:t>
            </w:r>
          </w:p>
        </w:tc>
        <w:tc>
          <w:tcPr>
            <w:tcW w:w="30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Singapore</w:t>
            </w:r>
          </w:p>
        </w:tc>
        <w:tc>
          <w:tcPr>
            <w:tcW w:w="11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6"/>
              </w:rPr>
              <w:t>100%</w:t>
            </w:r>
          </w:p>
        </w:tc>
        <w:tc>
          <w:tcPr>
            <w:tcW w:w="0" w:type="dxa"/>
            <w:vAlign w:val="bottom"/>
          </w:tcPr>
          <w:p>
            <w:pPr>
              <w:spacing w:after="0"/>
              <w:rPr>
                <w:sz w:val="1"/>
                <w:szCs w:val="1"/>
                <w:color w:val="auto"/>
              </w:rPr>
            </w:pPr>
          </w:p>
        </w:tc>
      </w:tr>
      <w:tr>
        <w:trPr>
          <w:trHeight w:val="457"/>
        </w:trPr>
        <w:tc>
          <w:tcPr>
            <w:tcW w:w="73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101" w:name="page102"/>
    <w:bookmarkEnd w:id="101"/>
    <w:tbl>
      <w:tblPr>
        <w:tblLayout w:type="fixed"/>
        <w:tblInd w:w="1" w:type="dxa"/>
        <w:tblCellMar>
          <w:top w:w="0" w:type="dxa"/>
          <w:left w:w="0" w:type="dxa"/>
          <w:bottom w:w="0" w:type="dxa"/>
          <w:right w:w="0" w:type="dxa"/>
        </w:tblCellMar>
      </w:tblPr>
      <w:tr>
        <w:trPr>
          <w:trHeight w:val="115"/>
        </w:trPr>
        <w:tc>
          <w:tcPr>
            <w:tcW w:w="7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b w:val="1"/>
                <w:bCs w:val="1"/>
                <w:color w:val="auto"/>
                <w:w w:val="92"/>
              </w:rPr>
              <w:t>Percentage</w:t>
            </w:r>
          </w:p>
        </w:tc>
        <w:tc>
          <w:tcPr>
            <w:tcW w:w="0" w:type="dxa"/>
            <w:vAlign w:val="bottom"/>
          </w:tcPr>
          <w:p>
            <w:pPr>
              <w:spacing w:after="0"/>
              <w:rPr>
                <w:sz w:val="1"/>
                <w:szCs w:val="1"/>
                <w:color w:val="auto"/>
              </w:rPr>
            </w:pPr>
          </w:p>
        </w:tc>
      </w:tr>
      <w:tr>
        <w:trPr>
          <w:trHeight w:val="108"/>
        </w:trPr>
        <w:tc>
          <w:tcPr>
            <w:tcW w:w="7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500" w:type="dxa"/>
            <w:vAlign w:val="bottom"/>
            <w:vMerge w:val="restart"/>
          </w:tcPr>
          <w:p>
            <w:pPr>
              <w:ind w:left="900"/>
              <w:spacing w:after="0"/>
              <w:rPr>
                <w:sz w:val="20"/>
                <w:szCs w:val="20"/>
                <w:color w:val="auto"/>
              </w:rPr>
            </w:pPr>
            <w:r>
              <w:rPr>
                <w:rFonts w:ascii="Arial" w:cs="Arial" w:eastAsia="Arial" w:hAnsi="Arial"/>
                <w:sz w:val="10"/>
                <w:szCs w:val="10"/>
                <w:b w:val="1"/>
                <w:bCs w:val="1"/>
                <w:color w:val="auto"/>
              </w:rPr>
              <w:t>State (Country)</w:t>
            </w:r>
          </w:p>
        </w:tc>
        <w:tc>
          <w:tcPr>
            <w:tcW w:w="58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Voting</w:t>
            </w:r>
          </w:p>
        </w:tc>
        <w:tc>
          <w:tcPr>
            <w:tcW w:w="0" w:type="dxa"/>
            <w:vAlign w:val="bottom"/>
          </w:tcPr>
          <w:p>
            <w:pPr>
              <w:spacing w:after="0"/>
              <w:rPr>
                <w:sz w:val="1"/>
                <w:szCs w:val="1"/>
                <w:color w:val="auto"/>
              </w:rPr>
            </w:pPr>
          </w:p>
        </w:tc>
      </w:tr>
      <w:tr>
        <w:trPr>
          <w:trHeight w:val="108"/>
        </w:trPr>
        <w:tc>
          <w:tcPr>
            <w:tcW w:w="7260" w:type="dxa"/>
            <w:vAlign w:val="bottom"/>
            <w:vMerge w:val="restart"/>
          </w:tcPr>
          <w:p>
            <w:pPr>
              <w:spacing w:after="0"/>
              <w:rPr>
                <w:sz w:val="20"/>
                <w:szCs w:val="20"/>
                <w:color w:val="auto"/>
              </w:rPr>
            </w:pPr>
            <w:r>
              <w:rPr>
                <w:rFonts w:ascii="Arial" w:cs="Arial" w:eastAsia="Arial" w:hAnsi="Arial"/>
                <w:sz w:val="10"/>
                <w:szCs w:val="10"/>
                <w:b w:val="1"/>
                <w:bCs w:val="1"/>
                <w:color w:val="auto"/>
              </w:rPr>
              <w:t>Name of Company</w:t>
            </w:r>
          </w:p>
        </w:tc>
        <w:tc>
          <w:tcPr>
            <w:tcW w:w="5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Securities</w:t>
            </w:r>
          </w:p>
        </w:tc>
        <w:tc>
          <w:tcPr>
            <w:tcW w:w="0" w:type="dxa"/>
            <w:vAlign w:val="bottom"/>
          </w:tcPr>
          <w:p>
            <w:pPr>
              <w:spacing w:after="0"/>
              <w:rPr>
                <w:sz w:val="1"/>
                <w:szCs w:val="1"/>
                <w:color w:val="auto"/>
              </w:rPr>
            </w:pPr>
          </w:p>
        </w:tc>
      </w:tr>
      <w:tr>
        <w:trPr>
          <w:trHeight w:val="125"/>
        </w:trPr>
        <w:tc>
          <w:tcPr>
            <w:tcW w:w="7260" w:type="dxa"/>
            <w:vAlign w:val="bottom"/>
            <w:tcBorders>
              <w:bottom w:val="single" w:sz="8" w:color="auto"/>
            </w:tcBorders>
            <w:vMerge w:val="continue"/>
          </w:tcPr>
          <w:p>
            <w:pPr>
              <w:spacing w:after="0"/>
              <w:rPr>
                <w:sz w:val="10"/>
                <w:szCs w:val="10"/>
                <w:color w:val="auto"/>
              </w:rPr>
            </w:pPr>
          </w:p>
        </w:tc>
        <w:tc>
          <w:tcPr>
            <w:tcW w:w="560" w:type="dxa"/>
            <w:vAlign w:val="bottom"/>
          </w:tcPr>
          <w:p>
            <w:pPr>
              <w:spacing w:after="0"/>
              <w:rPr>
                <w:sz w:val="10"/>
                <w:szCs w:val="10"/>
                <w:color w:val="auto"/>
              </w:rPr>
            </w:pPr>
          </w:p>
        </w:tc>
        <w:tc>
          <w:tcPr>
            <w:tcW w:w="2500" w:type="dxa"/>
            <w:vAlign w:val="bottom"/>
            <w:tcBorders>
              <w:bottom w:val="single" w:sz="8" w:color="auto"/>
            </w:tcBorders>
          </w:tcPr>
          <w:p>
            <w:pPr>
              <w:ind w:left="880"/>
              <w:spacing w:after="0"/>
              <w:rPr>
                <w:sz w:val="20"/>
                <w:szCs w:val="20"/>
                <w:color w:val="auto"/>
              </w:rPr>
            </w:pPr>
            <w:r>
              <w:rPr>
                <w:rFonts w:ascii="Arial" w:cs="Arial" w:eastAsia="Arial" w:hAnsi="Arial"/>
                <w:sz w:val="10"/>
                <w:szCs w:val="10"/>
                <w:b w:val="1"/>
                <w:bCs w:val="1"/>
                <w:color w:val="auto"/>
              </w:rPr>
              <w:t>of Incorporation</w:t>
            </w:r>
          </w:p>
        </w:tc>
        <w:tc>
          <w:tcPr>
            <w:tcW w:w="580" w:type="dxa"/>
            <w:vAlign w:val="bottom"/>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Owned</w:t>
            </w:r>
          </w:p>
        </w:tc>
        <w:tc>
          <w:tcPr>
            <w:tcW w:w="0" w:type="dxa"/>
            <w:vAlign w:val="bottom"/>
          </w:tcPr>
          <w:p>
            <w:pPr>
              <w:spacing w:after="0"/>
              <w:rPr>
                <w:sz w:val="1"/>
                <w:szCs w:val="1"/>
                <w:color w:val="auto"/>
              </w:rPr>
            </w:pPr>
          </w:p>
        </w:tc>
      </w:tr>
      <w:tr>
        <w:trPr>
          <w:trHeight w:val="147"/>
        </w:trPr>
        <w:tc>
          <w:tcPr>
            <w:tcW w:w="7260" w:type="dxa"/>
            <w:vAlign w:val="bottom"/>
          </w:tcPr>
          <w:p>
            <w:pPr>
              <w:spacing w:after="0" w:line="148" w:lineRule="exact"/>
              <w:rPr>
                <w:sz w:val="20"/>
                <w:szCs w:val="20"/>
                <w:color w:val="auto"/>
              </w:rPr>
            </w:pPr>
            <w:r>
              <w:rPr>
                <w:rFonts w:ascii="Arial" w:cs="Arial" w:eastAsia="Arial" w:hAnsi="Arial"/>
                <w:sz w:val="13"/>
                <w:szCs w:val="13"/>
                <w:color w:val="auto"/>
              </w:rPr>
              <w:t>Brady Asia Holding Pte. Ltd.</w:t>
            </w:r>
          </w:p>
        </w:tc>
        <w:tc>
          <w:tcPr>
            <w:tcW w:w="560" w:type="dxa"/>
            <w:vAlign w:val="bottom"/>
          </w:tcPr>
          <w:p>
            <w:pPr>
              <w:spacing w:after="0"/>
              <w:rPr>
                <w:sz w:val="12"/>
                <w:szCs w:val="12"/>
                <w:color w:val="auto"/>
              </w:rPr>
            </w:pPr>
          </w:p>
        </w:tc>
        <w:tc>
          <w:tcPr>
            <w:tcW w:w="2500" w:type="dxa"/>
            <w:vAlign w:val="bottom"/>
          </w:tcPr>
          <w:p>
            <w:pPr>
              <w:spacing w:after="0" w:line="148" w:lineRule="exact"/>
              <w:rPr>
                <w:sz w:val="20"/>
                <w:szCs w:val="20"/>
                <w:color w:val="auto"/>
              </w:rPr>
            </w:pPr>
            <w:r>
              <w:rPr>
                <w:rFonts w:ascii="Arial" w:cs="Arial" w:eastAsia="Arial" w:hAnsi="Arial"/>
                <w:sz w:val="13"/>
                <w:szCs w:val="13"/>
                <w:color w:val="auto"/>
              </w:rPr>
              <w:t>Singapore</w:t>
            </w:r>
          </w:p>
        </w:tc>
        <w:tc>
          <w:tcPr>
            <w:tcW w:w="580" w:type="dxa"/>
            <w:vAlign w:val="bottom"/>
          </w:tcPr>
          <w:p>
            <w:pPr>
              <w:spacing w:after="0"/>
              <w:rPr>
                <w:sz w:val="12"/>
                <w:szCs w:val="12"/>
                <w:color w:val="auto"/>
              </w:rPr>
            </w:pPr>
          </w:p>
        </w:tc>
        <w:tc>
          <w:tcPr>
            <w:tcW w:w="560" w:type="dxa"/>
            <w:vAlign w:val="bottom"/>
          </w:tcPr>
          <w:p>
            <w:pPr>
              <w:jc w:val="right"/>
              <w:ind w:right="85"/>
              <w:spacing w:after="0" w:line="14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Brady Singapore Holdings Pte. Ltd.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Singapore</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ID Technologies Pte. Ltd.</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Singapore</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ID Technologies (China) Pte. Ltd.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Singapore</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Brady S.R.O.</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Slovakia</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Brady Korea Co., Ltd.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South Korea</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Brady Identification S.L.</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Spain</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Brady AB</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Sweden</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Brady Trading AB</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Sweden</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Brady Sweden Holding AB</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Sweden</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Brady Holding AB</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Sweden</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Brady Converting AB</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Sweden</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Tradex AB</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Sweden</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Brady Holding Co. Ltd.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Thailand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Brady (Thailand) Co. Ltd.</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Thailand</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Q.D.P.T. (Thailand) Co., Ltd.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Thailand</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Brady (Turkey) Ltd.</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Turkey</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B.I. U.K. Limited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B.I. Financial Limited</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Seton Limited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W.H. Brady Co. Ltd.</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Brady Corporation Limited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Brady European Finance Limited</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Brady European Holdings Limited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Cleere Advantage Limited</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Focal Display Limited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Focal Signs Limited</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S &amp; L Signmaker Limited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Safety Shop Limited</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Safety Shop Co. U.K. Limited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Signs &amp; Labels Limited</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Southern Signs Systems Limited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Esot Limited</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Scafftag Limited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Safetrak Limited</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Scafftag USA Limited</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Pure Vantage</w:t>
            </w:r>
          </w:p>
        </w:tc>
        <w:tc>
          <w:tcPr>
            <w:tcW w:w="5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Rapid Update</w:t>
            </w: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31064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46" w:lineRule="exact"/>
        <w:rPr>
          <w:sz w:val="20"/>
          <w:szCs w:val="20"/>
          <w:color w:val="auto"/>
        </w:rPr>
      </w:pPr>
    </w:p>
    <w:p>
      <w:pPr>
        <w:ind w:left="461" w:right="20" w:hanging="461"/>
        <w:spacing w:after="0" w:line="264" w:lineRule="auto"/>
        <w:tabs>
          <w:tab w:leader="none" w:pos="461" w:val="left"/>
        </w:tabs>
        <w:numPr>
          <w:ilvl w:val="0"/>
          <w:numId w:val="60"/>
        </w:numPr>
        <w:rPr>
          <w:rFonts w:ascii="Arial" w:cs="Arial" w:eastAsia="Arial" w:hAnsi="Arial"/>
          <w:sz w:val="13"/>
          <w:szCs w:val="13"/>
          <w:color w:val="auto"/>
        </w:rPr>
      </w:pPr>
      <w:r>
        <w:rPr>
          <w:rFonts w:ascii="Arial" w:cs="Arial" w:eastAsia="Arial" w:hAnsi="Arial"/>
          <w:sz w:val="13"/>
          <w:szCs w:val="13"/>
          <w:color w:val="auto"/>
        </w:rPr>
        <w:t>Brady Corporation owns 49% of the outstanding shares of Brady Holding Co. Ltd., but Brady Corporation maintains controlling voting rights. The 51% owner holds preferred shares, which entitle it to one vote for every 20 shares. Brady Corporation holds common shares, which entitle it to one vote for every one share. The preferred shareholder’s share of the net income in Brady Holding Co. Ltd is limited to recovery of its initial investment.</w:t>
      </w:r>
    </w:p>
    <w:p>
      <w:pPr>
        <w:sectPr>
          <w:pgSz w:w="11900" w:h="16838" w:orient="portrait"/>
          <w:cols w:equalWidth="0" w:num="1">
            <w:col w:w="11461"/>
          </w:cols>
          <w:pgMar w:left="219" w:top="863"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3"/>
          <w:szCs w:val="13"/>
          <w:b w:val="1"/>
          <w:bCs w:val="1"/>
          <w:color w:val="auto"/>
        </w:rPr>
        <w:t>Exhibit 23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jc w:val="both"/>
        <w:ind w:firstLine="161"/>
        <w:spacing w:after="0" w:line="264" w:lineRule="auto"/>
        <w:rPr>
          <w:sz w:val="20"/>
          <w:szCs w:val="20"/>
          <w:color w:val="auto"/>
        </w:rPr>
      </w:pPr>
      <w:r>
        <w:rPr>
          <w:rFonts w:ascii="Arial" w:cs="Arial" w:eastAsia="Arial" w:hAnsi="Arial"/>
          <w:sz w:val="13"/>
          <w:szCs w:val="13"/>
          <w:color w:val="auto"/>
        </w:rPr>
        <w:t>We consent to the incorporation by reference in Registration Statements No. 333-110949, 333-99615, 333-38857, 333-38859, 333-44505, 333-92417, 333-134503, 333-137686 and 333-141402 on Form S-8 and 333-128023 on Form S-3 of our reports dated September 27, 2007, relating to the financial statements and financial statement schedule of Brady Corporation and management’s report on the effectiveness of internal control over financial reporting, appearing in this Annual Report on Form 10-K of Brady Corporation for the year ended July 31, 2007.</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/s/ DELOITTE &amp; TOUCHE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Milwaukee, WI</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September 28, 2007</w:t>
      </w:r>
    </w:p>
    <w:p>
      <w:pPr>
        <w:sectPr>
          <w:pgSz w:w="11900" w:h="16838" w:orient="portrait"/>
          <w:cols w:equalWidth="0" w:num="1">
            <w:col w:w="11460"/>
          </w:cols>
          <w:pgMar w:left="220" w:top="716"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13a-14(a)/15d-14(a) 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Frank M. Jaehnert, certify that:</w:t>
      </w:r>
    </w:p>
    <w:p>
      <w:pPr>
        <w:spacing w:after="0" w:line="86" w:lineRule="exact"/>
        <w:rPr>
          <w:sz w:val="20"/>
          <w:szCs w:val="20"/>
          <w:color w:val="auto"/>
        </w:rPr>
      </w:pPr>
    </w:p>
    <w:p>
      <w:pPr>
        <w:ind w:left="340" w:hanging="178"/>
        <w:spacing w:after="0"/>
        <w:tabs>
          <w:tab w:leader="none" w:pos="3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Brady Corporation;</w:t>
      </w:r>
    </w:p>
    <w:p>
      <w:pPr>
        <w:spacing w:after="0" w:line="86" w:lineRule="exact"/>
        <w:rPr>
          <w:rFonts w:ascii="Arial" w:cs="Arial" w:eastAsia="Arial" w:hAnsi="Arial"/>
          <w:sz w:val="13"/>
          <w:szCs w:val="13"/>
          <w:color w:val="auto"/>
        </w:rPr>
      </w:pPr>
    </w:p>
    <w:p>
      <w:pPr>
        <w:ind w:right="80" w:firstLine="162"/>
        <w:spacing w:after="0" w:line="276" w:lineRule="auto"/>
        <w:tabs>
          <w:tab w:leader="none" w:pos="349" w:val="left"/>
        </w:tabs>
        <w:numPr>
          <w:ilvl w:val="0"/>
          <w:numId w:val="6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180" w:firstLine="162"/>
        <w:spacing w:after="0" w:line="276" w:lineRule="auto"/>
        <w:tabs>
          <w:tab w:leader="none" w:pos="349" w:val="left"/>
        </w:tabs>
        <w:numPr>
          <w:ilvl w:val="0"/>
          <w:numId w:val="6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20" w:firstLine="162"/>
        <w:spacing w:after="0" w:line="276" w:lineRule="auto"/>
        <w:tabs>
          <w:tab w:leader="none" w:pos="347"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220" w:right="460" w:firstLine="172"/>
        <w:spacing w:after="0" w:line="276" w:lineRule="auto"/>
        <w:tabs>
          <w:tab w:leader="none" w:pos="518" w:val="left"/>
        </w:tabs>
        <w:numPr>
          <w:ilvl w:val="1"/>
          <w:numId w:val="6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72"/>
        <w:spacing w:after="0" w:line="276" w:lineRule="auto"/>
        <w:tabs>
          <w:tab w:leader="none" w:pos="526" w:val="left"/>
        </w:tabs>
        <w:numPr>
          <w:ilvl w:val="1"/>
          <w:numId w:val="6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00" w:firstLine="172"/>
        <w:spacing w:after="0" w:line="276" w:lineRule="auto"/>
        <w:tabs>
          <w:tab w:leader="none" w:pos="518" w:val="left"/>
        </w:tabs>
        <w:numPr>
          <w:ilvl w:val="1"/>
          <w:numId w:val="6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26" w:val="left"/>
        </w:tabs>
        <w:numPr>
          <w:ilvl w:val="1"/>
          <w:numId w:val="6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100" w:firstLine="162"/>
        <w:spacing w:after="0" w:line="276" w:lineRule="auto"/>
        <w:tabs>
          <w:tab w:leader="none" w:pos="347"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220" w:right="400" w:firstLine="172"/>
        <w:spacing w:after="0" w:line="276" w:lineRule="auto"/>
        <w:tabs>
          <w:tab w:leader="none" w:pos="518" w:val="left"/>
        </w:tabs>
        <w:numPr>
          <w:ilvl w:val="1"/>
          <w:numId w:val="6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40" w:hanging="148"/>
        <w:spacing w:after="0"/>
        <w:tabs>
          <w:tab w:leader="none" w:pos="540" w:val="left"/>
        </w:tabs>
        <w:numPr>
          <w:ilvl w:val="1"/>
          <w:numId w:val="6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(Frank M. Jaehnert)</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28, 2007</w:t>
      </w:r>
    </w:p>
    <w:p>
      <w:pPr>
        <w:sectPr>
          <w:pgSz w:w="11900" w:h="16838" w:orient="portrait"/>
          <w:cols w:equalWidth="0" w:num="1">
            <w:col w:w="11460"/>
          </w:cols>
          <w:pgMar w:left="220" w:top="716" w:right="2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13a-14(a)/15d-14(a) 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David Mathieson, certify that:</w:t>
      </w:r>
    </w:p>
    <w:p>
      <w:pPr>
        <w:spacing w:after="0" w:line="86" w:lineRule="exact"/>
        <w:rPr>
          <w:sz w:val="20"/>
          <w:szCs w:val="20"/>
          <w:color w:val="auto"/>
        </w:rPr>
      </w:pPr>
    </w:p>
    <w:p>
      <w:pPr>
        <w:ind w:left="340" w:hanging="178"/>
        <w:spacing w:after="0"/>
        <w:tabs>
          <w:tab w:leader="none" w:pos="3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Brady Corporation;</w:t>
      </w:r>
    </w:p>
    <w:p>
      <w:pPr>
        <w:spacing w:after="0" w:line="86" w:lineRule="exact"/>
        <w:rPr>
          <w:rFonts w:ascii="Arial" w:cs="Arial" w:eastAsia="Arial" w:hAnsi="Arial"/>
          <w:sz w:val="13"/>
          <w:szCs w:val="13"/>
          <w:color w:val="auto"/>
        </w:rPr>
      </w:pPr>
    </w:p>
    <w:p>
      <w:pPr>
        <w:ind w:right="80" w:firstLine="162"/>
        <w:spacing w:after="0" w:line="276" w:lineRule="auto"/>
        <w:tabs>
          <w:tab w:leader="none" w:pos="349" w:val="left"/>
        </w:tabs>
        <w:numPr>
          <w:ilvl w:val="0"/>
          <w:numId w:val="6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180" w:firstLine="162"/>
        <w:spacing w:after="0" w:line="276" w:lineRule="auto"/>
        <w:tabs>
          <w:tab w:leader="none" w:pos="349" w:val="left"/>
        </w:tabs>
        <w:numPr>
          <w:ilvl w:val="0"/>
          <w:numId w:val="6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20" w:firstLine="162"/>
        <w:spacing w:after="0" w:line="276" w:lineRule="auto"/>
        <w:tabs>
          <w:tab w:leader="none" w:pos="347"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220" w:right="460" w:firstLine="172"/>
        <w:spacing w:after="0" w:line="276" w:lineRule="auto"/>
        <w:tabs>
          <w:tab w:leader="none" w:pos="518" w:val="left"/>
        </w:tabs>
        <w:numPr>
          <w:ilvl w:val="1"/>
          <w:numId w:val="6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72"/>
        <w:spacing w:after="0" w:line="276" w:lineRule="auto"/>
        <w:tabs>
          <w:tab w:leader="none" w:pos="526" w:val="left"/>
        </w:tabs>
        <w:numPr>
          <w:ilvl w:val="1"/>
          <w:numId w:val="6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00" w:firstLine="172"/>
        <w:spacing w:after="0" w:line="276" w:lineRule="auto"/>
        <w:tabs>
          <w:tab w:leader="none" w:pos="518" w:val="left"/>
        </w:tabs>
        <w:numPr>
          <w:ilvl w:val="1"/>
          <w:numId w:val="6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26" w:val="left"/>
        </w:tabs>
        <w:numPr>
          <w:ilvl w:val="1"/>
          <w:numId w:val="6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100" w:firstLine="162"/>
        <w:spacing w:after="0" w:line="276" w:lineRule="auto"/>
        <w:tabs>
          <w:tab w:leader="none" w:pos="347"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220" w:right="400" w:firstLine="172"/>
        <w:spacing w:after="0" w:line="276" w:lineRule="auto"/>
        <w:tabs>
          <w:tab w:leader="none" w:pos="518" w:val="left"/>
        </w:tabs>
        <w:numPr>
          <w:ilvl w:val="1"/>
          <w:numId w:val="6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40" w:hanging="148"/>
        <w:spacing w:after="0"/>
        <w:tabs>
          <w:tab w:leader="none" w:pos="540" w:val="left"/>
        </w:tabs>
        <w:numPr>
          <w:ilvl w:val="1"/>
          <w:numId w:val="6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(David Mathieson)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Senior Vice President and Chief Financial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28, 2007</w:t>
      </w:r>
    </w:p>
    <w:p>
      <w:pPr>
        <w:sectPr>
          <w:pgSz w:w="11900" w:h="16838" w:orient="portrait"/>
          <w:cols w:equalWidth="0" w:num="1">
            <w:col w:w="11460"/>
          </w:cols>
          <w:pgMar w:left="220" w:top="717"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ind w:left="4740"/>
        <w:spacing w:after="0"/>
        <w:rPr>
          <w:sz w:val="20"/>
          <w:szCs w:val="20"/>
          <w:color w:val="auto"/>
        </w:rPr>
      </w:pPr>
      <w:r>
        <w:rPr>
          <w:rFonts w:ascii="Arial" w:cs="Arial" w:eastAsia="Arial" w:hAnsi="Arial"/>
          <w:sz w:val="13"/>
          <w:szCs w:val="13"/>
          <w:b w:val="1"/>
          <w:bCs w:val="1"/>
          <w:color w:val="auto"/>
        </w:rPr>
        <w:t>SECTION 1350 CERTIFICATION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Pursuant to 18 U.S.C. Section 1350, as adopted pursuant to Section 906 of the Sarbanes-Oxley Act of 2002, the undersigned officer of Brady Corporation (the “Company”) certifies to his knowledge that:</w:t>
      </w:r>
    </w:p>
    <w:p>
      <w:pPr>
        <w:spacing w:after="0" w:line="98" w:lineRule="exact"/>
        <w:rPr>
          <w:sz w:val="20"/>
          <w:szCs w:val="20"/>
          <w:color w:val="auto"/>
        </w:rPr>
      </w:pPr>
    </w:p>
    <w:p>
      <w:pPr>
        <w:ind w:left="580" w:hanging="188"/>
        <w:spacing w:after="0"/>
        <w:tabs>
          <w:tab w:leader="none" w:pos="5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Annual Report on Form 10-K of the Company for the year ended July 31, 2007 fully complies with the requirements of Section 13(a) or 15(d) of the Securities Exchange Act of 1934; and</w:t>
      </w:r>
    </w:p>
    <w:p>
      <w:pPr>
        <w:spacing w:after="0" w:line="97" w:lineRule="exact"/>
        <w:rPr>
          <w:rFonts w:ascii="Arial" w:cs="Arial" w:eastAsia="Arial" w:hAnsi="Arial"/>
          <w:sz w:val="12"/>
          <w:szCs w:val="12"/>
          <w:color w:val="auto"/>
        </w:rPr>
      </w:pPr>
    </w:p>
    <w:p>
      <w:pPr>
        <w:ind w:left="580" w:hanging="188"/>
        <w:spacing w:after="0"/>
        <w:tabs>
          <w:tab w:leader="none" w:pos="5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information contained in that Form 10-K fairly presents, in all material respects, the financial conditions and results of operations of the Company.</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(Frank M. Jaehnert)</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28, 2007</w:t>
      </w:r>
    </w:p>
    <w:p>
      <w:pPr>
        <w:spacing w:after="0" w:line="86" w:lineRule="exact"/>
        <w:rPr>
          <w:sz w:val="20"/>
          <w:szCs w:val="20"/>
          <w:color w:val="auto"/>
        </w:rPr>
      </w:pPr>
    </w:p>
    <w:p>
      <w:pPr>
        <w:ind w:right="140" w:firstLine="157"/>
        <w:spacing w:after="0" w:line="320"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60"/>
          </w:cols>
          <w:pgMar w:left="220" w:top="716" w:right="2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ind w:left="4740"/>
        <w:spacing w:after="0"/>
        <w:rPr>
          <w:sz w:val="20"/>
          <w:szCs w:val="20"/>
          <w:color w:val="auto"/>
        </w:rPr>
      </w:pPr>
      <w:r>
        <w:rPr>
          <w:rFonts w:ascii="Arial" w:cs="Arial" w:eastAsia="Arial" w:hAnsi="Arial"/>
          <w:sz w:val="13"/>
          <w:szCs w:val="13"/>
          <w:b w:val="1"/>
          <w:bCs w:val="1"/>
          <w:color w:val="auto"/>
        </w:rPr>
        <w:t>SECTION 1350 CERTIFICATION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Pursuant to 18 U.S.C. Section 1350, as adopted pursuant to Section 906 of the Sarbanes-Oxley Act of 2002, the undersigned officer of Brady Corporation (the “Company”) certifies to his knowledge that:</w:t>
      </w:r>
    </w:p>
    <w:p>
      <w:pPr>
        <w:spacing w:after="0" w:line="98" w:lineRule="exact"/>
        <w:rPr>
          <w:sz w:val="20"/>
          <w:szCs w:val="20"/>
          <w:color w:val="auto"/>
        </w:rPr>
      </w:pPr>
    </w:p>
    <w:p>
      <w:pPr>
        <w:ind w:left="580" w:hanging="188"/>
        <w:spacing w:after="0"/>
        <w:tabs>
          <w:tab w:leader="none" w:pos="5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Annual Report on Form 10-K of the Company for the year ended July 31, 2007 fully complies with the requirements of Section 13(a) or 15(d) of the Securities Exchange Act of 1934; and</w:t>
      </w:r>
    </w:p>
    <w:p>
      <w:pPr>
        <w:spacing w:after="0" w:line="97" w:lineRule="exact"/>
        <w:rPr>
          <w:rFonts w:ascii="Arial" w:cs="Arial" w:eastAsia="Arial" w:hAnsi="Arial"/>
          <w:sz w:val="12"/>
          <w:szCs w:val="12"/>
          <w:color w:val="auto"/>
        </w:rPr>
      </w:pPr>
    </w:p>
    <w:p>
      <w:pPr>
        <w:ind w:left="580" w:hanging="188"/>
        <w:spacing w:after="0"/>
        <w:tabs>
          <w:tab w:leader="none" w:pos="5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information contained in that Form 10-K fairly presents, in all material respects, the financial conditions and results of operations of the Company.</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(David Mathieson)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Senior Vice President and Chief Financial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28, 2007</w:t>
      </w:r>
    </w:p>
    <w:p>
      <w:pPr>
        <w:spacing w:after="0" w:line="86" w:lineRule="exact"/>
        <w:rPr>
          <w:sz w:val="20"/>
          <w:szCs w:val="20"/>
          <w:color w:val="auto"/>
        </w:rPr>
      </w:pPr>
    </w:p>
    <w:p>
      <w:pPr>
        <w:ind w:right="140" w:firstLine="157"/>
        <w:spacing w:after="0" w:line="320"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60"/>
      </w:cols>
      <w:pgMar w:left="220" w:top="71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1)"/>
      <w:numFmt w:val="lowerLetter"/>
      <w:start w:val="1"/>
    </w:lvl>
  </w:abstractNum>
  <w:abstractNum w:abstractNumId="3">
    <w:nsid w:val="614FD4A1"/>
    <w:multiLevelType w:val="hybridMultilevel"/>
    <w:lvl w:ilvl="0">
      <w:lvlJc w:val="left"/>
      <w:lvlText w:val="(%1)"/>
      <w:numFmt w:val="lowerLetter"/>
      <w:start w:val="2"/>
    </w:lvl>
  </w:abstractNum>
  <w:abstractNum w:abstractNumId="4">
    <w:nsid w:val="419AC241"/>
    <w:multiLevelType w:val="hybridMultilevel"/>
    <w:lvl w:ilvl="0">
      <w:lvlJc w:val="left"/>
      <w:lvlText w:val="(%1)"/>
      <w:numFmt w:val="lowerLetter"/>
      <w:start w:val="4"/>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lowerLetter"/>
      <w:start w:val="1"/>
    </w:lvl>
  </w:abstractNum>
  <w:abstractNum w:abstractNumId="8">
    <w:nsid w:val="3804823E"/>
    <w:multiLevelType w:val="hybridMultilevel"/>
    <w:lvl w:ilvl="0">
      <w:lvlJc w:val="left"/>
      <w:lvlText w:val="%1"/>
      <w:numFmt w:val="lowerLetter"/>
      <w:start w:val="1"/>
    </w:lvl>
    <w:lvl w:ilvl="1">
      <w:lvlJc w:val="left"/>
      <w:lvlText w:val="(%2)"/>
      <w:numFmt w:val="decimal"/>
      <w:start w:val="1"/>
    </w:lvl>
  </w:abstractNum>
  <w:abstractNum w:abstractNumId="9">
    <w:nsid w:val="77465F01"/>
    <w:multiLevelType w:val="hybridMultilevel"/>
    <w:lvl w:ilvl="0">
      <w:lvlJc w:val="left"/>
      <w:lvlText w:val="(%1)"/>
      <w:numFmt w:val="lowerLetter"/>
      <w:start w:val="2"/>
    </w:lvl>
    <w:lvl w:ilvl="1">
      <w:lvlJc w:val="left"/>
      <w:lvlText w:val="%2"/>
      <w:numFmt w:val="decimal"/>
      <w:start w:val="1"/>
    </w:lvl>
  </w:abstractNum>
  <w:abstractNum w:abstractNumId="10">
    <w:nsid w:val="7724C67E"/>
    <w:multiLevelType w:val="hybridMultilevel"/>
    <w:lvl w:ilvl="0">
      <w:lvlJc w:val="left"/>
      <w:lvlText w:val="(%1)"/>
      <w:numFmt w:val="lowerLetter"/>
      <w:start w:val="3"/>
    </w:lvl>
  </w:abstractNum>
  <w:abstractNum w:abstractNumId="11">
    <w:nsid w:val="5C482A97"/>
    <w:multiLevelType w:val="hybridMultilevel"/>
    <w:lvl w:ilvl="0">
      <w:lvlJc w:val="left"/>
      <w:lvlText w:val="(%1)"/>
      <w:numFmt w:val="lowerLetter"/>
      <w:start w:val="5"/>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2"/>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1."/>
      <w:numFmt w:val="decimal"/>
      <w:start w:val="3"/>
    </w:lvl>
  </w:abstractNum>
  <w:abstractNum w:abstractNumId="22">
    <w:nsid w:val="1D4ED43B"/>
    <w:multiLevelType w:val="hybridMultilevel"/>
    <w:lvl w:ilvl="0">
      <w:lvlJc w:val="left"/>
      <w:lvlText w:val="%1."/>
      <w:numFmt w:val="decimal"/>
      <w:start w:val="5"/>
    </w:lvl>
  </w:abstractNum>
  <w:abstractNum w:abstractNumId="23">
    <w:nsid w:val="725A06FB"/>
    <w:multiLevelType w:val="hybridMultilevel"/>
    <w:lvl w:ilvl="0">
      <w:lvlJc w:val="left"/>
      <w:lvlText w:val="%1."/>
      <w:numFmt w:val="decimal"/>
      <w:start w:val="6"/>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7"/>
    </w:lvl>
  </w:abstractNum>
  <w:abstractNum w:abstractNumId="26">
    <w:nsid w:val="7A6D8D3C"/>
    <w:multiLevelType w:val="hybridMultilevel"/>
    <w:lvl w:ilvl="0">
      <w:lvlJc w:val="left"/>
      <w:lvlText w:val="**"/>
      <w:numFmt w:val="bullet"/>
      <w:start w:val="1"/>
    </w:lvl>
    <w:lvl w:ilvl="1">
      <w:lvlJc w:val="left"/>
      <w:lvlText w:val="*"/>
      <w:numFmt w:val="bullet"/>
      <w:start w:val="1"/>
    </w:lvl>
  </w:abstractNum>
  <w:abstractNum w:abstractNumId="27">
    <w:nsid w:val="4B588F54"/>
    <w:multiLevelType w:val="hybridMultilevel"/>
    <w:lvl w:ilvl="0">
      <w:lvlJc w:val="left"/>
      <w:lvlText w:val="%1."/>
      <w:numFmt w:val="decimal"/>
      <w:start w:val="8"/>
    </w:lvl>
  </w:abstractNum>
  <w:abstractNum w:abstractNumId="28">
    <w:nsid w:val="542289EC"/>
    <w:multiLevelType w:val="hybridMultilevel"/>
    <w:lvl w:ilvl="0">
      <w:lvlJc w:val="left"/>
      <w:lvlText w:val="%1."/>
      <w:numFmt w:val="decimal"/>
      <w:start w:val="9"/>
    </w:lvl>
  </w:abstractNum>
  <w:abstractNum w:abstractNumId="29">
    <w:nsid w:val="6DE91B18"/>
    <w:multiLevelType w:val="hybridMultilevel"/>
    <w:lvl w:ilvl="0">
      <w:lvlJc w:val="left"/>
      <w:lvlText w:val="%1."/>
      <w:numFmt w:val="decimal"/>
      <w:start w:val="10"/>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1)"/>
      <w:numFmt w:val="decimal"/>
      <w:start w:val="3"/>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1)"/>
      <w:numFmt w:val="decimal"/>
      <w:start w:val="4"/>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5"/>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lowerLetter"/>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lowerLetter"/>
      <w:start w:val="2"/>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lowerLetter"/>
      <w:start w:val="1"/>
    </w:lvl>
    <w:lvl w:ilvl="1">
      <w:lvlJc w:val="left"/>
      <w:lvlText w:val="(%2)"/>
      <w:numFmt w:val="decimal"/>
      <w:start w:val="7"/>
    </w:lvl>
  </w:abstractNum>
  <w:abstractNum w:abstractNumId="50">
    <w:nsid w:val="180115BE"/>
    <w:multiLevelType w:val="hybridMultilevel"/>
    <w:lvl w:ilvl="0">
      <w:lvlJc w:val="left"/>
      <w:lvlText w:val="(%1)"/>
      <w:numFmt w:val="lowerLetter"/>
      <w:start w:val="3"/>
    </w:lvl>
    <w:lvl w:ilvl="1">
      <w:lvlJc w:val="left"/>
      <w:lvlText w:val="%2"/>
      <w:numFmt w:val="decimal"/>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decimal"/>
      <w:start w:val="1"/>
    </w:lvl>
    <w:lvl w:ilvl="1">
      <w:lvlJc w:val="left"/>
      <w:lvlText w:val="%2)"/>
      <w:numFmt w:val="decimal"/>
      <w:start w:val="1"/>
    </w:lvl>
  </w:abstractNum>
  <w:abstractNum w:abstractNumId="53">
    <w:nsid w:val="354FE9F9"/>
    <w:multiLevelType w:val="hybridMultilevel"/>
    <w:lvl w:ilvl="0">
      <w:lvlJc w:val="left"/>
      <w:lvlText w:val="%1)"/>
      <w:numFmt w:val="decimal"/>
      <w:start w:val="3"/>
    </w:lvl>
    <w:lvl w:ilvl="1">
      <w:lvlJc w:val="left"/>
      <w:lvlText w:val="%2"/>
      <w:numFmt w:val="decimal"/>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2"/>
    </w:lvl>
  </w:abstractNum>
  <w:abstractNum w:abstractNumId="57">
    <w:nsid w:val="10233C99"/>
    <w:multiLevelType w:val="hybridMultilevel"/>
    <w:lvl w:ilvl="0">
      <w:lvlJc w:val="left"/>
      <w:lvlText w:val="%1."/>
      <w:numFmt w:val="decimal"/>
      <w:start w:val="5"/>
    </w:lvl>
  </w:abstractNum>
  <w:abstractNum w:abstractNumId="58">
    <w:nsid w:val="3F6AB60F"/>
    <w:multiLevelType w:val="hybridMultilevel"/>
    <w:lvl w:ilvl="0">
      <w:lvlJc w:val="left"/>
      <w:lvlText w:val="%1."/>
      <w:numFmt w:val="decimal"/>
      <w:start w:val="8"/>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2019-12-13T14:14:19Z</dcterms:created>
  <dcterms:modified xsi:type="dcterms:W3CDTF">2019-12-13T14:14:19Z</dcterms:modified>
</cp:coreProperties>
</file>