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184" w:lineRule="auto"/>
        <w:tabs>
          <w:tab w:leader="none" w:pos="7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22"/>
          <w:szCs w:val="22"/>
          <w:b w:val="1"/>
          <w:bCs w:val="1"/>
          <w:color w:val="auto"/>
        </w:rPr>
        <w:t>TRANSITION REPORT PURSUANT TO SECTION 13 OR 15(d) OF THE SECURITIES EXCHANGE ACT OF 1934</w:t>
      </w:r>
    </w:p>
    <w:p>
      <w:pPr>
        <w:spacing w:after="0" w:line="25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line="161" w:lineRule="exact"/>
        <w:tabs>
          <w:tab w:leader="none" w:pos="2520" w:val="left"/>
          <w:tab w:leader="none" w:pos="368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50"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5" w:lineRule="exact"/>
        <w:rPr>
          <w:sz w:val="24"/>
          <w:szCs w:val="24"/>
          <w:color w:val="auto"/>
        </w:rPr>
      </w:pPr>
    </w:p>
    <w:p>
      <w:pPr>
        <w:sectPr>
          <w:pgSz w:w="11900" w:h="16838" w:orient="portrait"/>
          <w:cols w:equalWidth="0" w:num="2">
            <w:col w:w="9880" w:space="400"/>
            <w:col w:w="1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As of May 21, 2018, there were 48,200,663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9240" w:type="dxa"/>
            <w:vAlign w:val="bottom"/>
            <w:gridSpan w:val="14"/>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gridSpan w:val="13"/>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1340" w:type="dxa"/>
            <w:vAlign w:val="bottom"/>
            <w:gridSpan w:val="3"/>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 Unaudited)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30, 2018</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1020" w:type="dxa"/>
            <w:vAlign w:val="bottom"/>
            <w:shd w:val="clear" w:color="auto" w:fill="CCEEFF"/>
          </w:tcPr>
          <w:p>
            <w:pPr>
              <w:spacing w:after="0"/>
              <w:rPr>
                <w:sz w:val="17"/>
                <w:szCs w:val="17"/>
                <w:color w:val="auto"/>
              </w:rPr>
            </w:pPr>
          </w:p>
        </w:tc>
        <w:tc>
          <w:tcPr>
            <w:tcW w:w="7100" w:type="dxa"/>
            <w:vAlign w:val="bottom"/>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133,944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161,319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149,638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72,809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69,760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18,117</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22,598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19,147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107,024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17,208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425,050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407,814</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437,697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48,036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53,076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35,456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17,758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18,077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98,005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98,228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261,192</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6,557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4,109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380,630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370,999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282,181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272,896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98,103</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1,033,407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1,050,223</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68,627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66,817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58,192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7,970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42,436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43,618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187,198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obligations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58,157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104,536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58,349</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298,760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350,083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48,205,763 and 47,814,818 shares, respectively</w:t>
            </w:r>
          </w:p>
        </w:tc>
        <w:tc>
          <w:tcPr>
            <w:tcW w:w="2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Class B voting common stock—Issued and outstanding, 3,538,628 shares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327,401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322,608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Earnings retained in the business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507,136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Treasury stock—3,055,724 and 3,446,669 shares, respectively, of Class A nonvoting common stock, at cost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(76,291)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(85,470)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734,647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700,140</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1,050,223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381"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381"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 Unaudited)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24"/>
                <w:szCs w:val="24"/>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298,421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275,927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876,352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824,104</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147,339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136,018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435,513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409,679</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151,082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440,839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414,425</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28,577</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101,695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98,409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299,411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291,128</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113,373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332,923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319,705</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37,709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31,550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107,916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94,720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Investment and other income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(4,565)</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Earnings before income taxes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36,979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30,628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106,766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90,715</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20,312</w:t>
            </w: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26,000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22,553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56,109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70,403</w:t>
            </w: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51,747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51,227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51,628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50,972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52,729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51,882</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44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70,403</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(11,729)</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Net investment hedge and long-term intercompany loan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3,919</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(loss) income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losses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(loss) income</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Actuarial gain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(336)</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tax</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(7,214)</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Income tax (expense) benefit related to items of other comprehensive (loss) income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(13,056)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4,875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(8,594)</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61,809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earnings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other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Principal payments on debt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on equity-based compensation,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56,109</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70,403</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19,047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20,789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7,445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26,501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540"/>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(10,710)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(1,987)</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754</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(3,270)</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89,222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91,162</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(14,755)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(10,856)</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(10,818)</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(32,110)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(31,362)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18,674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17,439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154,653</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(69,012)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(215,068)</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(16,371)</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(77,294)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(89,986)</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(2,509)</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1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(12,151)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133,944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141,228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130,903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129,077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34925</wp:posOffset>
            </wp:positionV>
            <wp:extent cx="19551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2018 and July 31, 2017, its results of operations and comprehensive income for the three and nine months ended April 30, 2018 and 2017, and cash flows for the nine months ended April 30, 2018 and 2017. The condensed consolidated balance sheet as of July 31, 2017,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nine months ended April 30,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391,864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45,833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437,697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36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Balance as of April 30, 2018</w:t>
            </w:r>
          </w:p>
        </w:tc>
        <w:tc>
          <w:tcPr>
            <w:tcW w:w="2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389,472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45,954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435,426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at April 30, 2018 and July 31, 2017, included $118,637 and $209,392 of accumulated impairment losses within the Identification Solutions ("IDS") and Workplace Safety ("WPS") segments, respectively, for a total of $328,029. There were no impairment charges recorded during the nine months ended 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and customer relationships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April 30, 2018</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632</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60,742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(36,336)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24,406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60,759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(31,909)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28,850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22,854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22,854</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23,040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23,040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89,637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(41,601)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48,036</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89,685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(36,609)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53,076</w:t>
            </w:r>
          </w:p>
        </w:tc>
        <w:tc>
          <w:tcPr>
            <w:tcW w:w="0" w:type="dxa"/>
            <w:vAlign w:val="bottom"/>
          </w:tcPr>
          <w:p>
            <w:pPr>
              <w:spacing w:after="0"/>
              <w:rPr>
                <w:sz w:val="1"/>
                <w:szCs w:val="1"/>
                <w:color w:val="auto"/>
              </w:rPr>
            </w:pPr>
          </w:p>
        </w:tc>
      </w:tr>
      <w:tr>
        <w:trPr>
          <w:trHeight w:val="60"/>
        </w:trPr>
        <w:tc>
          <w:tcPr>
            <w:tcW w:w="218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April 30, 2018, compared to July 31, 2017, was due to the effect of currency translations during the nine-month period.</w:t>
      </w:r>
    </w:p>
    <w:p>
      <w:pPr>
        <w:spacing w:after="0" w:line="11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Amortization expense of intangible assets was $1,620 and $1,766 for the three months ended April 30, 2018 and 2017, respectively, and $4,930 and $5,349 for the nine months ended April 30, 2018 and 2017, respectively. The amortization over each of the next five fiscal years is projected to be $6,513, $6,174, $5,210, $5,168 and $5,014 for the fiscal years ending July 31, 2018, 2019, 2020, 2021 and 2022,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2018:</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Unrealized gain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cash flow 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(3,340)</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April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(51,041)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(48,146)</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accumulated other comprehensive loss as of April 30, 2018, compared to July 31, 2017, was primarily due to the appreciation of the U.S. dollar against certain other currencies during the nine-month period. The foreign currency translation adjustments column in the table above includes the impact of foreign currency translation, including foreign currency translation on intercompany notes and net investment hedges, net of tax. Of the total $124 in amounts reclassified from accumulated other comprehensive loss, the $310 loss on cash flow hedges was reclassified into cost of products sold, and the $434 gain on post-retirement plans was reclassified into selling, general and administrative expenses ("SG&amp;A") on the condensed consolidated statement of earnings for the nine months ended 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April 30, 2017,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Unrealized (loss)</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gain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(9,144)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(8,509)</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April 30, 2017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(65,268)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(63,339)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increase in accumulated other comprehensive loss as of April 30, 2017, compared to July 31, 2016, was primarily due to the appreciation of the U.S. dollar against certain other currencies during the nine-month period. The foreign currency translation adjustments column in the table above includes the impact of foreign currency translation, including foreign currency translation on intercompany notes and net investment hedges, net of tax. Of the total $85 in amounts reclassified from accumulated other comprehensive loss, the $323 loss on cash flow hedges was reclassified into cost of products sold, and the $408 gain on post-retirement plans was reclassified into SG&amp;A on the condensed consolidated statement of earnings for the nine months ended April 30, 2017.</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(loss) income for the three and nine months ended April 30, 2018 and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(expense) benefit related to items of other comprehensive loss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w w:val="95"/>
              </w:rPr>
              <w:t>Income tax (expense) benefit related to items of other comprehensive (loss)</w:t>
            </w:r>
          </w:p>
        </w:tc>
        <w:tc>
          <w:tcPr>
            <w:tcW w:w="980" w:type="dxa"/>
            <w:vAlign w:val="bottom"/>
            <w:tcBorders>
              <w:top w:val="single" w:sz="8" w:color="auto"/>
            </w:tcBorders>
            <w:vMerge w:val="restart"/>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7"/>
                <w:szCs w:val="17"/>
                <w:color w:val="auto"/>
              </w:rPr>
            </w:pPr>
          </w:p>
        </w:tc>
        <w:tc>
          <w:tcPr>
            <w:tcW w:w="1060" w:type="dxa"/>
            <w:vAlign w:val="bottom"/>
            <w:tcBorders>
              <w:top w:val="single" w:sz="8" w:color="auto"/>
            </w:tcBorders>
            <w:vMerge w:val="restart"/>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w w:val="94"/>
              </w:rPr>
              <w:t>Earnings (Numerator for basic and diluted Class A Nonvoting Common</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26,000</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22,553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56,109</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70,403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5"/>
              </w:rPr>
              <w:t>Numerator for basic and diluted earnings per Class B Voting Common</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26,000</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22,553</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55,294</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69,601</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w w:val="93"/>
              </w:rPr>
              <w:t>Denominator for basic earnings per share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51,747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51,227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51,628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 and 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per share for both Class A and Class</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52,729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52,201</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52,610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51,882</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675,329 and 577,557 shares of Class A Nonvoting Common Stock for the three months ended April 30, 2018 and 2017, respectively, and 705,843 and 705,859 shares for the nine months ended April 30, 2018 and 2017, respectively, were not included in the computation of diluted net earnings per share because the option exercise price was greater than the average market price of the common shares and, therefore,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taxes, and certain corporate administrative expenses are excluded when evaluating segment performance.</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33"/>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33"/>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0"/>
        </w:trPr>
        <w:tc>
          <w:tcPr>
            <w:tcW w:w="49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212,154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196,880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628,291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589,106</w:t>
            </w:r>
          </w:p>
        </w:tc>
      </w:tr>
      <w:tr>
        <w:trPr>
          <w:trHeight w:val="3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248,061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234,998</w:t>
            </w:r>
          </w:p>
        </w:tc>
      </w:tr>
      <w:tr>
        <w:trPr>
          <w:trHeight w:val="217"/>
        </w:trPr>
        <w:tc>
          <w:tcPr>
            <w:tcW w:w="492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298,421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275,927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876,352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824,104</w:t>
            </w:r>
          </w:p>
        </w:tc>
      </w:tr>
      <w:tr>
        <w:trPr>
          <w:trHeight w:val="73"/>
        </w:trPr>
        <w:tc>
          <w:tcPr>
            <w:tcW w:w="49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77"/>
        </w:trPr>
        <w:tc>
          <w:tcPr>
            <w:tcW w:w="49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74"/>
        </w:trPr>
        <w:tc>
          <w:tcPr>
            <w:tcW w:w="49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237"/>
        </w:trPr>
        <w:tc>
          <w:tcPr>
            <w:tcW w:w="49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36,970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32,633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106,896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94,676</w:t>
            </w:r>
          </w:p>
        </w:tc>
      </w:tr>
      <w:tr>
        <w:trPr>
          <w:trHeight w:val="3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17,615</w:t>
            </w:r>
          </w:p>
        </w:tc>
      </w:tr>
      <w:tr>
        <w:trPr>
          <w:trHeight w:val="217"/>
        </w:trPr>
        <w:tc>
          <w:tcPr>
            <w:tcW w:w="492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44,507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37,753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127,933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112,291</w:t>
            </w:r>
          </w:p>
        </w:tc>
      </w:tr>
      <w:tr>
        <w:trPr>
          <w:trHeight w:val="33"/>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and nine months ended April 30, 2018 and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44,507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127,933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112,291</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(17,571)</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560</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(4,565)</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36,979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30,628</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106,766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90,715</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Restricted and unrestricted shares and RSUs issued under the plan have a grant date fair value equal to the average of the high and low trading price of the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generally vest at the end of a three-year service period provided specified Company financial performance metrics are met.</w:t>
      </w:r>
    </w:p>
    <w:p>
      <w:pPr>
        <w:spacing w:after="0" w:line="11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April 30, 2018, the Company has reserved 3,275,315 shares of Class A Nonvoting Common Stock for outstanding stock options, RSUs, and restricted shares and 4,046,476 shares of Class A Nonvoting Common Stock remain for future issuance of stock options, RSUs, and restricted and unrestricted shares under the plan. The Company uses treasury stock or will issue new Class A Nonvoting Common Stock to deliver shares under the plan.</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April 30, 2018 and 2017, was $1,684 ($1,263 net of taxes) and $2,051 ($1,272 net of taxes), respectively. Expense recognized during the nine months ended April 30, 2018 and 2017, was $7,581 ($5,685 net of taxes) and $7,445 ($4,616 net of taxes), respectively.</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April 30, 2018, total unrecognized compensation cost related to stock-based compensation awards was $12,273 pre-tax, net of estimated forfeitures, which the Company expects to recognize over a weighted-average period of 1.8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grant date fair value of its service-based stock option awards granted during the nine months ended April 30, 2018 and 2017,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9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29.55%</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35.14</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35.14</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nine months ended April 30, 2018,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2,879,801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364,046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(106,715)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31.46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2,736,850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24,032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April 30, 2018</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1,950,754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26.63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19,750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were 1,950,754 and 1,882,244 options exercisable with a weighted average exercise price of $26.63 and $28.37 at April 30, 2018 and 2017, respectively. The total intrinsic value of options exercised during the nine months ended April 30, 2018 and 2017, based upon the average market price at the time of exercise during the period, was $2,983 and $7,809, respectively. The total fair value of stock options vested during the nine months ended April 30, 2018 and 2017, was $3,006 and $2,901, respectively.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cash received from the exercise of options during the three months ended April 30, 2018 and 2017, was $63 and $4,015, respectively. The cash received from the exercise of options during the nine months ended April 30, 2018, and 2017 was $10,011 and $18,674, respectively. The tax benefit on options exercised during the three months ended April 30, 2018 and 2017, was $15 and $1,514, respectively. The tax benefit on options exercised during the nine months ended April 30, 2018 and 2017, was $910 and $2,967,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the RSU activity under the Company's share-based compensation plans for the nine months ended April 30, 2018:</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517,108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93,118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36.79</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(42,556)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27.10</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430,368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28.16</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service-based RSUs granted during the nine months ended April 30, 2017, had a weighted-average grant date fair value of $35.13 per share. The total fair value of service-based RSUs vested during the nine months ended April 30, 2018 and 2017, was $5,004 and $4,173, respectively.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56,290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33.12</w:t>
            </w:r>
          </w:p>
        </w:tc>
      </w:tr>
      <w:tr>
        <w:trPr>
          <w:trHeight w:val="3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(6,399)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32.57</w:t>
            </w:r>
          </w:p>
        </w:tc>
      </w:tr>
      <w:tr>
        <w:trPr>
          <w:trHeight w:val="33"/>
        </w:trPr>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performance-based RSUs granted during the nine months ended April 30, 2017, had a weighted-average grant date fair value of $32.03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unvested service-based and performance-based RSUs outstanding at April 30, 2018, and expected to vest was $19,600.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April 30, 2018 and July 31, 2017, according to the valuation techniques the Company used to determine their fair values.</w:t>
      </w:r>
    </w:p>
    <w:p>
      <w:pPr>
        <w:spacing w:after="0" w:line="117"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April 30, 2018</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14,216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14,216</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14,216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14,743</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2017</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15,348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nine months ended April 30, 2018. In addition, the Company had no significant measurements of assets or liabilities at fair value on a nonrecurring basis subsequent to their initial recognition during the nine months ended April 30, 2018.</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and other liabilities. The fair values of these financial instruments approximated carrying values because of their short-term nature.</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excluding notes payable, based on the quoted market prices for similar issues and on the current rates offered for debt of similar maturities was $61,794 and $109,303 at April 30, 2018 and July 31, 2017, respectively, as compared to the carrying value of $58,157 and $104,536 at April 30, 2018 and July 31, 2017,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2018 and July 31, 2017, the notional amount of outstanding forward exchange contracts was $37,907 and $81,195, respectively.</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Euro, Canadian dollar, and Mexican peso. Generally, these risk management transactions will involve the use of foreign currency derivatives to minimize the impact of currency movements on non-functional currency transactions.</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As of April 30, 2018 and 2017, unrealized gains of $65 and $171 have been included in OCI, respectively. Balances are reclassified from OCI to earnings when the hedged transactions impact earnings. For the three months ended April 30, 2018 and 2017, the Company reclassified losses of $264 and $114 from OCI into earnings, respectively. For the nine months ended April 30, 2018 and 2017, the Company reclassified losses of $446 and $530 from OCI into earnings, respectively. At April 30, 2018, the U.S. dollar equivalent of these outstanding forward foreign exchange contracts totaled $34,680, including contracts to sell Euros and Canadian dollars, and contracts to buy Mexican pesos.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April 30, 2017, €45 million of Euro-denominated senior unsecured notes were designated as net investment hedges to hedge portions of the Company's net investment in European operations. The Company’s foreign denominated debt obligations are valued under a market approach using publicized spot prices.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recognized gains of $9 and $29 for the three and nine months ended April 30, 2018, respectively, and gains of $1,725 and losses of $3,321 for the three and nine months ended April 30, 2017, respectively, in “Investment and other income” on the condensed consolidated statements of earnings related to non-designated hedges.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April 30, 2018</w:t>
            </w: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2017</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tcBorders>
              <w:bottom w:val="single" w:sz="8" w:color="auto"/>
            </w:tcBorders>
            <w:gridSpan w:val="3"/>
            <w:shd w:val="clear" w:color="auto" w:fill="CCEEFF"/>
          </w:tcPr>
          <w:p>
            <w:pPr>
              <w:ind w:left="680"/>
              <w:spacing w:after="0"/>
              <w:rPr>
                <w:sz w:val="20"/>
                <w:szCs w:val="20"/>
                <w:color w:val="auto"/>
              </w:rPr>
            </w:pPr>
            <w:r>
              <w:rPr>
                <w:rFonts w:ascii="Arial" w:cs="Arial" w:eastAsia="Arial" w:hAnsi="Arial"/>
                <w:sz w:val="14"/>
                <w:szCs w:val="14"/>
                <w:b w:val="1"/>
                <w:bCs w:val="1"/>
                <w:color w:val="auto"/>
                <w:w w:val="99"/>
              </w:rPr>
              <w:t>April 30, 2018</w:t>
            </w: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2017</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54,576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53,280</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54,944</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54,849</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I — 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22, 2017, the U.S. Tax Cuts and Jobs Act (the “Tax Reform Act”) was enacted. Among the significant changes to the U.S. Internal Revenue Code, the Tax Reform Act reduces the U.S. federal corporate income tax rate from 35.0% to 21.0%, imposes a one-time tax on deemed repatriated earnings of foreign subsidiaries, eliminates the domestic manufacturing deduction and moves to a partial territorial system by providing a 100% dividend received deduction on certain qualified dividends from foreign subsidiaries. As the Company has a July 31 fiscal year end, the lower corporate income tax rate will be phased in, resulting in a U.S. statutory federal income tax rate of 26.9% for the fiscal year ending July 31, 2018 and 21.0% for subsequent fiscal years.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transition to the partial territorial tax system, the Tax Reform Act imposes a one-time tax on the mandatory deemed repatriation of historical earnings of foreign subsidiaries. Companies can claim certain credits for foreign taxes deemed paid on foreign earnings subject to the mandatory deemed repatriation. The Company’s provisional calculations resulted in an income tax charge of $402 related to the deemed repatriation of the historical earnings of foreign subsidiaries during the three-month period ended January 31, 2018.</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reduction in the U.S. federal income tax rate requires the Company to remeasure its U.S. deferred tax assets and liabilities to the income tax rate at which the deductible or taxable event is expected to be realized, and changes the statutory U.S. federal tax from 35.0% to 26.9% for the entire year ending July 31, 2018. Additionally, the Company established a valuation allowance for deferred tax assets related to foreign tax credits, primarily related to the impact of the Tax Reform Act on the Company's ability to generate future foreign-source income. The provisional impact of the Tax Reform Act related to the remeasurement of deferred tax assets and liabilities, the impact on the Company’s fiscal 2018 earnings from the reduced tax rate, and the establishment of the valuation allowance discussed above resulted in income tax expense of $18,832 for the three-month period ended January 31, 2018.</w:t>
      </w:r>
    </w:p>
    <w:p>
      <w:pPr>
        <w:spacing w:after="0" w:line="16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continues to review the anticipated impacts of the global intangible low taxed income (“GILTI”), foreign derived intangible income ("FDII") and base erosion anti-abuse tax (“BEAT”) enacted under the Tax Reform Act, which are not effective until fiscal year 2019. The condensed consolidated financial statements for the three and nine-month periods ended April 30, 2018, do not include a provisional estimate associated with either GILTI, FDII or BEAT.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result of the Tax Reform Act, the Company expects that it will repatriate certain historical and future foreign earnings periodically, which in certain jurisdictions may be subject to withholding and income taxes. These additional withholding and income taxes are recorded as a deferred tax liability associated with the basis difference in such jurisdictions. During the three-month period ended January 31, 2018, the Company recorded a provisional income tax expense of $1,826 related to the recording of a deferred tax liability for future withholding and income taxes on the distribution of foreign earnings. The uncertainty related to the taxation of such withholding and income taxes on distributions under the Tax Reform Act and the finalization of future cash repatriation plans make the deferred tax liability a provisional amount.</w:t>
      </w:r>
    </w:p>
    <w:p>
      <w:pPr>
        <w:spacing w:after="0" w:line="1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No significant adjustments have been made to the provisional amounts recognized in the three month-period ended January 31, 2018; however, the final enactment impacts of the Tax Reform Act may differ from the above estimates due to changes in interpretation, legislative action to address questions that arise, changes in accounting standards for income taxes or related interpretations in response to the Tax Reform Act, or any updates or changes to information the Company has utilized to develop the estimates, including impacts from changes to current year earnings estimates and foreign exchange rates of foreign subsidiaries. The U.S. Securities and Exchange Commission has issued rules that would allow for a measurement period of up to one year after the enactment date of the Tax Reform Act to finalize the recording of the related tax impacts.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2018, the Financial Accounting Standards Board ("FASB") issued Accounting Standard Update ("ASU") 2018-02, "Reporting Comprehensive Income (Topic 220): Reclassification of Certain Tax effects from Accumulated Other Comprehensive Income," which allows a reclassification from accumulated OCI to retained earnings for stranded tax effects resulting from the Tax Reform Act. The guidance is effective for interim and annual periods beginning after December 15, 2018, with early adoption permitted. The Company does not expect a material impact to the financial statements or disclosures.</w:t>
      </w:r>
    </w:p>
    <w:p>
      <w:pPr>
        <w:spacing w:after="0" w:line="18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August 2017, the FASB issued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and annual periods beginning after December 15, 2018, with early adoption permitted. This new guidance will require a modified retrospective adoption approach to existing hedging relationships as of the adoption date. The Company is currently evaluating the impact of this update on its consolidated financial statements and disclosures.</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2017, the FASB issued ASU 2017-07, "Compensation-Retirement Benefits (Topic 715): Improving the presentation of Net Periodic Pension Cost and Net Periodic Postretirement Benefit Cost," which requires entities to present the service cost component of net periodic pension cost and net periodic postretirement benefit cost in the income statement line items where they report compensation cost. Entities will present all other components of net benefit cost outside operating income, if this subtotal is presented. The amendment only impacts where those costs are reflected within the income statement. In addition, only the service cost component of net benefit cost is eligible for capitalization. This guidance is effective for annual periods beginning after December 15, 2017, including interim reporting periods within those annual reporting periods. The Company does not expect a material impact to the financial statements or disclosures.</w:t>
      </w:r>
    </w:p>
    <w:p>
      <w:pPr>
        <w:spacing w:after="0" w:line="18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This guidance will only impact the Company's consolidated financial statements if there is a future impairment of goodwill.</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expects the new lease standard to increase its total assets and liabilities; however, it is evaluating the magnitude of the impact on its consolidated financial statements. The Company has formed a team to implement the new lease standard and has selected a third-party software program to track and store its leases.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customer, replacing the existing guidance which requires revenue recognition when the risks and rewards transfer to the customer. Under the new guidance, companies should recognize revenues in amounts reflecting the payment to which a company expects to be entitled in exchange for those goods or services.</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ASU 2014-09 (and related updates) is effective for annual periods beginning after December 15, 2017, and interim periods within those annual periods, with early adoption permitted for annual periods beginning after December 15, 2016. Entities have the option of using either a full retrospective or a modified retrospective approach for the adoption of the standard. The Company's efforts to evaluate the impact and to prepare for its adoption on August 1, 2018 are substantially complete. The Company is assessing its process for accumulating the required information for enhanced disclosures regarding the nature, amount, timing and uncertainty of revenue under the new standard. The Company currently anticipates applying the modified retrospective approach when adopting this guidance and does not expect a material impact to the financial statements or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K — Subsequent Events</w:t>
      </w:r>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May 16, 2018, the Company entered into an agreement to sell Runelandhs Försäljnings AB (“Runelandhs”), based in Kalmar, Sweden for approximately $20 million. Runelandhs is a direct marketer of industrial and office equipment with annual sales of approximately $16 million. Its products include lifting, transporting, and warehouse equipment; workbenches and material handling supplies; products for environmental protection; and entrance, reception, and office furnishings. The agreement to sell is expected to close in the fourth quarter ending July 31, 2018.</w:t>
      </w:r>
    </w:p>
    <w:p>
      <w:pPr>
        <w:spacing w:after="0" w:line="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22, 2018, the Board of Directors declared a quarterly cash dividend to shareholders of the Company’s Class A and Class B Common Stock of $0.2075 per share payable on July 31, 2018, to shareholders of record at the close of business on July 10,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35% and 65%, respectively.</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2018:</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that align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Executing sustainable efficiency gains throughout our global operations as well as our selling, general, and administrative structures.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digital presence.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nine months ended April 30, 2018 and 2017,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9"/>
          </w:tcPr>
          <w:p>
            <w:pPr>
              <w:ind w:left="360"/>
              <w:spacing w:after="0"/>
              <w:rPr>
                <w:sz w:val="20"/>
                <w:szCs w:val="20"/>
                <w:color w:val="auto"/>
              </w:rPr>
            </w:pPr>
            <w:r>
              <w:rPr>
                <w:rFonts w:ascii="Arial" w:cs="Arial" w:eastAsia="Arial" w:hAnsi="Arial"/>
                <w:sz w:val="16"/>
                <w:szCs w:val="16"/>
                <w:b w:val="1"/>
                <w:bCs w:val="1"/>
                <w:color w:val="auto"/>
              </w:rPr>
              <w:t>Three months ended April 30,</w:t>
            </w:r>
          </w:p>
        </w:tc>
        <w:tc>
          <w:tcPr>
            <w:tcW w:w="3060" w:type="dxa"/>
            <w:vAlign w:val="bottom"/>
            <w:gridSpan w:val="8"/>
          </w:tcPr>
          <w:p>
            <w:pPr>
              <w:jc w:val="right"/>
              <w:ind w:right="4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2"/>
              </w:rPr>
              <w:t>% Sales</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298,421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275,927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$ 876,352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824,104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151,082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139,909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440,839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414,425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11,678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9,950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33,512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28,577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101,695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98,409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299,411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291,128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7"/>
        </w:trPr>
        <w:tc>
          <w:tcPr>
            <w:tcW w:w="298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113,373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108,359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332,923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319,705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37,709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31,550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$ 107,916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94,720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the Company's businesses and facilitating comparisons of sales performance with prior periods. All analytical commentary regarding the change in sales when compared to prior periods within the forthcoming sections are in reference to organic sales.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Sales for the three months ended April 30, 2018, increased 8.2% to $298.4 million, compared to $275.9 million in the same period of the prior year, which consisted of organic sales growth of 3.2% and a positive currency impact of 5.0% due to the weakening of the U.S. Dollar against certain other currencies as compared to the same period in the prior year. Organic sales grew 3.7% in the IDS segment and 1.7% in the WPS segment during the three months ended April 30, 2018, compared to the same period in the prior year. The IDS segment realized sales growth in the Product ID and Wire ID product lines, partially offset by a decline in the Healthcare ID product line compared to the prior year. The WPS segment realized growth in both digital and traditional catalog channel sales when compared to the same period in the prior year.</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Sales for the nine months ended April 30, 2018, increased 6.3% to $876.4 million, compared to $824.1 million in the same period of the prior year, which consisted of organic sales growth of 2.7% and a positive currency impact of 3.6%. Organic sales grew 3.7% in the IDS segment and declined 0.1% in the WPS segment during the nine months ended April 30, 2018, compared to the same period in the prior year. The IDS segment realized sales growth in the Product ID, Wire ID, and Safety and Facility ID product lines, partially offset by a decline in the Healthcare ID product line. Catalog channel sales in the WPS segment declined, but were partially offset by digital channel sales growth when compared to the same period in the prior year.</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margin for the three months ended April 30, 2018, increased 8.0% to $151.1 million, compared to $139.9 million in the same period of the prior year, and increased 6.4% to $440.8 million for the nine months ended April 30, 2018, compared to $414.4 million in the same period of the prior year. As a percentage of sales, gross margin remained relatively consistent for the three and nine months ended April 30, 2018, compared to the same periods of the prior year. On-going efforts to streamline manufacturing processes and operational efficiencies in manufacturing facilities are offsetting increases in input costs.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R&amp;D expenses for the three months ended April 30, 2018, increased 17.4% to $11.7 million, compared to $10.0 million in the same period of the prior year, and increased 17.3% to $33.5 million for the nine months ended April 30, 2018, compared to $28.6 million in the same period of the prior year. The increases in both the three and nine-month periods were primarily due to increased investments in several new software and printer updates within the IDS segment.</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SG&amp;A expenses include selling costs directly attributed to the IDS and WPS segments, as well as certain other expenses including finance, information technology, human resources, and other administrative expenses. SG&amp;A increased 3.3% to $101.7 million for the three months ended April 30, 2018, and 2.8% to $299.4 million for the nine months ended April 30, 2018, compared to $98.4 million and $291.1 million in the same periods of the prior year, respectively. The increases in both the three and nine-month periods were primarily due to the impact of the weakening U.S. dollar on the translation of foreign SG&amp;A expenses, which were partially offset by reduced SG&amp;A expenses due to efficiency gains. As a percentage of sales, SG&amp;A declined for the three and nine months ended April 30, 2018, compared to the same periods in the prior year.</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was $37.7 million during the three months ended April 30, 2018, compared to $31.6 million for the three months ended April 30, 2017, resulting in a 19.3% increase. Operating income was $107.9 million during the nine months ended April 30, 2018, compared to $94.7 million for the nine months ended April 30, 2017, resulting in an 13.9% increase. The increases in both the three and nine-month periods were primarily due to increased organic sales, reduced selling expenses exclusive of foreign currency fluctuations, and the overall net positive impact of foreign currency fluctuations, partially offset by increased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9"/>
          </w:tcPr>
          <w:p>
            <w:pPr>
              <w:ind w:left="460"/>
              <w:spacing w:after="0"/>
              <w:rPr>
                <w:sz w:val="20"/>
                <w:szCs w:val="20"/>
                <w:color w:val="auto"/>
              </w:rPr>
            </w:pPr>
            <w:r>
              <w:rPr>
                <w:rFonts w:ascii="Arial" w:cs="Arial" w:eastAsia="Arial" w:hAnsi="Arial"/>
                <w:sz w:val="16"/>
                <w:szCs w:val="16"/>
                <w:b w:val="1"/>
                <w:bCs w:val="1"/>
                <w:color w:val="auto"/>
              </w:rPr>
              <w:t>Three months ended April 30,</w:t>
            </w:r>
          </w:p>
        </w:tc>
        <w:tc>
          <w:tcPr>
            <w:tcW w:w="140" w:type="dxa"/>
            <w:vAlign w:val="bottom"/>
          </w:tcPr>
          <w:p>
            <w:pPr>
              <w:spacing w:after="0"/>
              <w:rPr>
                <w:sz w:val="18"/>
                <w:szCs w:val="18"/>
                <w:color w:val="auto"/>
              </w:rPr>
            </w:pPr>
          </w:p>
        </w:tc>
        <w:tc>
          <w:tcPr>
            <w:tcW w:w="2520" w:type="dxa"/>
            <w:vAlign w:val="bottom"/>
            <w:gridSpan w:val="8"/>
          </w:tcPr>
          <w:p>
            <w:pPr>
              <w:ind w:left="540"/>
              <w:spacing w:after="0"/>
              <w:rPr>
                <w:sz w:val="20"/>
                <w:szCs w:val="20"/>
                <w:color w:val="auto"/>
              </w:rPr>
            </w:pPr>
            <w:r>
              <w:rPr>
                <w:rFonts w:ascii="Arial" w:cs="Arial" w:eastAsia="Arial" w:hAnsi="Arial"/>
                <w:sz w:val="16"/>
                <w:szCs w:val="16"/>
                <w:b w:val="1"/>
                <w:bCs w:val="1"/>
                <w:color w:val="auto"/>
                <w:w w:val="90"/>
              </w:rPr>
              <w:t>Nine months ended April 30,</w:t>
            </w:r>
          </w:p>
        </w:tc>
        <w:tc>
          <w:tcPr>
            <w:tcW w:w="66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16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160" w:type="dxa"/>
            <w:vAlign w:val="bottom"/>
          </w:tcPr>
          <w:p>
            <w:pPr>
              <w:spacing w:after="0"/>
              <w:rPr>
                <w:sz w:val="20"/>
                <w:szCs w:val="20"/>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 Sales</w:t>
            </w:r>
          </w:p>
        </w:tc>
      </w:tr>
      <w:tr>
        <w:trPr>
          <w:trHeight w:val="33"/>
        </w:trPr>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37,709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31,550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107,916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94,720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252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(2,453)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36,979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30,628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106,766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90,715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10,979</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8,075</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50,657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20,312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33"/>
        </w:trPr>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22,553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70,403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was negligible for the three months ended April 30, 2018, and $1.3 million for the nine months ended April 30, 2018, compared to investment and other income of $0.5 million and $0.6 million in the same periods of the prior year, respectively. The change during the three-month period was primarily due to a decrease in the market value of securities held in deferred compensation plans; partially offset by increased interest income. The change during the nine-month period was primarily due to increased interest income.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$0.8 million from $1.4 million for the three months ended January 31, 2018, and decreased to $2.5 million from $4.6 million for the nine months ended April 30, 2018, compared to the same periods in the prior year. For both the three and nine-month periods, the decrease in interest expense was due to the Company's declining principal balances under its outstanding debt agreements.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income tax rate was 29.7% for the three months ended April 30, 2018, compared to 26.4% for the same period in the prior year. The income tax rate was 47.4% for the nine months ended April 30, 2018, compared to 22.4% for the same period of the prior year. The increase in the income tax rates was primarily due to the enactment of the Tax Reform Act which resulted in $21.1 million of additional tax expense in the three-month period ended January 31, 2018. In the prior three and nine-month periods ended April 30, 2017, the Company’s income tax rate was reduced from its historical average in the high-20% range due to a decrease in the reserve related to uncertain tax positions and foreign tax credits generated from a cash repatriation to the U.S., respectively. Refer to Note I - Income Taxes for additional details regarding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30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33"/>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212,154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196,880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628,291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589,106</w:t>
            </w:r>
          </w:p>
        </w:tc>
      </w:tr>
      <w:tr>
        <w:trPr>
          <w:trHeight w:val="3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86,267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79,047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248,061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234,998</w:t>
            </w: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298,421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275,927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876,352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824,104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94,676</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6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7,537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21,037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17,615</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44,507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112,291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and nine months ended April 30, 2018 and 2017:</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112,291</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(17,571)</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(4,565)</w:t>
            </w:r>
          </w:p>
        </w:tc>
      </w:tr>
      <w:tr>
        <w:trPr>
          <w:trHeight w:val="217"/>
        </w:trPr>
        <w:tc>
          <w:tcPr>
            <w:tcW w:w="404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36,979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30,628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106,766</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90,715</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Approximately 70% of net sales in the IDS segment were generated in the Americas region, 20% in Europe and 10% in Asia. IDS sales increased 7.8% and 6.7%for the three and nine months ended April 30, 2018, respectively, compared to the same periods in the prior year. Organic sales increased 3.7% for both the three and nine months ended April 30, 2018, compared to the same periods in the prior year. Foreign currency translation increased sales by 4.1% and 3.0% for the three and nine months ended April 30, 2018, compared to the same periods in the prior year.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the Americas grew in the low-single digits for both the three and nine months ended April 30, 2018, compared to the same periods in the prior year. Organic sales growth in the IDS Americas region for the three and nine-month periods was led by the Wire ID product line, the Product ID product line, and, to a lesser extent, the Safety and Facility ID product line. Growth was driven by an increase in sales to distributor channel partners as well as an overall increase in demand from diversified industrial customers. This organic growth was partially offset by a decline in the Healthcare ID product line due to continued pricing pressures within certain product categories resulting from the consolidation of group purchasing organizations, compared to the same periods in the prior year.</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grew in the mid-single and high-single digits for the three and nine months ended April 30, 2018, respectively, compared to the same periods in the prior year. The IDS Europe region realized organic sales growth in the Product ID and Wire ID product lines for the three months ended April 30, 2018, and organic sales growth in the Product ID, Wire ID, and Safety and Facility ID product lines for the nine months ended April 30, 2018, compared to the same periods in the prior year. Organic sales growth was led by businesses based in Western Europe, in particular, increases in sales through the Company's distribution channels for both the three and nine-month periods.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Asia grew in the mid-single and high-single digits for the three and nine months ended April 30, 2018, respectively, compared to the same periods in the prior year. The IDS Asia region realized organic sales growth in the Product ID and Wire ID product lines, partially offset by the Safety and Facility ID product line for the three and nine months ended April 30, 2018, compared to the same periods in the prior year. Organic sales increased throughout most of Asia for the three and nine-month periods and was led by China where sales increased in the low-single and high-single digits, respectively.</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Segment profit increased to $37.0 million for the three months ended April 30, 2018, compared to $32.6 million in the same period in the prior year. As a percentage of sales, segment profit increased to 17.4% from 16.6% in the same period of the prior year. Segment profit increased to $106.9 million from $94.7 million for the nine months ended April 30, 2018, compared to the same period in the prior year. As a percentage of sales, segment profit increased to 17.0% from 16.1% for same period in the prior year. The increase in segment profit for both the three and nine-month periods was primarily driven by sales growth, operational efficiencies in our manufacturing processes, and efficiencies in SG&amp;A in all regions, partially offset by pricing pressures in the Americas.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increased 9.1% and 5.6% for the three and nine months ended April 30, 2018, respectively, compared to the same periods in the prior year. Organic sales increased 1.7% and declined 0.1% in the three and nine months ended April 30, 2018, respectively, compared to the same periods in the prior year. Foreign currency translation increased sales by 7.4% and 5.7% for the three and nine months ended April 30, 2018, respectively, due to the weakening of the U.S. dollar against certain other major currencies as compared to the same periods in the prior year.</w:t>
      </w:r>
    </w:p>
    <w:p>
      <w:pPr>
        <w:spacing w:after="0" w:line="13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WPS business in Europe realized low-single digit organic sales growth for the three and nine months ended April 30, 2018, compared to the same periods in the prior year. This growth was driven primarily by businesses in the U.K. and France due to improvements in website functionality, growth in new customers, and key account management. Digital sales experienced double digit and high-single digits growth, partially offset by a slight decline in traditional catalog channel sales during the three and nine months ended April 30, 2018, respectively, compared to the same periods in the prior year.</w:t>
      </w:r>
    </w:p>
    <w:p>
      <w:pPr>
        <w:spacing w:after="0" w:line="2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Organic sales in the Americas increased in the low-single digits for the three months, and decreased in the low-single digits for the nine months ended April 30, 2018, compared to the same periods in the prior year. Both catalog and digital channel sales increased in the low-single digits for the three months, and decreased in the low-single digits for the nine months ended April 30, 2018, compared to the same periods in the prior year.</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grew in the mid-single and low-single digits for the three and nine months ended April 30, 2018, respectively, compared to the same periods in the prior year. The WPS business has diversified its product offering into many different industries in Australia as sales to the mining industry became less significant over the past several years. Its strategy is continuing to focus on enhancing its expertise in these industries to drive sales growth, while addressing its cost structure to improve profitability.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to $7.5 million from $5.1 million for the three months ended April 30, 2018, and to $21.0 million from $17.6 million for the nine months ended April 30, 2018, compared to the same periods in the prior year. As a percentage of sales, segment profit increased to 8.7% from 6.5% for the three months ended April 30, 2018, and to 8.5% from 7.5% for the nine months ended April 30, 2018, compared to the same periods in the prior year. The increase in segment profit was primarily due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sales growth in the three-month period and efficiency gains throughout manufacturing processes and the SG&amp;A cost structure for both the three and nine months ended April 30, 2018, compared to the same periods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decreased by $3.0 million and $12.2 million during the nine months ended April 30, 2018 and 2017,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7"/>
              </w:rPr>
              <w:t>Nine months ended April 30,</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89,222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91,162</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(10,818)</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(89,986)</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(2,509)</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(12,151)</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decreased to $89.2 million for the nine months ended April 30, 2018, compared to $91.2 million in the same period of the prior year. The decrease in cash provided by operating activities of $1.9 million was primarily due to a decrease in cash provided by working capital in support of growth and a higher incentive payment, partially offset by an increase in net earnings including non-cash adjustments in the current nine-month period compared to the same period in the prior year.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$15.0 million for the nine months ended April 30, 2018, compared to $10.8 million in the same period of the prior year. The increase in cash used in investing activities of $4.1 million was due to an increase in capital expenditures for manufacturing equipment and facility upgrades in the United States and Europe.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$77.3 million during the nine months ended April 30, 2018, compared to $90.0 million in the same period of the prior year. The change of $12.7 million was due to a decrease of $25.2 million in net credit facility and debt repayments in the current year, which was partially offset by an $8.7 million decrease in proceeds from stock option exercises in the current year.</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At the Company's option, and subject to certain conditions, the available amount under the revolving loan agreement may be increased from $300 million to $450 million. As of April 30, 2018, the outstanding balance on the credit facility was $3.6 million, and the maximum outstanding balance during the nine months ended April 30, 2018, was $51.3 million. The Company also had letters of credit outstanding under the loan agreement of $3.1 million as of April 30, 2018, and there was $293.3 million available for future borrowing, which can be increased to $443.3 million at the Company's option, subject to certain conditions. The revolving loan agreement has a final maturity date of September 25, 2020. As such, the borrowing is included in "Long-term obligations" on the condensed consolidated balance sheets.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April 30, 2018, the Company was in compliance with these financial covenants, with the leverage ratio, as defined by the agreements, equal to 0.3 to 1.0 and the interest expense coverage ratio equal to 53.4 to 1.0.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April 30, 2018, approximately 81%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 The leases generally are entered into for manufacturing facilities, warehouses and office space, computer equipment and Company vehicles.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334"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and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Tax Reform Act and any other 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13, 2017.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2017. There has been no material change in this information since July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13, 2017, the Company's Board of Directors authorized a share repurchase program of 2,000,000 shares. During the three months ended April 30, 2018, the Company purchased 35,594 shares of its Class A Nonvoting Common Stock under its share repurchase plan for $1.3 million. As of April 30, 2018, there remained 1,964,406 shares to purchase in connection with this plan.</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April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of Shares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 As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Part of</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Number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Publicly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w:t>
            </w:r>
          </w:p>
        </w:tc>
      </w:tr>
      <w:tr>
        <w:trPr>
          <w:trHeight w:val="210"/>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Purchased</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February 1, 2018 - February 28, 2018</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35,594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35,594</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1,964,406</w:t>
            </w: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2018 - March 31, 2018</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1,964,406</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April 1, 2018 - April 30, 2018</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1,964,406</w:t>
            </w:r>
          </w:p>
        </w:tc>
      </w:tr>
      <w:tr>
        <w:trPr>
          <w:trHeight w:val="33"/>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35,594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1,964,406</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30">
        <w:r>
          <w:rPr>
            <w:rFonts w:ascii="Arial" w:cs="Arial" w:eastAsia="Arial" w:hAnsi="Arial"/>
            <w:sz w:val="16"/>
            <w:szCs w:val="16"/>
            <w:u w:val="single" w:color="auto"/>
            <w:color w:val="0000FF"/>
          </w:rPr>
          <w:t>Rule 13a-14(a)/15d-14(a)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31">
        <w:r>
          <w:rPr>
            <w:rFonts w:ascii="Arial" w:cs="Arial" w:eastAsia="Arial" w:hAnsi="Arial"/>
            <w:sz w:val="16"/>
            <w:szCs w:val="16"/>
            <w:u w:val="single" w:color="auto"/>
            <w:color w:val="0000FF"/>
          </w:rPr>
          <w:t>Rule 13a-14(a)/15d-14(a) Certification of Aaron J. Pearce</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32">
        <w:r>
          <w:rPr>
            <w:rFonts w:ascii="Arial" w:cs="Arial" w:eastAsia="Arial" w:hAnsi="Arial"/>
            <w:sz w:val="16"/>
            <w:szCs w:val="16"/>
            <w:u w:val="single" w:color="auto"/>
            <w:color w:val="0000FF"/>
          </w:rPr>
          <w:t>Section 1350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33">
        <w:r>
          <w:rPr>
            <w:rFonts w:ascii="Arial" w:cs="Arial" w:eastAsia="Arial" w:hAnsi="Arial"/>
            <w:sz w:val="16"/>
            <w:szCs w:val="16"/>
            <w:u w:val="single" w:color="auto"/>
            <w:color w:val="0000FF"/>
          </w:rPr>
          <w:t>Section 1350 Certification of Aaron J. Pearce</w:t>
        </w:r>
      </w:hyperlink>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00" w:type="dxa"/>
            <w:vAlign w:val="bottom"/>
            <w:gridSpan w:val="2"/>
          </w:tcPr>
          <w:p>
            <w:pPr>
              <w:jc w:val="center"/>
              <w:ind w:right="3230"/>
              <w:spacing w:after="0"/>
              <w:rPr>
                <w:sz w:val="20"/>
                <w:szCs w:val="20"/>
                <w:color w:val="auto"/>
              </w:rPr>
            </w:pPr>
            <w:r>
              <w:rPr>
                <w:rFonts w:ascii="Arial" w:cs="Arial" w:eastAsia="Arial" w:hAnsi="Arial"/>
                <w:sz w:val="18"/>
                <w:szCs w:val="18"/>
                <w:color w:val="auto"/>
                <w:w w:val="93"/>
              </w:rPr>
              <w:t>SIGNATURES</w:t>
            </w:r>
          </w:p>
        </w:tc>
      </w:tr>
      <w:tr>
        <w:trPr>
          <w:trHeight w:val="378"/>
        </w:trPr>
        <w:tc>
          <w:tcPr>
            <w:tcW w:w="3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280" w:type="dxa"/>
            <w:vAlign w:val="bottom"/>
          </w:tcPr>
          <w:p>
            <w:pPr>
              <w:spacing w:after="0"/>
              <w:rPr>
                <w:sz w:val="20"/>
                <w:szCs w:val="20"/>
                <w:color w:val="auto"/>
              </w:rPr>
            </w:pPr>
            <w:r>
              <w:rPr>
                <w:rFonts w:ascii="Arial" w:cs="Arial" w:eastAsia="Arial" w:hAnsi="Arial"/>
                <w:sz w:val="18"/>
                <w:szCs w:val="18"/>
                <w:color w:val="auto"/>
              </w:rPr>
              <w:t>Date: May 24, 2018</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280" w:type="dxa"/>
            <w:vAlign w:val="bottom"/>
          </w:tcPr>
          <w:p>
            <w:pPr>
              <w:spacing w:after="0"/>
              <w:rPr>
                <w:sz w:val="20"/>
                <w:szCs w:val="20"/>
                <w:color w:val="auto"/>
              </w:rPr>
            </w:pPr>
            <w:r>
              <w:rPr>
                <w:rFonts w:ascii="Arial" w:cs="Arial" w:eastAsia="Arial" w:hAnsi="Arial"/>
                <w:sz w:val="18"/>
                <w:szCs w:val="18"/>
                <w:color w:val="auto"/>
              </w:rPr>
              <w:t>Date: May 24, 2018</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280" w:type="dxa"/>
            <w:vAlign w:val="bottom"/>
          </w:tcPr>
          <w:p>
            <w:pPr>
              <w:spacing w:after="0"/>
              <w:rPr>
                <w:sz w:val="24"/>
                <w:szCs w:val="24"/>
                <w:color w:val="auto"/>
              </w:rPr>
            </w:pPr>
          </w:p>
        </w:tc>
        <w:tc>
          <w:tcPr>
            <w:tcW w:w="4000" w:type="dxa"/>
            <w:vAlign w:val="bottom"/>
          </w:tcPr>
          <w:p>
            <w:pPr>
              <w:jc w:val="right"/>
              <w:ind w:right="1430"/>
              <w:spacing w:after="0"/>
              <w:rPr>
                <w:sz w:val="20"/>
                <w:szCs w:val="20"/>
                <w:color w:val="auto"/>
              </w:rPr>
            </w:pPr>
            <w:r>
              <w:rPr>
                <w:rFonts w:ascii="Arial" w:cs="Arial" w:eastAsia="Arial" w:hAnsi="Arial"/>
                <w:sz w:val="18"/>
                <w:szCs w:val="18"/>
                <w:color w:val="auto"/>
              </w:rPr>
              <w:t>29</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24,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24,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24,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24,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2019-12-28T21:31:03Z</dcterms:created>
  <dcterms:modified xsi:type="dcterms:W3CDTF">2019-12-28T21:31:03Z</dcterms:modified>
</cp:coreProperties>
</file>