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9333250093131.xml.htm"/>
      <w:bookmarkStart w:id="1" w:name="kswfform4_1693332500931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Gorman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Counsel&amp;Corp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50.47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vested upon achievement of certain financial performance goals over a three-year period. Each restricted stock unit was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cover taxes on 580 restricted stock units that vested on August 28,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8903" TargetMode="External"/><Relationship Id="rId4" Type="http://schemas.openxmlformats.org/officeDocument/2006/relationships/hyperlink" Target="http://www.sec.gov/cgi-bin/browse-edgar?action=getcompany&amp;CIK=00007465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3370</Characters>
  <CharactersWithSpaces>3923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