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072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07250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04/07/2011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5"/>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75" w:space="720"/>
            <w:col w:w="3465"/>
          </w:cols>
          <w:pgMar w:left="240" w:top="223" w:right="139" w:bottom="1440" w:gutter="0" w:footer="0" w:header="0"/>
          <w:type w:val="continuous"/>
        </w:sectPr>
      </w:pP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7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9"/>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60" w:type="dxa"/>
            <w:vAlign w:val="bottom"/>
            <w:gridSpan w:val="7"/>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ind w:left="3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7"/>
                <w:szCs w:val="17"/>
                <w:color w:val="0000FF"/>
              </w:rPr>
              <w:t>MILWAUKEE</w:t>
            </w:r>
          </w:p>
        </w:tc>
        <w:tc>
          <w:tcPr>
            <w:tcW w:w="580" w:type="dxa"/>
            <w:vAlign w:val="bottom"/>
          </w:tcPr>
          <w:p>
            <w:pPr>
              <w:ind w:left="220"/>
              <w:spacing w:after="0"/>
              <w:rPr>
                <w:sz w:val="20"/>
                <w:szCs w:val="20"/>
                <w:color w:val="auto"/>
              </w:rPr>
            </w:pPr>
            <w:r>
              <w:rPr>
                <w:rFonts w:ascii="Arial" w:cs="Arial" w:eastAsia="Arial" w:hAnsi="Arial"/>
                <w:sz w:val="17"/>
                <w:szCs w:val="17"/>
                <w:color w:val="0000FF"/>
              </w:rPr>
              <w:t>WI</w:t>
            </w:r>
          </w:p>
        </w:tc>
        <w:tc>
          <w:tcPr>
            <w:tcW w:w="86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40" w:type="dxa"/>
            <w:vAlign w:val="bottom"/>
            <w:gridSpan w:val="9"/>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60" w:type="dxa"/>
            <w:vAlign w:val="bottom"/>
            <w:tcBorders>
              <w:bottom w:val="single" w:sz="8" w:color="2C2C2C"/>
            </w:tcBorders>
            <w:gridSpan w:val="11"/>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2"/>
          </w:tcPr>
          <w:p>
            <w:pPr>
              <w:jc w:val="center"/>
              <w:ind w:left="49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860" w:type="dxa"/>
            <w:vAlign w:val="bottom"/>
          </w:tcPr>
          <w:p>
            <w:pPr>
              <w:spacing w:after="0"/>
              <w:rPr>
                <w:sz w:val="14"/>
                <w:szCs w:val="14"/>
                <w:color w:val="auto"/>
              </w:rPr>
            </w:pP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2"/>
          </w:tcPr>
          <w:p>
            <w:pPr>
              <w:ind w:left="72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5"/>
              </w:rPr>
              <w:t>if any</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740" w:type="dxa"/>
            <w:vAlign w:val="bottom"/>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4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6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8,369</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40" w:type="dxa"/>
            <w:vAlign w:val="bottom"/>
            <w:tcBorders>
              <w:bottom w:val="single" w:sz="8" w:color="2C2C2C"/>
            </w:tcBorders>
            <w:gridSpan w:val="5"/>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7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17,223.4903</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7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04/07/2011</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26,000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right"/>
              <w:ind w:right="13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26,000</w:t>
            </w:r>
            <w:r>
              <w:rPr>
                <w:rFonts w:ascii="Arial" w:cs="Arial" w:eastAsia="Arial" w:hAnsi="Arial"/>
                <w:sz w:val="21"/>
                <w:szCs w:val="21"/>
                <w:color w:val="008000"/>
                <w:w w:val="86"/>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04/07/2011</w:t>
            </w: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26,000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37.0026</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26,000</w:t>
            </w:r>
            <w:r>
              <w:rPr>
                <w:rFonts w:ascii="Arial" w:cs="Arial" w:eastAsia="Arial" w:hAnsi="Arial"/>
                <w:sz w:val="21"/>
                <w:szCs w:val="21"/>
                <w:color w:val="008000"/>
                <w:w w:val="86"/>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40" w:type="dxa"/>
            <w:vAlign w:val="bottom"/>
            <w:gridSpan w:val="9"/>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7"/>
              </w:rPr>
              <w:t>Security</w:t>
            </w:r>
          </w:p>
        </w:tc>
        <w:tc>
          <w:tcPr>
            <w:tcW w:w="36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7"/>
              </w:rPr>
              <w:t>(Instr. 3)</w:t>
            </w:r>
          </w:p>
        </w:tc>
        <w:tc>
          <w:tcPr>
            <w:tcW w:w="36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0000FF"/>
                <w:w w:val="90"/>
              </w:rPr>
              <w:t>Deferred</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0000FF"/>
              </w:rPr>
              <w:t>0.006</w:t>
            </w:r>
            <w:r>
              <w:rPr>
                <w:rFonts w:ascii="Arial" w:cs="Arial" w:eastAsia="Arial" w:hAnsi="Arial"/>
                <w:sz w:val="21"/>
                <w:szCs w:val="21"/>
                <w:color w:val="008000"/>
                <w:vertAlign w:val="superscript"/>
              </w:rPr>
              <w:t>(2)</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97"/>
              </w:rPr>
              <w:t>Compensation</w:t>
            </w:r>
          </w:p>
        </w:tc>
        <w:tc>
          <w:tcPr>
            <w:tcW w:w="840" w:type="dxa"/>
            <w:vAlign w:val="bottom"/>
            <w:gridSpan w:val="2"/>
          </w:tcPr>
          <w:p>
            <w:pPr>
              <w:jc w:val="center"/>
              <w:ind w:right="19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32.94</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40"/>
              <w:spacing w:after="0"/>
              <w:rPr>
                <w:sz w:val="20"/>
                <w:szCs w:val="20"/>
                <w:color w:val="auto"/>
              </w:rPr>
            </w:pPr>
            <w:r>
              <w:rPr>
                <w:rFonts w:ascii="Arial" w:cs="Arial" w:eastAsia="Arial" w:hAnsi="Arial"/>
                <w:sz w:val="11"/>
                <w:szCs w:val="11"/>
                <w:color w:val="008000"/>
              </w:rPr>
              <w:t>(2)</w:t>
            </w:r>
          </w:p>
        </w:tc>
        <w:tc>
          <w:tcPr>
            <w:tcW w:w="780" w:type="dxa"/>
            <w:vAlign w:val="bottom"/>
          </w:tcPr>
          <w:p>
            <w:pPr>
              <w:jc w:val="right"/>
              <w:ind w:right="235"/>
              <w:spacing w:after="0"/>
              <w:rPr>
                <w:sz w:val="20"/>
                <w:szCs w:val="20"/>
                <w:color w:val="auto"/>
              </w:rPr>
            </w:pPr>
            <w:r>
              <w:rPr>
                <w:rFonts w:ascii="Arial" w:cs="Arial" w:eastAsia="Arial" w:hAnsi="Arial"/>
                <w:sz w:val="11"/>
                <w:szCs w:val="11"/>
                <w:color w:val="008000"/>
              </w:rPr>
              <w:t>(2)</w:t>
            </w:r>
          </w:p>
        </w:tc>
        <w:tc>
          <w:tcPr>
            <w:tcW w:w="600" w:type="dxa"/>
            <w:vAlign w:val="bottom"/>
          </w:tcPr>
          <w:p>
            <w:pPr>
              <w:ind w:left="80"/>
              <w:spacing w:after="0" w:line="141" w:lineRule="exact"/>
              <w:rPr>
                <w:sz w:val="20"/>
                <w:szCs w:val="20"/>
                <w:color w:val="auto"/>
              </w:rPr>
            </w:pPr>
            <w:r>
              <w:rPr>
                <w:rFonts w:ascii="Arial" w:cs="Arial" w:eastAsia="Arial" w:hAnsi="Arial"/>
                <w:sz w:val="13"/>
                <w:szCs w:val="13"/>
                <w:color w:val="0000FF"/>
                <w:w w:val="94"/>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tcPr>
          <w:p>
            <w:pPr>
              <w:jc w:val="right"/>
              <w:ind w:right="101"/>
              <w:spacing w:after="0" w:line="141" w:lineRule="exact"/>
              <w:rPr>
                <w:sz w:val="20"/>
                <w:szCs w:val="20"/>
                <w:color w:val="auto"/>
              </w:rPr>
            </w:pPr>
            <w:r>
              <w:rPr>
                <w:rFonts w:ascii="Arial" w:cs="Arial" w:eastAsia="Arial" w:hAnsi="Arial"/>
                <w:sz w:val="13"/>
                <w:szCs w:val="13"/>
                <w:color w:val="0000FF"/>
              </w:rPr>
              <w:t>86,921.893</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 w:type="dxa"/>
            <w:vAlign w:val="bottom"/>
            <w:tcBorders>
              <w:bottom w:val="single" w:sz="8" w:color="2C2C2C"/>
            </w:tcBorders>
            <w:gridSpan w:val="2"/>
          </w:tcPr>
          <w:p>
            <w:pPr>
              <w:ind w:left="60"/>
              <w:spacing w:after="0" w:line="237" w:lineRule="exact"/>
              <w:rPr>
                <w:sz w:val="20"/>
                <w:szCs w:val="20"/>
                <w:color w:val="auto"/>
              </w:rPr>
            </w:pPr>
            <w:r>
              <w:rPr>
                <w:rFonts w:ascii="Arial" w:cs="Arial" w:eastAsia="Arial" w:hAnsi="Arial"/>
                <w:sz w:val="13"/>
                <w:szCs w:val="13"/>
                <w:color w:val="0000FF"/>
                <w:w w:val="98"/>
              </w:rPr>
              <w:t>Units</w:t>
            </w:r>
            <w:r>
              <w:rPr>
                <w:rFonts w:ascii="Arial" w:cs="Arial" w:eastAsia="Arial" w:hAnsi="Arial"/>
                <w:sz w:val="21"/>
                <w:szCs w:val="21"/>
                <w:color w:val="008000"/>
                <w:w w:val="98"/>
                <w:vertAlign w:val="superscript"/>
              </w:rPr>
              <w:t>(2)</w:t>
            </w:r>
          </w:p>
        </w:tc>
        <w:tc>
          <w:tcPr>
            <w:tcW w:w="3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1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26,000</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gridSpan w:val="2"/>
            <w:vMerge w:val="restart"/>
          </w:tcPr>
          <w:p>
            <w:pPr>
              <w:jc w:val="center"/>
              <w:ind w:right="141"/>
              <w:spacing w:after="0"/>
              <w:rPr>
                <w:sz w:val="20"/>
                <w:szCs w:val="20"/>
                <w:color w:val="auto"/>
              </w:rPr>
            </w:pPr>
            <w:r>
              <w:rPr>
                <w:rFonts w:ascii="Arial" w:cs="Arial" w:eastAsia="Arial" w:hAnsi="Arial"/>
                <w:sz w:val="13"/>
                <w:szCs w:val="13"/>
                <w:color w:val="0000FF"/>
              </w:rPr>
              <w:t>26,000</w:t>
            </w:r>
            <w:r>
              <w:rPr>
                <w:rFonts w:ascii="Arial" w:cs="Arial" w:eastAsia="Arial" w:hAnsi="Arial"/>
                <w:sz w:val="21"/>
                <w:szCs w:val="21"/>
                <w:color w:val="008000"/>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vMerge w:val="restart"/>
          </w:tcPr>
          <w:p>
            <w:pPr>
              <w:jc w:val="center"/>
              <w:ind w:right="270"/>
              <w:spacing w:after="0" w:line="145"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16</w:t>
            </w:r>
          </w:p>
        </w:tc>
        <w:tc>
          <w:tcPr>
            <w:tcW w:w="86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04/07/2011</w:t>
            </w:r>
          </w:p>
        </w:tc>
        <w:tc>
          <w:tcPr>
            <w:tcW w:w="1300" w:type="dxa"/>
            <w:vAlign w:val="bottom"/>
          </w:tcPr>
          <w:p>
            <w:pPr>
              <w:spacing w:after="0"/>
              <w:rPr>
                <w:sz w:val="4"/>
                <w:szCs w:val="4"/>
                <w:color w:val="auto"/>
              </w:rPr>
            </w:pPr>
          </w:p>
        </w:tc>
        <w:tc>
          <w:tcPr>
            <w:tcW w:w="44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4"/>
                <w:szCs w:val="4"/>
                <w:color w:val="auto"/>
              </w:rPr>
            </w:pPr>
          </w:p>
        </w:tc>
        <w:tc>
          <w:tcPr>
            <w:tcW w:w="460" w:type="dxa"/>
            <w:vAlign w:val="bottom"/>
            <w:vMerge w:val="restart"/>
          </w:tcPr>
          <w:p>
            <w:pPr>
              <w:ind w:left="20"/>
              <w:spacing w:after="0" w:line="145" w:lineRule="exact"/>
              <w:rPr>
                <w:sz w:val="20"/>
                <w:szCs w:val="20"/>
                <w:color w:val="auto"/>
              </w:rPr>
            </w:pPr>
            <w:r>
              <w:rPr>
                <w:rFonts w:ascii="Arial" w:cs="Arial" w:eastAsia="Arial" w:hAnsi="Arial"/>
                <w:sz w:val="13"/>
                <w:szCs w:val="13"/>
                <w:color w:val="0000FF"/>
              </w:rPr>
              <w:t>26,000</w:t>
            </w:r>
          </w:p>
        </w:tc>
        <w:tc>
          <w:tcPr>
            <w:tcW w:w="260" w:type="dxa"/>
            <w:vAlign w:val="bottom"/>
          </w:tcPr>
          <w:p>
            <w:pPr>
              <w:spacing w:after="0"/>
              <w:rPr>
                <w:sz w:val="4"/>
                <w:szCs w:val="4"/>
                <w:color w:val="auto"/>
              </w:rPr>
            </w:pPr>
          </w:p>
        </w:tc>
        <w:tc>
          <w:tcPr>
            <w:tcW w:w="80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10/16/2001</w:t>
            </w:r>
          </w:p>
        </w:tc>
        <w:tc>
          <w:tcPr>
            <w:tcW w:w="78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10/16/2011</w:t>
            </w:r>
          </w:p>
        </w:tc>
        <w:tc>
          <w:tcPr>
            <w:tcW w:w="60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w w:val="94"/>
              </w:rPr>
              <w:t>Common</w:t>
            </w:r>
          </w:p>
        </w:tc>
        <w:tc>
          <w:tcPr>
            <w:tcW w:w="680" w:type="dxa"/>
            <w:vAlign w:val="bottom"/>
            <w:vMerge w:val="continue"/>
          </w:tcPr>
          <w:p>
            <w:pPr>
              <w:spacing w:after="0"/>
              <w:rPr>
                <w:sz w:val="4"/>
                <w:szCs w:val="4"/>
                <w:color w:val="auto"/>
              </w:rPr>
            </w:pPr>
          </w:p>
        </w:tc>
        <w:tc>
          <w:tcPr>
            <w:tcW w:w="740" w:type="dxa"/>
            <w:vAlign w:val="bottom"/>
            <w:gridSpan w:val="2"/>
            <w:vMerge w:val="restart"/>
          </w:tcPr>
          <w:p>
            <w:pPr>
              <w:ind w:left="2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900" w:type="dxa"/>
            <w:vAlign w:val="bottom"/>
            <w:gridSpan w:val="2"/>
            <w:vMerge w:val="continue"/>
          </w:tcPr>
          <w:p>
            <w:pPr>
              <w:spacing w:after="0"/>
              <w:rPr>
                <w:sz w:val="4"/>
                <w:szCs w:val="4"/>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0000FF"/>
                <w:w w:val="83"/>
              </w:rPr>
              <w:t>Purchase</w:t>
            </w:r>
          </w:p>
        </w:tc>
        <w:tc>
          <w:tcPr>
            <w:tcW w:w="360" w:type="dxa"/>
            <w:vAlign w:val="bottom"/>
          </w:tcPr>
          <w:p>
            <w:pPr>
              <w:jc w:val="right"/>
              <w:ind w:right="185"/>
              <w:spacing w:after="0" w:line="97" w:lineRule="exact"/>
              <w:rPr>
                <w:sz w:val="20"/>
                <w:szCs w:val="20"/>
                <w:color w:val="auto"/>
              </w:rPr>
            </w:pPr>
            <w:r>
              <w:rPr>
                <w:rFonts w:ascii="Arial" w:cs="Arial" w:eastAsia="Arial" w:hAnsi="Arial"/>
                <w:sz w:val="11"/>
                <w:szCs w:val="11"/>
                <w:color w:val="008000"/>
                <w:w w:val="74"/>
              </w:rPr>
              <w:t>(5)</w:t>
            </w:r>
          </w:p>
        </w:tc>
        <w:tc>
          <w:tcPr>
            <w:tcW w:w="2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4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1" w:lineRule="exact"/>
        <w:rPr>
          <w:rFonts w:ascii="Arial" w:cs="Arial" w:eastAsia="Arial" w:hAnsi="Arial"/>
          <w:sz w:val="13"/>
          <w:szCs w:val="13"/>
          <w:color w:val="008000"/>
        </w:rPr>
      </w:pPr>
    </w:p>
    <w:p>
      <w:pPr>
        <w:ind w:left="40" w:right="440" w:firstLine="5"/>
        <w:spacing w:after="0" w:line="29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exercised and sold pursuant to Rule 144. The amount of securities beneficially owned following this reported transaction remains the same.</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Krista Ebbens, 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04/08/2011</w:t>
            </w:r>
          </w:p>
        </w:tc>
        <w:tc>
          <w:tcPr>
            <w:tcW w:w="0" w:type="dxa"/>
            <w:vAlign w:val="bottom"/>
          </w:tcPr>
          <w:p>
            <w:pPr>
              <w:spacing w:after="0"/>
              <w:rPr>
                <w:sz w:val="1"/>
                <w:szCs w:val="1"/>
                <w:color w:val="auto"/>
              </w:rPr>
            </w:pPr>
          </w:p>
        </w:tc>
      </w:tr>
      <w:tr>
        <w:trPr>
          <w:trHeight w:val="90"/>
        </w:trPr>
        <w:tc>
          <w:tcPr>
            <w:tcW w:w="300" w:type="dxa"/>
            <w:vAlign w:val="bottom"/>
            <w:vMerge w:val="restart"/>
          </w:tcPr>
          <w:p>
            <w:pPr>
              <w:spacing w:after="0" w:line="190"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2019-12-18T15:54:43Z</dcterms:created>
  <dcterms:modified xsi:type="dcterms:W3CDTF">2019-12-18T15:54:43Z</dcterms:modified>
</cp:coreProperties>
</file>