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January 31, 2010</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77"/>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Pr>
          <w:p>
            <w:pPr>
              <w:ind w:left="1820"/>
              <w:spacing w:after="0"/>
              <w:rPr>
                <w:sz w:val="20"/>
                <w:szCs w:val="20"/>
                <w:color w:val="auto"/>
              </w:rPr>
            </w:pPr>
            <w:r>
              <w:rPr>
                <w:rFonts w:ascii="Arial" w:cs="Arial" w:eastAsia="Arial" w:hAnsi="Arial"/>
                <w:sz w:val="18"/>
                <w:szCs w:val="18"/>
                <w:b w:val="1"/>
                <w:bCs w:val="1"/>
                <w:color w:val="auto"/>
              </w:rPr>
              <w:t>Wisconsin</w:t>
            </w:r>
          </w:p>
        </w:tc>
        <w:tc>
          <w:tcPr>
            <w:tcW w:w="490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39-0178960</w:t>
            </w:r>
          </w:p>
        </w:tc>
      </w:tr>
      <w:tr>
        <w:trPr>
          <w:trHeight w:val="209"/>
        </w:trPr>
        <w:tc>
          <w:tcPr>
            <w:tcW w:w="4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ind w:left="1120"/>
              <w:spacing w:after="0"/>
              <w:rPr>
                <w:sz w:val="20"/>
                <w:szCs w:val="20"/>
                <w:color w:val="auto"/>
              </w:rPr>
            </w:pPr>
            <w:r>
              <w:rPr>
                <w:rFonts w:ascii="Arial" w:cs="Arial" w:eastAsia="Arial" w:hAnsi="Arial"/>
                <w:sz w:val="18"/>
                <w:szCs w:val="18"/>
                <w:color w:val="auto"/>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(Zip Code)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ind w:left="340" w:right="59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ind w:left="340" w:right="559"/>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25" w:lineRule="exact"/>
        <w:rPr>
          <w:sz w:val="20"/>
          <w:szCs w:val="20"/>
          <w:color w:val="auto"/>
        </w:rPr>
      </w:pPr>
    </w:p>
    <w:p>
      <w:pPr>
        <w:ind w:left="340" w:right="65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174" w:lineRule="exact"/>
        <w:rPr>
          <w:sz w:val="20"/>
          <w:szCs w:val="20"/>
          <w:color w:val="auto"/>
        </w:rPr>
      </w:pPr>
    </w:p>
    <w:p>
      <w:pPr>
        <w:sectPr>
          <w:pgSz w:w="11900" w:h="16838" w:orient="portrait"/>
          <w:cols w:equalWidth="0" w:num="4">
            <w:col w:w="2340" w:space="720"/>
            <w:col w:w="1480" w:space="720"/>
            <w:col w:w="1640" w:space="520"/>
            <w:col w:w="2799"/>
          </w:cols>
          <w:pgMar w:left="240" w:top="122" w:right="1440" w:bottom="1440" w:gutter="0" w:footer="0" w:header="0"/>
          <w:type w:val="continuous"/>
        </w:sectPr>
      </w:pPr>
    </w:p>
    <w:p>
      <w:pPr>
        <w:jc w:val="center"/>
        <w:ind w:right="459"/>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5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08" w:lineRule="exact"/>
        <w:rPr>
          <w:sz w:val="20"/>
          <w:szCs w:val="20"/>
          <w:color w:val="auto"/>
        </w:rPr>
      </w:pPr>
    </w:p>
    <w:p>
      <w:pPr>
        <w:ind w:left="340" w:right="699"/>
        <w:spacing w:after="0" w:line="264" w:lineRule="auto"/>
        <w:rPr>
          <w:sz w:val="20"/>
          <w:szCs w:val="20"/>
          <w:color w:val="auto"/>
        </w:rPr>
      </w:pPr>
      <w:r>
        <w:rPr>
          <w:rFonts w:ascii="Arial" w:cs="Arial" w:eastAsia="Arial" w:hAnsi="Arial"/>
          <w:sz w:val="18"/>
          <w:szCs w:val="18"/>
          <w:color w:val="auto"/>
        </w:rPr>
        <w:t>As of February 28, 2010, there were outstanding 48,864,198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132715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6120" w:type="dxa"/>
            <w:vAlign w:val="bottom"/>
            <w:gridSpan w:val="9"/>
            <w:vMerge w:val="restart"/>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200" w:type="dxa"/>
            <w:vAlign w:val="bottom"/>
            <w:tcBorders>
              <w:bottom w:val="single" w:sz="8" w:color="0000EE"/>
            </w:tcBorders>
            <w:gridSpan w:val="8"/>
            <w:vMerge w:val="continue"/>
          </w:tcPr>
          <w:p>
            <w:pPr>
              <w:spacing w:after="0"/>
              <w:rPr>
                <w:sz w:val="14"/>
                <w:szCs w:val="14"/>
                <w:color w:val="auto"/>
              </w:rPr>
            </w:pPr>
          </w:p>
        </w:tc>
        <w:tc>
          <w:tcPr>
            <w:tcW w:w="6120" w:type="dxa"/>
            <w:vAlign w:val="bottom"/>
            <w:gridSpan w:val="9"/>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514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9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20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92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7600" w:type="dxa"/>
            <w:vAlign w:val="bottom"/>
            <w:gridSpan w:val="13"/>
          </w:tcPr>
          <w:p>
            <w:pPr>
              <w:ind w:left="4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4380" w:type="dxa"/>
            <w:vAlign w:val="bottom"/>
            <w:tcBorders>
              <w:top w:val="single" w:sz="8" w:color="0000EE"/>
            </w:tcBorders>
            <w:gridSpan w:val="11"/>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32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PART II. Other Information</w:t>
              </w:r>
            </w:hyperlink>
          </w:p>
        </w:tc>
        <w:tc>
          <w:tcPr>
            <w:tcW w:w="632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640" w:type="dxa"/>
            <w:vAlign w:val="bottom"/>
            <w:tcBorders>
              <w:bottom w:val="single" w:sz="8" w:color="0000EE"/>
            </w:tcBorders>
            <w:gridSpan w:val="2"/>
          </w:tcPr>
          <w:p>
            <w:pPr>
              <w:ind w:left="40"/>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696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280" w:type="dxa"/>
            <w:vAlign w:val="bottom"/>
            <w:gridSpan w:val="16"/>
          </w:tcPr>
          <w:p>
            <w:pPr>
              <w:spacing w:after="0"/>
              <w:rPr>
                <w:sz w:val="20"/>
                <w:szCs w:val="20"/>
                <w:color w:val="auto"/>
              </w:rPr>
            </w:pPr>
            <w:r>
              <w:rPr>
                <w:rFonts w:ascii="Arial" w:cs="Arial" w:eastAsia="Arial" w:hAnsi="Arial"/>
                <w:sz w:val="18"/>
                <w:szCs w:val="18"/>
                <w:color w:val="0000EE"/>
              </w:rPr>
              <w:t>Certification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74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gridSpan w:val="16"/>
          </w:tcPr>
          <w:p>
            <w:pPr>
              <w:spacing w:after="0" w:line="196" w:lineRule="exact"/>
              <w:rPr>
                <w:sz w:val="20"/>
                <w:szCs w:val="20"/>
                <w:color w:val="auto"/>
              </w:rPr>
            </w:pPr>
            <w:r>
              <w:rPr>
                <w:rFonts w:ascii="Arial" w:cs="Arial" w:eastAsia="Arial" w:hAnsi="Arial"/>
                <w:sz w:val="18"/>
                <w:szCs w:val="18"/>
                <w:color w:val="0000EE"/>
              </w:rPr>
              <w:t>Certification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Section 1350 Certification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Section 1350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7"/>
        </w:trPr>
        <w:tc>
          <w:tcPr>
            <w:tcW w:w="34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BRADY CORPORATION AND SUBSIDIARIES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rPr>
              <w:t>January 31, 2010</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5"/>
              </w:rPr>
              <w:t>July 31, 2009</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188,156</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9"/>
              </w:rPr>
              <w:t>Accounts receivable, less allowance for losses ($8,065 and $7,931, respectively)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203,375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191,189</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Finished products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54,003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53,244</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13,159</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27,405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inventories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93,808</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36,274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509,427</w:t>
            </w:r>
          </w:p>
        </w:tc>
      </w:tr>
      <w:tr>
        <w:trPr>
          <w:trHeight w:val="223"/>
        </w:trPr>
        <w:tc>
          <w:tcPr>
            <w:tcW w:w="34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767,692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111,388</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115,754</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36,374</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22,783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18,551</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99,188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96,968</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287,434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283,301</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7,869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394,473</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253,269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242,485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151,988</w:t>
            </w: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1,634,865</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1,583,267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0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rPr>
              <w:t>LIABILITIES AND 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83,793</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50,279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36,313</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6,262</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8,737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5,964</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45,247</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44,893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222,472</w:t>
            </w: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346,457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346,457</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66,513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63,246</w:t>
            </w:r>
          </w:p>
        </w:tc>
      </w:tr>
      <w:tr>
        <w:trPr>
          <w:trHeight w:val="230"/>
        </w:trPr>
        <w:tc>
          <w:tcPr>
            <w:tcW w:w="340" w:type="dxa"/>
            <w:vAlign w:val="bottom"/>
          </w:tcPr>
          <w:p>
            <w:pPr>
              <w:spacing w:after="0"/>
              <w:rPr>
                <w:sz w:val="20"/>
                <w:szCs w:val="20"/>
                <w:color w:val="auto"/>
              </w:rPr>
            </w:pPr>
          </w:p>
        </w:tc>
        <w:tc>
          <w:tcPr>
            <w:tcW w:w="66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652,582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632,175</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Class A nonvoting common stock — Issued 51,261,487 and 51,261,487 shares,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respectively and outstanding 48,856,512 and 48,780,560 shares, respectively</w:t>
            </w: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302,374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298,466</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691,667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673,342</w:t>
            </w:r>
          </w:p>
        </w:tc>
      </w:tr>
      <w:tr>
        <w:trPr>
          <w:trHeight w:val="202"/>
        </w:trPr>
        <w:tc>
          <w:tcPr>
            <w:tcW w:w="340" w:type="dxa"/>
            <w:vAlign w:val="bottom"/>
          </w:tcPr>
          <w:p>
            <w:pPr>
              <w:spacing w:after="0"/>
              <w:rPr>
                <w:sz w:val="17"/>
                <w:szCs w:val="17"/>
                <w:color w:val="auto"/>
              </w:rPr>
            </w:pPr>
          </w:p>
        </w:tc>
        <w:tc>
          <w:tcPr>
            <w:tcW w:w="66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Treasury stock — 2,194,975 and 2,270,927 shares, respectively of Class A nonvoting</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common stock, at cost</w:t>
            </w:r>
          </w:p>
        </w:tc>
        <w:tc>
          <w:tcPr>
            <w:tcW w:w="140" w:type="dxa"/>
            <w:vAlign w:val="bottom"/>
          </w:tcPr>
          <w:p>
            <w:pPr>
              <w:spacing w:after="0"/>
              <w:rPr>
                <w:sz w:val="20"/>
                <w:szCs w:val="20"/>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(67,504)</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(69,823)</w:t>
            </w: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53,051</w:t>
            </w:r>
          </w:p>
        </w:tc>
      </w:tr>
      <w:tr>
        <w:trPr>
          <w:trHeight w:val="216"/>
        </w:trPr>
        <w:tc>
          <w:tcPr>
            <w:tcW w:w="34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(3,511)</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(4,492)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982,283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951,092</w:t>
            </w:r>
          </w:p>
        </w:tc>
      </w:tr>
      <w:tr>
        <w:trPr>
          <w:trHeight w:val="223"/>
        </w:trPr>
        <w:tc>
          <w:tcPr>
            <w:tcW w:w="34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1,634,865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1,583,267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91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15"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8"/>
          </w:tcPr>
          <w:p>
            <w:pPr>
              <w:jc w:val="center"/>
              <w:ind w:right="320"/>
              <w:spacing w:after="0"/>
              <w:rPr>
                <w:sz w:val="20"/>
                <w:szCs w:val="20"/>
                <w:color w:val="auto"/>
              </w:rPr>
            </w:pPr>
            <w:r>
              <w:rPr>
                <w:rFonts w:ascii="Arial" w:cs="Arial" w:eastAsia="Arial" w:hAnsi="Arial"/>
                <w:sz w:val="18"/>
                <w:szCs w:val="18"/>
                <w:color w:val="auto"/>
                <w:w w:val="89"/>
              </w:rPr>
              <w:t>Three Months Ended January 31,</w:t>
            </w:r>
          </w:p>
        </w:tc>
        <w:tc>
          <w:tcPr>
            <w:tcW w:w="140" w:type="dxa"/>
            <w:vAlign w:val="bottom"/>
          </w:tcPr>
          <w:p>
            <w:pPr>
              <w:spacing w:after="0"/>
              <w:rPr>
                <w:sz w:val="18"/>
                <w:szCs w:val="18"/>
                <w:color w:val="auto"/>
              </w:rPr>
            </w:pPr>
          </w:p>
        </w:tc>
        <w:tc>
          <w:tcPr>
            <w:tcW w:w="2620" w:type="dxa"/>
            <w:vAlign w:val="bottom"/>
            <w:gridSpan w:val="8"/>
          </w:tcPr>
          <w:p>
            <w:pPr>
              <w:jc w:val="center"/>
              <w:ind w:right="280"/>
              <w:spacing w:after="0"/>
              <w:rPr>
                <w:sz w:val="20"/>
                <w:szCs w:val="20"/>
                <w:color w:val="auto"/>
              </w:rPr>
            </w:pPr>
            <w:r>
              <w:rPr>
                <w:rFonts w:ascii="Arial" w:cs="Arial" w:eastAsia="Arial" w:hAnsi="Arial"/>
                <w:sz w:val="18"/>
                <w:szCs w:val="18"/>
                <w:color w:val="auto"/>
                <w:w w:val="90"/>
              </w:rPr>
              <w:t>Six Months Ended January 31,</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1"/>
              </w:rPr>
              <w:t>(Unaudited)</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1"/>
              </w:rPr>
              <w:t>(Unaudited)</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82"/>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295,829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266,449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614,315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644,766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Cost of products sold</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148,911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140,307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309,955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337,478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146,918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126,142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304,360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307,288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108,735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93,613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217,411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207,870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 (See Note K)</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21,047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123,016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121,524</w:t>
            </w: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244,902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246,476</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Investment and other income (expense) — net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(10,325)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4,842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540.5%</w:t>
            </w: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13,617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15,331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36,669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Arial" w:cs="Arial" w:eastAsia="Arial" w:hAnsi="Arial"/>
                <w:sz w:val="18"/>
                <w:szCs w:val="18"/>
                <w:color w:val="auto"/>
              </w:rPr>
              <w:t>Diluted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0.69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Arial" w:cs="Arial" w:eastAsia="Arial" w:hAnsi="Arial"/>
                <w:sz w:val="18"/>
                <w:szCs w:val="18"/>
                <w:color w:val="auto"/>
              </w:rPr>
              <w:t>Diluted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0.67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w w:val="92"/>
              </w:rPr>
              <w:t>Weighted average common shares outstanding (in</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52,350</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52,821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53,096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52,350</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53,020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53,144</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BRADY CORPORATION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January 31,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(Unaudited)</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2009</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36,669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32,960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27,366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27,193</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 charges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5,156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4,244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(10,300)</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42,156</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(3,648)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13,229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(64,413)</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2,670</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(17,428)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w:t>
            </w:r>
          </w:p>
        </w:tc>
      </w:tr>
      <w:tr>
        <w:trPr>
          <w:trHeight w:val="224"/>
        </w:trPr>
        <w:tc>
          <w:tcPr>
            <w:tcW w:w="340" w:type="dxa"/>
            <w:vAlign w:val="bottom"/>
          </w:tcPr>
          <w:p>
            <w:pPr>
              <w:spacing w:after="0"/>
              <w:rPr>
                <w:sz w:val="19"/>
                <w:szCs w:val="19"/>
                <w:color w:val="auto"/>
              </w:rPr>
            </w:pPr>
          </w:p>
        </w:tc>
        <w:tc>
          <w:tcPr>
            <w:tcW w:w="7000" w:type="dxa"/>
            <w:vAlign w:val="bottom"/>
            <w:gridSpan w:val="2"/>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68,033</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22,017</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(20,299)</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3,514</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(14,974)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(12,948)</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1,998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(35,843)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(8,841)</w:t>
            </w:r>
          </w:p>
        </w:tc>
      </w:tr>
      <w:tr>
        <w:trPr>
          <w:trHeight w:val="432"/>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(18,344)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1,284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432"/>
        </w:trPr>
        <w:tc>
          <w:tcPr>
            <w:tcW w:w="340" w:type="dxa"/>
            <w:vAlign w:val="bottom"/>
          </w:tcPr>
          <w:p>
            <w:pPr>
              <w:spacing w:after="0"/>
              <w:rPr>
                <w:sz w:val="24"/>
                <w:szCs w:val="24"/>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(40,267)</w:t>
            </w:r>
          </w:p>
        </w:tc>
      </w:tr>
      <w:tr>
        <w:trPr>
          <w:trHeight w:val="202"/>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Excess income tax benefit from the exercise of stock options and deferred compensation</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distribution</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r>
      <w:tr>
        <w:trPr>
          <w:trHeight w:val="224"/>
        </w:trPr>
        <w:tc>
          <w:tcPr>
            <w:tcW w:w="340" w:type="dxa"/>
            <w:vAlign w:val="bottom"/>
          </w:tcPr>
          <w:p>
            <w:pPr>
              <w:spacing w:after="0"/>
              <w:rPr>
                <w:sz w:val="19"/>
                <w:szCs w:val="19"/>
                <w:color w:val="auto"/>
              </w:rPr>
            </w:pPr>
          </w:p>
        </w:tc>
        <w:tc>
          <w:tcPr>
            <w:tcW w:w="7000" w:type="dxa"/>
            <w:vAlign w:val="bottom"/>
            <w:gridSpan w:val="2"/>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(16,292)</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(56,123)</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(30,317)</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(73,264)</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188,156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258,355</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205,584</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185,091</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12,563</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10,817</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27,384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8,829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14,148</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20,299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Six Months Ended January 31, 2010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share and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2010 and July 3l, 2009, its results of operations for the three and six months ended January 31, 2010 and 2009, and its cash flows for the six months ended</w:t>
      </w:r>
    </w:p>
    <w:p>
      <w:pPr>
        <w:spacing w:after="0" w:line="2" w:lineRule="exact"/>
        <w:rPr>
          <w:sz w:val="20"/>
          <w:szCs w:val="20"/>
          <w:color w:val="auto"/>
        </w:rPr>
      </w:pPr>
    </w:p>
    <w:p>
      <w:pPr>
        <w:ind w:left="340" w:right="619"/>
        <w:spacing w:after="0" w:line="253" w:lineRule="auto"/>
        <w:rPr>
          <w:sz w:val="20"/>
          <w:szCs w:val="20"/>
          <w:color w:val="auto"/>
        </w:rPr>
      </w:pPr>
      <w:r>
        <w:rPr>
          <w:rFonts w:ascii="Arial" w:cs="Arial" w:eastAsia="Arial" w:hAnsi="Arial"/>
          <w:sz w:val="18"/>
          <w:szCs w:val="18"/>
          <w:color w:val="auto"/>
        </w:rPr>
        <w:t>January 31, 2010 and 2009. The condensed consolidated balance sheet as of July 31, 2009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51"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2009.</w:t>
      </w:r>
    </w:p>
    <w:p>
      <w:pPr>
        <w:spacing w:after="0" w:line="166" w:lineRule="exact"/>
        <w:rPr>
          <w:sz w:val="20"/>
          <w:szCs w:val="20"/>
          <w:color w:val="auto"/>
        </w:rPr>
      </w:pPr>
    </w:p>
    <w:p>
      <w:pPr>
        <w:ind w:left="340" w:right="719" w:firstLine="373"/>
        <w:spacing w:after="0" w:line="279" w:lineRule="auto"/>
        <w:rPr>
          <w:sz w:val="20"/>
          <w:szCs w:val="20"/>
          <w:color w:val="auto"/>
        </w:rPr>
      </w:pPr>
      <w:r>
        <w:rPr>
          <w:rFonts w:ascii="Arial" w:cs="Arial" w:eastAsia="Arial" w:hAnsi="Arial"/>
          <w:sz w:val="17"/>
          <w:szCs w:val="17"/>
          <w:color w:val="auto"/>
        </w:rPr>
        <w:t>The Company has reclassified certain prior year financial statement amounts to conform to their current year presentation. The Company reclassified the “Deferred income taxes” as a separate line item, previously included in the “Other” Operating activities line item on the Condensed Consolidated Statements of Cash Flows for the six months ended January 31, 2009. This reclassification had no effect on total assets, net income, or earnings per share.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B — Goodwill and Intangible Assets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carrying amount of goodwill for the six months ended January 31, 2010,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Americas</w:t>
            </w:r>
          </w:p>
        </w:tc>
        <w:tc>
          <w:tcPr>
            <w:tcW w:w="38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Europe</w:t>
            </w:r>
          </w:p>
        </w:tc>
        <w:tc>
          <w:tcPr>
            <w:tcW w:w="34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Asia-Pacific</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410,135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166,251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174,787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10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13,370</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14,148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2,371</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as of January 31,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423,835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165,085</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178,772</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767,692</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879" w:firstLine="373"/>
        <w:spacing w:after="0" w:line="297" w:lineRule="auto"/>
        <w:rPr>
          <w:sz w:val="20"/>
          <w:szCs w:val="20"/>
          <w:color w:val="auto"/>
        </w:rPr>
      </w:pPr>
      <w:r>
        <w:rPr>
          <w:rFonts w:ascii="Arial" w:cs="Arial" w:eastAsia="Arial" w:hAnsi="Arial"/>
          <w:sz w:val="16"/>
          <w:szCs w:val="16"/>
          <w:color w:val="auto"/>
        </w:rPr>
        <w:t>Goodwill increased $16,519 during the six months ended January 31, 2010 due to the recent acquisition activity and the positive effects of foreign currency translation. Of the $16,519 increase, $2,371 was due to the positive effects of foreign currency translation, $778 resulted from the acquisition of certain assets of Welco, a division of Welconstruct Group Limited (“Welco”) in the first quarter of fiscal 2010, and $13,370 resulted from the acquisition of Stickolor Industria e Comerciao de Auto Adesivos Ltda. (“Stickolor”) in the second quarter of fiscal 2010. See Note M, “Acquisitions” for further discussion.</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accounting guidance for goodwill and other intangible assets. The net book value of these assets was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January 31, 2010</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July 31, 2009</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1380" w:type="dxa"/>
            <w:vAlign w:val="bottom"/>
          </w:tcPr>
          <w:p>
            <w:pPr>
              <w:spacing w:after="0"/>
              <w:rPr>
                <w:sz w:val="16"/>
                <w:szCs w:val="16"/>
                <w:color w:val="auto"/>
              </w:rPr>
            </w:pPr>
          </w:p>
        </w:tc>
        <w:tc>
          <w:tcPr>
            <w:tcW w:w="11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Book</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138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r>
      <w:tr>
        <w:trPr>
          <w:trHeight w:val="195"/>
        </w:trPr>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w:t>
            </w: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1380" w:type="dxa"/>
            <w:vAlign w:val="bottom"/>
          </w:tcPr>
          <w:p>
            <w:pPr>
              <w:ind w:left="200"/>
              <w:spacing w:after="0"/>
              <w:rPr>
                <w:sz w:val="20"/>
                <w:szCs w:val="20"/>
                <w:color w:val="auto"/>
              </w:rPr>
            </w:pPr>
            <w:r>
              <w:rPr>
                <w:rFonts w:ascii="Arial" w:cs="Arial" w:eastAsia="Arial" w:hAnsi="Arial"/>
                <w:sz w:val="18"/>
                <w:szCs w:val="18"/>
                <w:color w:val="auto"/>
              </w:rPr>
              <w:t>Patents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9,088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(7,503)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1,585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8,976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1,811</w:t>
            </w:r>
          </w:p>
        </w:tc>
      </w:tr>
      <w:tr>
        <w:trPr>
          <w:trHeight w:val="202"/>
        </w:trPr>
        <w:tc>
          <w:tcPr>
            <w:tcW w:w="1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Trademarks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other</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8,354</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(5,439)</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7,703</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2,582</w:t>
            </w:r>
          </w:p>
        </w:tc>
      </w:tr>
      <w:tr>
        <w:trPr>
          <w:trHeight w:val="202"/>
        </w:trPr>
        <w:tc>
          <w:tcPr>
            <w:tcW w:w="1380" w:type="dxa"/>
            <w:vAlign w:val="bottom"/>
          </w:tcPr>
          <w:p>
            <w:pPr>
              <w:ind w:left="200"/>
              <w:spacing w:after="0" w:line="201" w:lineRule="exact"/>
              <w:rPr>
                <w:sz w:val="20"/>
                <w:szCs w:val="20"/>
                <w:color w:val="auto"/>
              </w:rPr>
            </w:pPr>
            <w:r>
              <w:rPr>
                <w:rFonts w:ascii="Arial" w:cs="Arial" w:eastAsia="Arial" w:hAnsi="Arial"/>
                <w:sz w:val="18"/>
                <w:szCs w:val="18"/>
                <w:color w:val="auto"/>
              </w:rPr>
              <w:t>Customer</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380" w:type="dxa"/>
            <w:vAlign w:val="bottom"/>
          </w:tcPr>
          <w:p>
            <w:pPr>
              <w:ind w:left="400"/>
              <w:spacing w:after="0"/>
              <w:rPr>
                <w:sz w:val="20"/>
                <w:szCs w:val="20"/>
                <w:color w:val="auto"/>
              </w:rPr>
            </w:pPr>
            <w:r>
              <w:rPr>
                <w:rFonts w:ascii="Arial" w:cs="Arial" w:eastAsia="Arial" w:hAnsi="Arial"/>
                <w:sz w:val="18"/>
                <w:szCs w:val="18"/>
                <w:color w:val="auto"/>
                <w:w w:val="94"/>
              </w:rPr>
              <w:t>relationships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151,215</w:t>
            </w:r>
          </w:p>
        </w:tc>
        <w:tc>
          <w:tcPr>
            <w:tcW w:w="2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(87,322)</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63,893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144,625</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(76,912)</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67,713</w:t>
            </w:r>
          </w:p>
        </w:tc>
      </w:tr>
      <w:tr>
        <w:trPr>
          <w:trHeight w:val="202"/>
        </w:trPr>
        <w:tc>
          <w:tcPr>
            <w:tcW w:w="1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Non-compete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11,812</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(10,426)</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11,502</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w:t>
            </w:r>
          </w:p>
        </w:tc>
      </w:tr>
      <w:tr>
        <w:trPr>
          <w:trHeight w:val="216"/>
        </w:trPr>
        <w:tc>
          <w:tcPr>
            <w:tcW w:w="1380" w:type="dxa"/>
            <w:vAlign w:val="bottom"/>
          </w:tcPr>
          <w:p>
            <w:pPr>
              <w:ind w:left="20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3,311</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3,311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other intangible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138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41,596</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41,596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41,787</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41,787</w:t>
            </w: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225,376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(113,988)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111,388</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217,904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115,754</w:t>
            </w:r>
          </w:p>
        </w:tc>
      </w:tr>
      <w:tr>
        <w:trPr>
          <w:trHeight w:val="20"/>
        </w:trPr>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99" w:firstLine="373"/>
        <w:spacing w:after="0" w:line="297" w:lineRule="auto"/>
        <w:rPr>
          <w:sz w:val="20"/>
          <w:szCs w:val="20"/>
          <w:color w:val="auto"/>
        </w:rPr>
      </w:pPr>
      <w:r>
        <w:rPr>
          <w:rFonts w:ascii="Arial" w:cs="Arial" w:eastAsia="Arial" w:hAnsi="Arial"/>
          <w:sz w:val="16"/>
          <w:szCs w:val="16"/>
          <w:color w:val="auto"/>
        </w:rPr>
        <w:t>The value of goodwill and other intangible assets in the Condensed Consolidated Balance Sheet at January 31, 2010 differs from the value assigned to them in the allocation of purchase price due to the effect of fluctuations in the exchange rates used to translate financial statements into the United States Dollar between the date of acquisition and January 31, 2010. The acquisitions completed during the six months ended January 31, 2010 contributed to the increase in the customer relationships of $5,490 and an increase in the amortizable trademarks of $635. See Note M, “Acquisitions” for further discussion.</w:t>
      </w:r>
    </w:p>
    <w:p>
      <w:pPr>
        <w:spacing w:after="0" w:line="118" w:lineRule="exact"/>
        <w:rPr>
          <w:sz w:val="20"/>
          <w:szCs w:val="20"/>
          <w:color w:val="auto"/>
        </w:rPr>
      </w:pPr>
    </w:p>
    <w:p>
      <w:pPr>
        <w:ind w:left="340" w:right="679" w:firstLine="373"/>
        <w:spacing w:after="0" w:line="259" w:lineRule="auto"/>
        <w:rPr>
          <w:sz w:val="20"/>
          <w:szCs w:val="20"/>
          <w:color w:val="auto"/>
        </w:rPr>
      </w:pPr>
      <w:r>
        <w:rPr>
          <w:rFonts w:ascii="Arial" w:cs="Arial" w:eastAsia="Arial" w:hAnsi="Arial"/>
          <w:sz w:val="18"/>
          <w:szCs w:val="18"/>
          <w:color w:val="auto"/>
        </w:rPr>
        <w:t>Amortization expense on intangible assets was $5,628 and $5,601 for the three-month periods ended January 31, 2010 and 2009, respectively and $11,235 and $11,529 for the six-month periods ended January 31, 2010 and 2009, respectively. Annual amortization is projected to be $23,500, $19,757, $12,712, $9,409 and $4,749 for the years ending July 31, 2010, 2011, 2012, 2013 and 2014,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 — Comprehensive Income (Loss)</w:t>
      </w:r>
    </w:p>
    <w:p>
      <w:pPr>
        <w:spacing w:after="0" w:line="198"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Total comprehensive income (loss), which was comprised of net income, foreign currency adjustments, net unrealized gains and losses from cash flow hedges, the unrealized gain on the post-retirement medical, dental, and vision plans, and their related tax effects amounted to ($3,513) and ($4,738) for the three months ended January 31, 2010 and 2009, respectively and $42,327 and ($104,628) for the six months ended January 31, 2010 and 2009, respectively. The increase in total comprehensive income for the three and six months ended January 31, 2010 as compared to the same periods in the previous year was primarily the result of the increase in net income as well as the depreciation of the U.S. dollar against other currencies.</w:t>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D — Net Income Per Common Share</w:t>
      </w:r>
    </w:p>
    <w:p>
      <w:pPr>
        <w:spacing w:after="0" w:line="198"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In June 2008, the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of the adoption, the dividends on the Company’s performance-based restricted shares, granted in fiscal 2008, are included in the basic EPS calculations for all periods presented. The inclusion has not materially impacted the earnings per share for the three and six months ended January 31, 2010 and 2009.</w:t>
      </w:r>
    </w:p>
    <w:p>
      <w:pPr>
        <w:spacing w:after="0" w:line="127" w:lineRule="exact"/>
        <w:rPr>
          <w:sz w:val="20"/>
          <w:szCs w:val="20"/>
          <w:color w:val="auto"/>
        </w:rPr>
      </w:pPr>
    </w:p>
    <w:p>
      <w:pPr>
        <w:ind w:left="340" w:right="1059" w:firstLine="373"/>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January 31,</w:t>
            </w:r>
          </w:p>
        </w:tc>
        <w:tc>
          <w:tcPr>
            <w:tcW w:w="2440" w:type="dxa"/>
            <w:vAlign w:val="bottom"/>
            <w:gridSpan w:val="6"/>
          </w:tcPr>
          <w:p>
            <w:pPr>
              <w:spacing w:after="0"/>
              <w:rPr>
                <w:sz w:val="20"/>
                <w:szCs w:val="20"/>
                <w:color w:val="auto"/>
              </w:rPr>
            </w:pPr>
            <w:r>
              <w:rPr>
                <w:rFonts w:ascii="Arial" w:cs="Arial" w:eastAsia="Arial" w:hAnsi="Arial"/>
                <w:sz w:val="18"/>
                <w:szCs w:val="18"/>
                <w:b w:val="1"/>
                <w:bCs w:val="1"/>
                <w:color w:val="auto"/>
                <w:w w:val="93"/>
              </w:rPr>
              <w:t>Six Months Ended January 31,</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200"/>
              <w:spacing w:after="0" w:line="201" w:lineRule="exact"/>
              <w:rPr>
                <w:sz w:val="20"/>
                <w:szCs w:val="20"/>
                <w:color w:val="auto"/>
              </w:rPr>
            </w:pPr>
            <w:r>
              <w:rPr>
                <w:rFonts w:ascii="Arial" w:cs="Arial" w:eastAsia="Arial" w:hAnsi="Arial"/>
                <w:sz w:val="18"/>
                <w:szCs w:val="18"/>
                <w:color w:val="auto"/>
              </w:rPr>
              <w:t>Net income (loss) (numerator for basic and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0"/>
              <w:spacing w:after="0"/>
              <w:rPr>
                <w:sz w:val="20"/>
                <w:szCs w:val="20"/>
                <w:color w:val="auto"/>
              </w:rPr>
            </w:pPr>
            <w:r>
              <w:rPr>
                <w:rFonts w:ascii="Arial" w:cs="Arial" w:eastAsia="Arial" w:hAnsi="Arial"/>
                <w:sz w:val="18"/>
                <w:szCs w:val="18"/>
                <w:color w:val="auto"/>
              </w:rPr>
              <w:t>diluted Class A net income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15,001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36,669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32,960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400"/>
              <w:spacing w:after="0"/>
              <w:rPr>
                <w:sz w:val="20"/>
                <w:szCs w:val="20"/>
                <w:color w:val="auto"/>
              </w:rPr>
            </w:pPr>
            <w:r>
              <w:rPr>
                <w:rFonts w:ascii="Arial" w:cs="Arial" w:eastAsia="Arial" w:hAnsi="Arial"/>
                <w:sz w:val="18"/>
                <w:szCs w:val="18"/>
                <w:color w:val="auto"/>
              </w:rPr>
              <w:t>Restricted stock dividends</w:t>
            </w:r>
          </w:p>
        </w:tc>
        <w:tc>
          <w:tcPr>
            <w:tcW w:w="22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Numerator for basis and diluted Class A net</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14,964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32,888</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2"/>
        </w:trPr>
        <w:tc>
          <w:tcPr>
            <w:tcW w:w="3960" w:type="dxa"/>
            <w:vAlign w:val="bottom"/>
          </w:tcPr>
          <w:p>
            <w:pPr>
              <w:ind w:left="400"/>
              <w:spacing w:after="0" w:line="201" w:lineRule="exact"/>
              <w:rPr>
                <w:sz w:val="20"/>
                <w:szCs w:val="20"/>
                <w:color w:val="auto"/>
              </w:rPr>
            </w:pPr>
            <w:r>
              <w:rPr>
                <w:rFonts w:ascii="Arial" w:cs="Arial" w:eastAsia="Arial" w:hAnsi="Arial"/>
                <w:sz w:val="18"/>
                <w:szCs w:val="18"/>
                <w:color w:val="auto"/>
              </w:rPr>
              <w:t>Preferential dividends on dilutive stock</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60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Numerator for basic and diluted Class B net</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14,964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32,054</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Denominator for basic net income per share for</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both Class A and Class B</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52,370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52,350</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52,354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52,821</w:t>
            </w:r>
          </w:p>
        </w:tc>
        <w:tc>
          <w:tcPr>
            <w:tcW w:w="0" w:type="dxa"/>
            <w:vAlign w:val="bottom"/>
          </w:tcPr>
          <w:p>
            <w:pPr>
              <w:spacing w:after="0"/>
              <w:rPr>
                <w:sz w:val="1"/>
                <w:szCs w:val="1"/>
                <w:color w:val="auto"/>
              </w:rPr>
            </w:pPr>
          </w:p>
        </w:tc>
      </w:tr>
      <w:tr>
        <w:trPr>
          <w:trHeight w:val="223"/>
        </w:trPr>
        <w:tc>
          <w:tcPr>
            <w:tcW w:w="396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2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726</w:t>
            </w:r>
          </w:p>
        </w:tc>
        <w:tc>
          <w:tcPr>
            <w:tcW w:w="2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Denominator for diluted net income per share</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 both Class A and Class B</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53,096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52,350</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53,020</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53,144</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rPr>
              <w:t>(loss) income per share: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3960" w:type="dxa"/>
            <w:vAlign w:val="bottom"/>
          </w:tcPr>
          <w:p>
            <w:pPr>
              <w:ind w:left="4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0.28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0.69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2"/>
        </w:trPr>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Voting Common Stock net (loss) income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0.68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79" w:firstLine="373"/>
        <w:spacing w:after="0" w:line="342" w:lineRule="auto"/>
        <w:rPr>
          <w:sz w:val="20"/>
          <w:szCs w:val="20"/>
          <w:color w:val="auto"/>
        </w:rPr>
      </w:pPr>
      <w:r>
        <w:rPr>
          <w:rFonts w:ascii="Arial" w:cs="Arial" w:eastAsia="Arial" w:hAnsi="Arial"/>
          <w:sz w:val="16"/>
          <w:szCs w:val="16"/>
          <w:color w:val="auto"/>
        </w:rPr>
        <w:t>For the three months ended January 31, 2009, the Company was in a net loss position. As a result of the Company’s net loss position, no additional shares were included in the diluted per-share amount for the three months ended January 31, 2009.</w:t>
      </w:r>
    </w:p>
    <w:p>
      <w:pPr>
        <w:spacing w:after="0" w:line="97"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Options to purchase approximately 3,019,000 and 2,690,000 shares of Class A Nonvoting Common Stock for the three and six months ended January 31, 2010, respectively, and 3,700,000 and 2,657,000 shares of Class A Nonvoting Common Stock for the three and six months ended January 31, 2009, respectively, were not included in the computations of diluted net income per share because the option exercise price was greater than the average market price of the common shares and, therefore, the effect would be anti-dilutive.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E — Segment Information</w:t>
      </w:r>
    </w:p>
    <w:p>
      <w:pPr>
        <w:spacing w:after="0" w:line="198"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53" w:lineRule="exact"/>
        <w:rPr>
          <w:sz w:val="20"/>
          <w:szCs w:val="20"/>
          <w:color w:val="auto"/>
        </w:rPr>
      </w:pPr>
    </w:p>
    <w:p>
      <w:pPr>
        <w:ind w:left="340" w:right="619" w:firstLine="373"/>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ind w:left="340" w:right="719" w:firstLine="373"/>
        <w:spacing w:after="0" w:line="264"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is a summary of segment information for the three and six months ended January 31, 2010 and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Corporate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b w:val="1"/>
                <w:bCs w:val="1"/>
                <w:color w:val="auto"/>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98"/>
              </w:rPr>
              <w:t>Americas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Europe</w:t>
            </w:r>
          </w:p>
        </w:tc>
        <w:tc>
          <w:tcPr>
            <w:tcW w:w="1080" w:type="dxa"/>
            <w:vAlign w:val="bottom"/>
            <w:gridSpan w:val="5"/>
          </w:tcPr>
          <w:p>
            <w:pPr>
              <w:spacing w:after="0"/>
              <w:rPr>
                <w:sz w:val="20"/>
                <w:szCs w:val="20"/>
                <w:color w:val="auto"/>
              </w:rPr>
            </w:pPr>
            <w:r>
              <w:rPr>
                <w:rFonts w:ascii="Arial" w:cs="Arial" w:eastAsia="Arial" w:hAnsi="Arial"/>
                <w:sz w:val="18"/>
                <w:szCs w:val="18"/>
                <w:b w:val="1"/>
                <w:bCs w:val="1"/>
                <w:color w:val="auto"/>
              </w:rPr>
              <w:t>Asia-Pacific</w:t>
            </w:r>
          </w:p>
        </w:tc>
        <w:tc>
          <w:tcPr>
            <w:tcW w:w="8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Region</w:t>
            </w:r>
          </w:p>
        </w:tc>
        <w:tc>
          <w:tcPr>
            <w:tcW w:w="100" w:type="dxa"/>
            <w:vAlign w:val="bottom"/>
          </w:tcPr>
          <w:p>
            <w:pPr>
              <w:spacing w:after="0"/>
              <w:rPr>
                <w:sz w:val="20"/>
                <w:szCs w:val="20"/>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Eliminations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Totals</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31, 2010:</w:t>
            </w: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$ 121,603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96,614</w:t>
            </w:r>
          </w:p>
        </w:tc>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77,612</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$ 295,829</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$ 295,829</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4,932</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19,883</w:t>
            </w:r>
          </w:p>
        </w:tc>
        <w:tc>
          <w:tcPr>
            <w:tcW w:w="12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(19,883)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Segment profit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23,546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25,947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10,687</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60,180</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(3,683)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56,497</w:t>
            </w:r>
          </w:p>
        </w:tc>
      </w:tr>
      <w:tr>
        <w:trPr>
          <w:trHeight w:val="202"/>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31, 2009: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$ 122,970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87,201</w:t>
            </w:r>
          </w:p>
        </w:tc>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56,278</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$ 266,449</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$ 266,449</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5,070</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15,892</w:t>
            </w:r>
          </w:p>
        </w:tc>
        <w:tc>
          <w:tcPr>
            <w:tcW w:w="12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(15,892)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Segment profit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22,041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22,945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4,122</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49,108</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(2,607)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46,501</w:t>
            </w:r>
          </w:p>
        </w:tc>
      </w:tr>
      <w:tr>
        <w:trPr>
          <w:trHeight w:val="202"/>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January 31, 2010: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$ 257,842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190,949</w:t>
            </w:r>
          </w:p>
        </w:tc>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165,524</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$ 614,315</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$ 614,315</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8,901</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39,042</w:t>
            </w:r>
          </w:p>
        </w:tc>
        <w:tc>
          <w:tcPr>
            <w:tcW w:w="12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(39,042)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Segment profit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56,347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50,809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25,814</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132,970</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(6,603)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126,367</w:t>
            </w:r>
          </w:p>
        </w:tc>
      </w:tr>
      <w:tr>
        <w:trPr>
          <w:trHeight w:val="202"/>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January 31, 2009: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$ 283,886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195,416</w:t>
            </w:r>
          </w:p>
        </w:tc>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165,464</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$ 644,766</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$ 644,766</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13,058</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39,772</w:t>
            </w:r>
          </w:p>
        </w:tc>
        <w:tc>
          <w:tcPr>
            <w:tcW w:w="12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(39,772)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Segment profit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57,564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54,084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26,523</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138,171</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(4,914)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133,257</w:t>
            </w:r>
          </w:p>
        </w:tc>
      </w:tr>
      <w:tr>
        <w:trPr>
          <w:trHeight w:val="363"/>
        </w:trPr>
        <w:tc>
          <w:tcPr>
            <w:tcW w:w="9320" w:type="dxa"/>
            <w:vAlign w:val="bottom"/>
            <w:gridSpan w:val="26"/>
          </w:tcPr>
          <w:p>
            <w:pPr>
              <w:ind w:left="360"/>
              <w:spacing w:after="0"/>
              <w:rPr>
                <w:sz w:val="20"/>
                <w:szCs w:val="20"/>
                <w:color w:val="auto"/>
              </w:rPr>
            </w:pPr>
            <w:r>
              <w:rPr>
                <w:rFonts w:ascii="Arial" w:cs="Arial" w:eastAsia="Arial" w:hAnsi="Arial"/>
                <w:sz w:val="18"/>
                <w:szCs w:val="18"/>
                <w:color w:val="auto"/>
                <w:w w:val="92"/>
              </w:rPr>
              <w:t>Following is a reconciliation of segment profit to net income (loss) for the three months and six months ended January 31,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2010 and 2009:</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7"/>
          </w:tcPr>
          <w:p>
            <w:pPr>
              <w:ind w:left="320"/>
              <w:spacing w:after="0"/>
              <w:rPr>
                <w:sz w:val="20"/>
                <w:szCs w:val="20"/>
                <w:color w:val="auto"/>
              </w:rPr>
            </w:pPr>
            <w:r>
              <w:rPr>
                <w:rFonts w:ascii="Arial" w:cs="Arial" w:eastAsia="Arial" w:hAnsi="Arial"/>
                <w:sz w:val="18"/>
                <w:szCs w:val="18"/>
                <w:b w:val="1"/>
                <w:bCs w:val="1"/>
                <w:color w:val="auto"/>
              </w:rPr>
              <w:t>January 31,</w:t>
            </w:r>
          </w:p>
        </w:tc>
      </w:tr>
      <w:tr>
        <w:trPr>
          <w:trHeight w:val="210"/>
        </w:trPr>
        <w:tc>
          <w:tcPr>
            <w:tcW w:w="3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49,108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132,970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138,171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90"/>
              <w:spacing w:after="0"/>
              <w:rPr>
                <w:sz w:val="20"/>
                <w:szCs w:val="20"/>
                <w:color w:val="auto"/>
              </w:rPr>
            </w:pPr>
            <w:r>
              <w:rPr>
                <w:rFonts w:ascii="Arial" w:cs="Arial" w:eastAsia="Arial" w:hAnsi="Arial"/>
                <w:sz w:val="18"/>
                <w:szCs w:val="18"/>
                <w:color w:val="auto"/>
              </w:rPr>
              <w:t>(3,683)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color w:val="auto"/>
              </w:rPr>
              <w:t>(2,607)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(6,603)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(4,914)</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90"/>
              <w:spacing w:after="0"/>
              <w:rPr>
                <w:sz w:val="20"/>
                <w:szCs w:val="20"/>
                <w:color w:val="auto"/>
              </w:rPr>
            </w:pPr>
            <w:r>
              <w:rPr>
                <w:rFonts w:ascii="Arial" w:cs="Arial" w:eastAsia="Arial" w:hAnsi="Arial"/>
                <w:sz w:val="18"/>
                <w:szCs w:val="18"/>
                <w:color w:val="auto"/>
              </w:rPr>
              <w:t>(28,946)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color w:val="auto"/>
              </w:rPr>
              <w:t>(22,475)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(59,659)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(51,398)</w:t>
            </w:r>
          </w:p>
        </w:tc>
      </w:tr>
      <w:tr>
        <w:trPr>
          <w:trHeight w:val="216"/>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(19,408)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(21,047)</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Investment and other income (expense)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1,153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r>
      <w:tr>
        <w:trPr>
          <w:trHeight w:val="216"/>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(6,314)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(12,675)</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19,843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(3,394)</w:t>
            </w: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50,286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48,291</w:t>
            </w:r>
          </w:p>
        </w:tc>
        <w:tc>
          <w:tcPr>
            <w:tcW w:w="8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(4,842)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(15,331)</w:t>
            </w:r>
          </w:p>
        </w:tc>
      </w:tr>
      <w:tr>
        <w:trPr>
          <w:trHeight w:val="223"/>
        </w:trPr>
        <w:tc>
          <w:tcPr>
            <w:tcW w:w="358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15,001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(4,150)</w:t>
            </w:r>
          </w:p>
        </w:tc>
        <w:tc>
          <w:tcPr>
            <w:tcW w:w="3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36,669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32,960</w:t>
            </w:r>
          </w:p>
        </w:tc>
        <w:tc>
          <w:tcPr>
            <w:tcW w:w="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F — Stock-Based Compensation</w:t>
      </w:r>
    </w:p>
    <w:p>
      <w:pPr>
        <w:spacing w:after="0" w:line="198"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128"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As of January 31, 2010, the Company has reserved 5,348,639 shares of Class A Nonvoting Common Stock for outstanding stock options and restricted shares and 2,228,500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46" w:lineRule="exact"/>
        <w:rPr>
          <w:sz w:val="20"/>
          <w:szCs w:val="20"/>
          <w:color w:val="auto"/>
        </w:rPr>
      </w:pPr>
    </w:p>
    <w:p>
      <w:pPr>
        <w:ind w:left="340" w:right="599" w:firstLine="373"/>
        <w:spacing w:after="0" w:line="293" w:lineRule="auto"/>
        <w:rPr>
          <w:sz w:val="20"/>
          <w:szCs w:val="20"/>
          <w:color w:val="auto"/>
        </w:rPr>
      </w:pPr>
      <w:r>
        <w:rPr>
          <w:rFonts w:ascii="Arial" w:cs="Arial" w:eastAsia="Arial" w:hAnsi="Arial"/>
          <w:sz w:val="16"/>
          <w:szCs w:val="16"/>
          <w:color w:val="auto"/>
        </w:rPr>
        <w:t>The Company recognizes the compensation cost of all share-based awards on a straight-line basis over the vesting period of the award. Total stock compensation expense recognized by the Company during the three months ended January 31, 2010 and 2009 was $2,205 ($1,345 net of taxes) and $2,152 ($1,313 net of taxes), respectively, and expense recognized during the six months ended January 31, 2010 and 2009 was $5,156 ($3,145 net of taxes) and $4,244 ($2,589 net of taxes), respectively. As of January 31, 2010, total unrecognized compensation cost related to share-based compensation awards was $17,198 pre-tax, net of estimated forfeitures, which the Company expects to recognize over a weighted-average period of 2.4 years.</w:t>
      </w:r>
    </w:p>
    <w:p>
      <w:pPr>
        <w:spacing w:after="0" w:line="138"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six months ended January 31, 2010 and 2009 using the Black-Scholes option valuation model. The weighted-average assumptions used in the Black-Scholes valuation model are reflected in the following table: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right"/>
              <w:ind w:right="900"/>
              <w:spacing w:after="0"/>
              <w:rPr>
                <w:sz w:val="20"/>
                <w:szCs w:val="20"/>
                <w:color w:val="auto"/>
              </w:rPr>
            </w:pPr>
            <w:r>
              <w:rPr>
                <w:rFonts w:ascii="Arial" w:cs="Arial" w:eastAsia="Arial" w:hAnsi="Arial"/>
                <w:sz w:val="18"/>
                <w:szCs w:val="18"/>
                <w:color w:val="auto"/>
              </w:rPr>
              <w:t>Six Months Ended</w:t>
            </w:r>
          </w:p>
        </w:tc>
        <w:tc>
          <w:tcPr>
            <w:tcW w:w="320" w:type="dxa"/>
            <w:vAlign w:val="bottom"/>
          </w:tcPr>
          <w:p>
            <w:pPr>
              <w:spacing w:after="0"/>
              <w:rPr>
                <w:sz w:val="18"/>
                <w:szCs w:val="18"/>
                <w:color w:val="auto"/>
              </w:rPr>
            </w:pPr>
          </w:p>
        </w:tc>
        <w:tc>
          <w:tcPr>
            <w:tcW w:w="2180" w:type="dxa"/>
            <w:vAlign w:val="bottom"/>
            <w:gridSpan w:val="4"/>
          </w:tcPr>
          <w:p>
            <w:pPr>
              <w:jc w:val="right"/>
              <w:ind w:right="620"/>
              <w:spacing w:after="0"/>
              <w:rPr>
                <w:sz w:val="20"/>
                <w:szCs w:val="20"/>
                <w:color w:val="auto"/>
              </w:rPr>
            </w:pPr>
            <w:r>
              <w:rPr>
                <w:rFonts w:ascii="Arial" w:cs="Arial" w:eastAsia="Arial" w:hAnsi="Arial"/>
                <w:sz w:val="18"/>
                <w:szCs w:val="18"/>
                <w:color w:val="auto"/>
              </w:rPr>
              <w:t>Six Months Ended</w:t>
            </w:r>
          </w:p>
        </w:tc>
      </w:tr>
      <w:tr>
        <w:trPr>
          <w:trHeight w:val="230"/>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gridSpan w:val="4"/>
          </w:tcPr>
          <w:p>
            <w:pPr>
              <w:jc w:val="right"/>
              <w:ind w:right="940"/>
              <w:spacing w:after="0"/>
              <w:rPr>
                <w:sz w:val="20"/>
                <w:szCs w:val="20"/>
                <w:color w:val="auto"/>
              </w:rPr>
            </w:pPr>
            <w:r>
              <w:rPr>
                <w:rFonts w:ascii="Arial" w:cs="Arial" w:eastAsia="Arial" w:hAnsi="Arial"/>
                <w:sz w:val="18"/>
                <w:szCs w:val="18"/>
                <w:color w:val="auto"/>
              </w:rPr>
              <w:t>January 31, 2010</w:t>
            </w:r>
          </w:p>
        </w:tc>
        <w:tc>
          <w:tcPr>
            <w:tcW w:w="320" w:type="dxa"/>
            <w:vAlign w:val="bottom"/>
          </w:tcPr>
          <w:p>
            <w:pPr>
              <w:spacing w:after="0"/>
              <w:rPr>
                <w:sz w:val="20"/>
                <w:szCs w:val="20"/>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8"/>
                <w:szCs w:val="18"/>
                <w:color w:val="auto"/>
              </w:rPr>
              <w:t>January 31, 2009</w:t>
            </w:r>
          </w:p>
        </w:tc>
      </w:tr>
      <w:tr>
        <w:trPr>
          <w:trHeight w:val="195"/>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Performance-</w:t>
            </w:r>
          </w:p>
        </w:tc>
        <w:tc>
          <w:tcPr>
            <w:tcW w:w="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Performance-</w:t>
            </w:r>
          </w:p>
        </w:tc>
        <w:tc>
          <w:tcPr>
            <w:tcW w:w="8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Based Option</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Based Option</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Black-Scholes Option Valuation Assumptions</w:t>
            </w:r>
          </w:p>
        </w:tc>
        <w:tc>
          <w:tcPr>
            <w:tcW w:w="2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Awards</w:t>
            </w:r>
          </w:p>
        </w:tc>
        <w:tc>
          <w:tcPr>
            <w:tcW w:w="146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Awards</w:t>
            </w:r>
          </w:p>
        </w:tc>
      </w:tr>
      <w:tr>
        <w:trPr>
          <w:trHeight w:val="20"/>
        </w:trPr>
        <w:tc>
          <w:tcPr>
            <w:tcW w:w="3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39.85%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38.72%</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36.01%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market value of underlying stock</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 grant date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28.73</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28.73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21.31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 granted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during the period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bl>
    <w:p>
      <w:pPr>
        <w:spacing w:after="0" w:line="161"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38" w:lineRule="exact"/>
        <w:rPr>
          <w:sz w:val="20"/>
          <w:szCs w:val="20"/>
          <w:color w:val="auto"/>
        </w:rPr>
      </w:pPr>
    </w:p>
    <w:p>
      <w:pPr>
        <w:jc w:val="both"/>
        <w:ind w:left="340" w:right="699" w:firstLine="373"/>
        <w:spacing w:after="0" w:line="264" w:lineRule="auto"/>
        <w:rPr>
          <w:sz w:val="20"/>
          <w:szCs w:val="20"/>
          <w:color w:val="auto"/>
        </w:rPr>
      </w:pPr>
      <w:r>
        <w:rPr>
          <w:rFonts w:ascii="Arial" w:cs="Arial" w:eastAsia="Arial" w:hAnsi="Arial"/>
          <w:sz w:val="18"/>
          <w:szCs w:val="18"/>
          <w:color w:val="auto"/>
        </w:rPr>
        <w:t>The Company granted 210,000 performance-based restricted shares during fiscal 2008, with a grant price and fair value of $32.83. The Company did not grant any performance-based restricted shares during the six months ended January 31, 2010. As of January 31, 2010, 210,000 performance-based restricted shares were outstanding.</w:t>
      </w:r>
    </w:p>
    <w:p>
      <w:pPr>
        <w:spacing w:after="0" w:line="154" w:lineRule="exact"/>
        <w:rPr>
          <w:sz w:val="20"/>
          <w:szCs w:val="20"/>
          <w:color w:val="auto"/>
        </w:rPr>
      </w:pPr>
    </w:p>
    <w:p>
      <w:pPr>
        <w:ind w:left="340" w:right="639" w:firstLine="373"/>
        <w:spacing w:after="0" w:line="259" w:lineRule="auto"/>
        <w:rPr>
          <w:sz w:val="20"/>
          <w:szCs w:val="20"/>
          <w:color w:val="auto"/>
        </w:rPr>
      </w:pPr>
      <w:r>
        <w:rPr>
          <w:rFonts w:ascii="Arial" w:cs="Arial" w:eastAsia="Arial" w:hAnsi="Arial"/>
          <w:sz w:val="18"/>
          <w:szCs w:val="18"/>
          <w:color w:val="auto"/>
        </w:rPr>
        <w:t>The Company granted 525,000 performance-based options during the six months ended January 31, 2010, with a weighted average exercise price of $28.73 and a weighted average fair value of $8.96. The Company also granted 901,000 service-based options during the six months ended January 31, 2010, with a weighted average exercise price of $28.73 and a weighted average fair value of $8.78.</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stock option activity under the Company’s share-based compensation plans for the six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31, 2010 is presented below:</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Options</w:t>
            </w:r>
          </w:p>
        </w:tc>
        <w:tc>
          <w:tcPr>
            <w:tcW w:w="2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Shares</w:t>
            </w:r>
          </w:p>
        </w:tc>
        <w:tc>
          <w:tcPr>
            <w:tcW w:w="340" w:type="dxa"/>
            <w:vAlign w:val="bottom"/>
            <w:gridSpan w:val="2"/>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Term</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31, 2009</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New grants</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1,426,000</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29.12</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(96,567)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Forfeited or expired</w:t>
            </w:r>
          </w:p>
        </w:tc>
        <w:tc>
          <w:tcPr>
            <w:tcW w:w="28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(171,400)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33.22</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2010</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5,138,639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28.32</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17,013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Exercisable at January 31, 2010</w:t>
            </w: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28.52</w:t>
            </w: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3,340,857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There were 3,340,857 and 2,885,483 options exercisable with a weighted average exercise price of $28.52 and $27.27 at January 31, 2010 and 2009, respectively. The cash received from the exercise of options during the three months ended January 31, 2010 and 2009 was $956 and $122, respectively. The cash received from the exercise of options during the six months ended January 31, 2010 and 2009 was $1,672 and $1,284, respectively. The cash received from the tax benefit on options exercised during the quarters ended January 31, 2010 and 2009 was $181 and $86, respectively. The cash received from the tax benefit on options exercised during the six months ended January 31, 2010 and 2009 was $383 and $532, respectively.</w:t>
      </w:r>
    </w:p>
    <w:p>
      <w:pPr>
        <w:spacing w:after="0" w:line="124" w:lineRule="exact"/>
        <w:rPr>
          <w:sz w:val="20"/>
          <w:szCs w:val="20"/>
          <w:color w:val="auto"/>
        </w:rPr>
      </w:pPr>
    </w:p>
    <w:p>
      <w:pPr>
        <w:ind w:left="340" w:right="679" w:firstLine="373"/>
        <w:spacing w:after="0" w:line="312" w:lineRule="auto"/>
        <w:rPr>
          <w:sz w:val="20"/>
          <w:szCs w:val="20"/>
          <w:color w:val="auto"/>
        </w:rPr>
      </w:pPr>
      <w:r>
        <w:rPr>
          <w:rFonts w:ascii="Arial" w:cs="Arial" w:eastAsia="Arial" w:hAnsi="Arial"/>
          <w:sz w:val="16"/>
          <w:szCs w:val="16"/>
          <w:color w:val="auto"/>
        </w:rPr>
        <w:t>The total intrinsic value of options exercised during the six months ended January 31, 2010 and 2009, based upon the average market price at the time of exercise during the period, was $1,266 and $1,702, respectively. The total fair value of stock options vested during the six months ended January 31, 2010 and 2009, was $12,054 and $7,194, respectively.</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G — Stockholders’ Investment</w:t>
      </w:r>
    </w:p>
    <w:p>
      <w:pPr>
        <w:spacing w:after="0" w:line="198" w:lineRule="exact"/>
        <w:rPr>
          <w:sz w:val="20"/>
          <w:szCs w:val="20"/>
          <w:color w:val="auto"/>
        </w:rPr>
      </w:pPr>
    </w:p>
    <w:p>
      <w:pPr>
        <w:ind w:left="340" w:right="619" w:firstLine="373"/>
        <w:spacing w:after="0" w:line="293" w:lineRule="auto"/>
        <w:rPr>
          <w:sz w:val="20"/>
          <w:szCs w:val="20"/>
          <w:color w:val="auto"/>
        </w:rPr>
      </w:pPr>
      <w:r>
        <w:rPr>
          <w:rFonts w:ascii="Arial" w:cs="Arial" w:eastAsia="Arial" w:hAnsi="Arial"/>
          <w:sz w:val="16"/>
          <w:szCs w:val="16"/>
          <w:color w:val="auto"/>
        </w:rPr>
        <w:t>In September 2008, the Company announced that the Board of Directors of the Company authorized a share repurchase plan for up to 1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No shares were repurchased during the quarter ended January 31, 2010 or for the six months ended January 31, 2010. As of January 31, 2010, there remained 306,200 shares available to purchase in connection with this share repurchase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H — Employee Benefit Plans</w:t>
      </w:r>
    </w:p>
    <w:p>
      <w:pPr>
        <w:spacing w:after="0" w:line="185" w:lineRule="exact"/>
        <w:rPr>
          <w:sz w:val="20"/>
          <w:szCs w:val="20"/>
          <w:color w:val="auto"/>
        </w:rPr>
      </w:pPr>
    </w:p>
    <w:p>
      <w:pPr>
        <w:ind w:left="340" w:right="639" w:firstLine="373"/>
        <w:spacing w:after="0" w:line="255" w:lineRule="auto"/>
        <w:rPr>
          <w:sz w:val="20"/>
          <w:szCs w:val="20"/>
          <w:color w:val="auto"/>
        </w:rPr>
      </w:pPr>
      <w:r>
        <w:rPr>
          <w:rFonts w:ascii="Arial" w:cs="Arial" w:eastAsia="Arial" w:hAnsi="Arial"/>
          <w:sz w:val="18"/>
          <w:szCs w:val="18"/>
          <w:color w:val="auto"/>
        </w:rPr>
        <w:t>The Company provides postretirement medical, dental and vision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62" w:lineRule="exact"/>
        <w:rPr>
          <w:sz w:val="20"/>
          <w:szCs w:val="20"/>
          <w:color w:val="auto"/>
        </w:rPr>
      </w:pPr>
    </w:p>
    <w:p>
      <w:pPr>
        <w:ind w:left="340" w:right="659" w:firstLine="373"/>
        <w:spacing w:after="0" w:line="312" w:lineRule="auto"/>
        <w:rPr>
          <w:sz w:val="20"/>
          <w:szCs w:val="20"/>
          <w:color w:val="auto"/>
        </w:rPr>
      </w:pPr>
      <w:r>
        <w:rPr>
          <w:rFonts w:ascii="Arial" w:cs="Arial" w:eastAsia="Arial" w:hAnsi="Arial"/>
          <w:sz w:val="16"/>
          <w:szCs w:val="16"/>
          <w:color w:val="auto"/>
        </w:rPr>
        <w:t>The Company funds benefit costs on a pay-as-you-go basis. There have been no changes to the components of net periodic benefit cost or the amount that the Company expects to fund in fiscal 2010 from those reported in Note 3 to the consolidated financial statements included in the Company’s latest annual report on Form 10-K for the year ended July 31, 2009.</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I — Fair Value Measurements</w:t>
      </w:r>
    </w:p>
    <w:p>
      <w:pPr>
        <w:spacing w:after="0" w:line="198" w:lineRule="exact"/>
        <w:rPr>
          <w:sz w:val="20"/>
          <w:szCs w:val="20"/>
          <w:color w:val="auto"/>
        </w:rPr>
      </w:pPr>
    </w:p>
    <w:p>
      <w:pPr>
        <w:ind w:left="340" w:right="679" w:firstLine="373"/>
        <w:spacing w:after="0" w:line="291" w:lineRule="auto"/>
        <w:rPr>
          <w:sz w:val="20"/>
          <w:szCs w:val="20"/>
          <w:color w:val="auto"/>
        </w:rPr>
      </w:pPr>
      <w:r>
        <w:rPr>
          <w:rFonts w:ascii="Arial" w:cs="Arial" w:eastAsia="Arial" w:hAnsi="Arial"/>
          <w:sz w:val="16"/>
          <w:szCs w:val="16"/>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27"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41" w:lineRule="exact"/>
        <w:rPr>
          <w:sz w:val="20"/>
          <w:szCs w:val="20"/>
          <w:color w:val="auto"/>
        </w:rPr>
      </w:pPr>
    </w:p>
    <w:p>
      <w:pPr>
        <w:ind w:left="1040" w:right="879"/>
        <w:spacing w:after="0" w:line="25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 At January 31, 2010 and July 31, 2009, $8,301 and $8,239 of the mutual funds held for the Company’s deferred compensation plans were valued using Level 1 pricing inputs. The Company’s deferred compensation investments are included in “Other assets” on the accompanying Condensed Consolidated Balance Sheets.</w:t>
      </w:r>
    </w:p>
    <w:p>
      <w:pPr>
        <w:spacing w:after="0" w:line="161" w:lineRule="exact"/>
        <w:rPr>
          <w:sz w:val="20"/>
          <w:szCs w:val="20"/>
          <w:color w:val="auto"/>
        </w:rPr>
      </w:pPr>
    </w:p>
    <w:p>
      <w:pPr>
        <w:ind w:left="1040" w:right="579"/>
        <w:spacing w:after="0" w:line="253"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valuation models for which pricing inputs were either directly or indirectly observable. At January 31, 2010 and July 31, 2009, $250 and $248, respectively, of the Company’s forward exchange contracts designated as cash flow hedges were valued using Level 2 pricing inputs and are included in “Other current liabilities,” on the accompanying Condensed Consolidated Balance Sheets. At January 31, 2010, $131 of the Company’s forward exchange contracts designated as cash flow hedges were valued using Level 2 pricing inputs and are included in “Prepaid expenses and other current assets,” on the accompanying Condensed Consolidated Balance Sheets. At July 31, 2009, $130 of the Company’s forward contracts not designated as hedging instruments were valued using Level 2 pricing inputs and are included in “Prepaid expenses and other current assets.” See Note L, “Derivatives and Hedging Activities” for additional information regarding the Company’s hedging and derivatives activities.</w:t>
      </w:r>
    </w:p>
    <w:p>
      <w:pPr>
        <w:spacing w:after="0" w:line="154" w:lineRule="exact"/>
        <w:rPr>
          <w:sz w:val="20"/>
          <w:szCs w:val="20"/>
          <w:color w:val="auto"/>
        </w:rPr>
      </w:pPr>
    </w:p>
    <w:p>
      <w:pPr>
        <w:jc w:val="both"/>
        <w:ind w:left="1040" w:right="659"/>
        <w:spacing w:after="0" w:line="264"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 As of January 31, 2010, none of the Company’s assets or liabilities were valued using Level 3 pricing inputs.</w:t>
      </w:r>
    </w:p>
    <w:p>
      <w:pPr>
        <w:spacing w:after="0" w:line="141" w:lineRule="exact"/>
        <w:rPr>
          <w:sz w:val="20"/>
          <w:szCs w:val="20"/>
          <w:color w:val="auto"/>
        </w:rPr>
      </w:pPr>
    </w:p>
    <w:p>
      <w:pPr>
        <w:ind w:left="340" w:right="719" w:firstLine="373"/>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receivables, other investments, accounts payable, accrued liabilities and short- and long-term debt. The fair values of cash, receivables, accounts payable, accrued liabilities and short-term debt approximated carrying values because of the short-term nature of these instruments.</w:t>
      </w:r>
    </w:p>
    <w:p>
      <w:pPr>
        <w:spacing w:after="0" w:line="160" w:lineRule="exact"/>
        <w:rPr>
          <w:sz w:val="20"/>
          <w:szCs w:val="20"/>
          <w:color w:val="auto"/>
        </w:rPr>
      </w:pPr>
    </w:p>
    <w:p>
      <w:pPr>
        <w:ind w:left="340" w:right="719" w:firstLine="373"/>
        <w:spacing w:after="0" w:line="312" w:lineRule="auto"/>
        <w:rPr>
          <w:sz w:val="20"/>
          <w:szCs w:val="20"/>
          <w:color w:val="auto"/>
        </w:rPr>
      </w:pPr>
      <w:r>
        <w:rPr>
          <w:rFonts w:ascii="Arial" w:cs="Arial" w:eastAsia="Arial" w:hAnsi="Arial"/>
          <w:sz w:val="16"/>
          <w:szCs w:val="16"/>
          <w:color w:val="auto"/>
        </w:rPr>
        <w:t>The estimated fair value of the Company’s long-term obligations, based on the quoted market prices for similar issues and on the current rates offered for debt of similar maturities, was $418,693 and $412,678 at January 31, 2010 and July 31, 2009, respectively, as compared to the carrying value of $391,350 at both January 31, 2010 and July 31, 2009.</w:t>
      </w:r>
    </w:p>
    <w:p>
      <w:pPr>
        <w:spacing w:after="0" w:line="106"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Disclosures for nonfinancial assets and liabilities that are measured at fair value, but are recognized and disclosed at fair value on a nonrecurring basis, were required prospectively beginning August 1, 2009. During the three and six months ended January 31, 2010, the Company had no significant measurements of assets or liabilities at fair value on a nonrecurring basis subsequent to their initial recognition other than the acquisitions of Welco and Stickolor. See Note M, “Acquisitions” for further information.</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J — New Accounting Pronouncements</w:t>
      </w:r>
    </w:p>
    <w:p>
      <w:pPr>
        <w:spacing w:after="0" w:line="198" w:lineRule="exact"/>
        <w:rPr>
          <w:sz w:val="20"/>
          <w:szCs w:val="20"/>
          <w:color w:val="auto"/>
        </w:rPr>
      </w:pPr>
    </w:p>
    <w:p>
      <w:pPr>
        <w:ind w:left="340" w:right="1179" w:firstLine="373"/>
        <w:spacing w:after="0" w:line="312" w:lineRule="auto"/>
        <w:rPr>
          <w:sz w:val="20"/>
          <w:szCs w:val="20"/>
          <w:color w:val="auto"/>
        </w:rPr>
      </w:pPr>
      <w:r>
        <w:rPr>
          <w:rFonts w:ascii="Arial" w:cs="Arial" w:eastAsia="Arial" w:hAnsi="Arial"/>
          <w:sz w:val="16"/>
          <w:szCs w:val="16"/>
          <w:color w:val="auto"/>
        </w:rPr>
        <w:t>In December 2007, the Financial Accounting Standards Board (“FASB”) issued new accounting guidance related to business combinations. This guidance requires acquiring entities to recognize all the assets and liabilities assumed in a transaction at fair values as of the acquisition date, but changes the accounting treatment for certain items, including:</w:t>
      </w:r>
    </w:p>
    <w:p>
      <w:pPr>
        <w:spacing w:after="0" w:line="106" w:lineRule="exact"/>
        <w:rPr>
          <w:sz w:val="20"/>
          <w:szCs w:val="20"/>
          <w:color w:val="auto"/>
        </w:rPr>
      </w:pPr>
    </w:p>
    <w:p>
      <w:pPr>
        <w:ind w:left="1040" w:hanging="34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57" w:lineRule="exact"/>
        <w:rPr>
          <w:rFonts w:ascii="Arial" w:cs="Arial" w:eastAsia="Arial" w:hAnsi="Arial"/>
          <w:sz w:val="18"/>
          <w:szCs w:val="18"/>
          <w:color w:val="auto"/>
        </w:rPr>
      </w:pPr>
    </w:p>
    <w:p>
      <w:pPr>
        <w:ind w:left="1040" w:right="779" w:hanging="34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Noncontrolling interests in subsidiaries will be valued at fair value at the acquisition date and classified as a separate component of equity;</w:t>
      </w:r>
    </w:p>
    <w:p>
      <w:pPr>
        <w:spacing w:after="0" w:line="102" w:lineRule="exact"/>
        <w:rPr>
          <w:rFonts w:ascii="Arial" w:cs="Arial" w:eastAsia="Arial" w:hAnsi="Arial"/>
          <w:sz w:val="18"/>
          <w:szCs w:val="18"/>
          <w:color w:val="auto"/>
        </w:rPr>
      </w:pPr>
    </w:p>
    <w:p>
      <w:pPr>
        <w:ind w:left="1040" w:hanging="34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Liabilities related to contingent consideration will be re-measured at fair value in each subsequent reporting period;</w:t>
      </w:r>
    </w:p>
    <w:p>
      <w:pPr>
        <w:spacing w:after="0" w:line="169" w:lineRule="exact"/>
        <w:rPr>
          <w:rFonts w:ascii="Arial" w:cs="Arial" w:eastAsia="Arial" w:hAnsi="Arial"/>
          <w:sz w:val="17"/>
          <w:szCs w:val="17"/>
          <w:color w:val="auto"/>
        </w:rPr>
      </w:pPr>
    </w:p>
    <w:p>
      <w:pPr>
        <w:ind w:left="1040" w:hanging="34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Restructuring costs associated with a business combination will generally be expensed after the acquisition date; and</w:t>
      </w:r>
    </w:p>
    <w:p>
      <w:pPr>
        <w:spacing w:after="0" w:line="180" w:lineRule="exact"/>
        <w:rPr>
          <w:rFonts w:ascii="Arial" w:cs="Arial" w:eastAsia="Arial" w:hAnsi="Arial"/>
          <w:sz w:val="16"/>
          <w:szCs w:val="16"/>
          <w:color w:val="auto"/>
        </w:rPr>
      </w:pPr>
    </w:p>
    <w:p>
      <w:pPr>
        <w:ind w:left="1040" w:right="1219" w:hanging="34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30" w:lineRule="exact"/>
        <w:rPr>
          <w:sz w:val="20"/>
          <w:szCs w:val="20"/>
          <w:color w:val="auto"/>
        </w:rPr>
      </w:pPr>
    </w:p>
    <w:p>
      <w:pPr>
        <w:ind w:left="340" w:right="699" w:firstLine="373"/>
        <w:spacing w:after="0" w:line="259" w:lineRule="auto"/>
        <w:rPr>
          <w:sz w:val="20"/>
          <w:szCs w:val="20"/>
          <w:color w:val="auto"/>
        </w:rPr>
      </w:pPr>
      <w:r>
        <w:rPr>
          <w:rFonts w:ascii="Arial" w:cs="Arial" w:eastAsia="Arial" w:hAnsi="Arial"/>
          <w:sz w:val="18"/>
          <w:szCs w:val="18"/>
          <w:color w:val="auto"/>
        </w:rPr>
        <w:t>This guidance applies to business combinations for which the acquisition date is on or after August 1, 2009. The impact of this guidance on the Company’s future consolidated financial statements will depend on the size and nature of future acquisitions. The impact during the six months ended January 31, 2010 was not significant. See Note M, “Acquisitions” for further discussion.</w:t>
      </w:r>
    </w:p>
    <w:p>
      <w:pPr>
        <w:spacing w:after="0" w:line="160" w:lineRule="exact"/>
        <w:rPr>
          <w:sz w:val="20"/>
          <w:szCs w:val="20"/>
          <w:color w:val="auto"/>
        </w:rPr>
      </w:pPr>
    </w:p>
    <w:p>
      <w:pPr>
        <w:ind w:left="340" w:right="659" w:firstLine="373"/>
        <w:spacing w:after="0" w:line="290" w:lineRule="auto"/>
        <w:rPr>
          <w:sz w:val="20"/>
          <w:szCs w:val="20"/>
          <w:color w:val="auto"/>
        </w:rPr>
      </w:pPr>
      <w:r>
        <w:rPr>
          <w:rFonts w:ascii="Arial" w:cs="Arial" w:eastAsia="Arial" w:hAnsi="Arial"/>
          <w:sz w:val="16"/>
          <w:szCs w:val="16"/>
          <w:color w:val="auto"/>
        </w:rPr>
        <w:t>In April 2009, the FASB issued new accounting guidance related to the accounting for assets and liabilities assumed in a business combination that arise from contingencies. This guidance amends and clarifies the guidance issued in December 2007 related to business combinations to address application issues raised by preparers, auditors, and members of the legal profession on initial recognition and measurement, subsequent measurement and accounting, and disclosure of assets and liabilities arising from contingencies in a business combination. This guidance has been applied on a prospective basis for business combinations for which the acquisition date is on or after August 1, 2009. The impact of this guidance on the Company’s future consolidated financial statements will depend on the size and nature of future acquisitions. The impact during the six months ended January 31, 2010 was not significant. See Note M, “Acquisitions” for further discussion.</w:t>
      </w:r>
    </w:p>
    <w:p>
      <w:pPr>
        <w:spacing w:after="0" w:line="126"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In April 2009, the FASB issued new accounting guidance related to interim disclosures on the fair value of financial instruments. This guidance requires disclosures about fair value of financial instruments for interim periods of publicly traded companies as well as in annual financial statements. This guidance is effective for interim reporting periods ending after June 15, 2009, with early adoption permitted for periods ending after March 15, 2009. The Company adopted this new accounting guidance on August 1, 2009. See Note I, “Fair Value Measurements” for the required disclosures.</w:t>
      </w:r>
    </w:p>
    <w:p>
      <w:pPr>
        <w:spacing w:after="0" w:line="132"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In June 2009, the FASB issued new accounting guidance for variable interest entities. This guidance makes changes to the overall consolidation analysis. This guidance is effective as of the beginning of fiscal years that begin after November 15, 2009. The Company expects to adopt this standard on August 1, 2010. The Company is in the process of evaluating the impact that will result from adopting this guidance on the Company’s results of operations and financial disclosures when such statement is adopted.</w:t>
      </w:r>
    </w:p>
    <w:p>
      <w:pPr>
        <w:spacing w:after="0" w:line="161" w:lineRule="exact"/>
        <w:rPr>
          <w:sz w:val="20"/>
          <w:szCs w:val="20"/>
          <w:color w:val="auto"/>
        </w:rPr>
      </w:pPr>
    </w:p>
    <w:p>
      <w:pPr>
        <w:ind w:left="340" w:right="679" w:firstLine="373"/>
        <w:spacing w:after="0" w:line="312" w:lineRule="auto"/>
        <w:rPr>
          <w:sz w:val="20"/>
          <w:szCs w:val="20"/>
          <w:color w:val="auto"/>
        </w:rPr>
      </w:pPr>
      <w:r>
        <w:rPr>
          <w:rFonts w:ascii="Arial" w:cs="Arial" w:eastAsia="Arial" w:hAnsi="Arial"/>
          <w:sz w:val="16"/>
          <w:szCs w:val="16"/>
          <w:color w:val="auto"/>
        </w:rPr>
        <w:t>In August 2009, the FASB issued new accounting guidance to provide clarification on measuring liabilities at fair value when a quoted price in an active market is not available. The Company adopted this guidance on October 1, 2009. The adoption of this accounting guidance did not have a significant impact on the Company’s consolidated financial statements.</w:t>
      </w:r>
    </w:p>
    <w:p>
      <w:pPr>
        <w:spacing w:after="0" w:line="106"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color w:val="auto"/>
        </w:rPr>
        <w:t>In October 2009, the FASB issued new accounting guidance that provides amendments to the criteria for separating consideration in multiple-deliverable revenue arrangements. As a result of these amendments, multiple-deliverable revenue arrangements will be separated in more circumstances than under existing GAAP. The guidance does this by establishing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A vendor will be required to determine its best estimate of selling price in a manner that is consistent with that used to determine the price to sell the deliverable on a standalone basis. The guidance also eliminates the residual method of allocation and will require that arrangement consideration be allocated at the inception of the arrangement to all deliverables using the relative selling price method, which allocates any discount in the overall arrangement proportionally to each deliverable based on its relative selling price. Expanded disclosures of qualitative and quantitative information regarding application of the multiple-deliverable revenue arrangement guidance are also required under the guidance. The guidance does not apply to arrangements for which industry specific allocation and measurement guidance exists, such as long-term construction contracts and software transactions. The guidance is effective for the Company on August 1, 2010. The Company may elect to adopt the provisions prospectively to new or materially modified arrangements beginning on the effective date or retrospectively for all periods presented. The Company is currently evaluating the impact of this standard on its consolidated results of operations and financial condition.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K — Restructuring</w:t>
      </w:r>
    </w:p>
    <w:p>
      <w:pPr>
        <w:spacing w:after="0" w:line="198" w:lineRule="exact"/>
        <w:rPr>
          <w:sz w:val="20"/>
          <w:szCs w:val="20"/>
          <w:color w:val="auto"/>
        </w:rPr>
      </w:pPr>
    </w:p>
    <w:p>
      <w:pPr>
        <w:ind w:left="340" w:right="1800" w:firstLine="373"/>
        <w:spacing w:after="0" w:line="271" w:lineRule="auto"/>
        <w:rPr>
          <w:sz w:val="20"/>
          <w:szCs w:val="20"/>
          <w:color w:val="auto"/>
        </w:rPr>
      </w:pPr>
      <w:r>
        <w:rPr>
          <w:rFonts w:ascii="Arial" w:cs="Arial" w:eastAsia="Arial" w:hAnsi="Arial"/>
          <w:sz w:val="17"/>
          <w:szCs w:val="17"/>
          <w:color w:val="auto"/>
        </w:rPr>
        <w:t>In fiscal 2009, in response to the global economic downturn, the Company took several measures to address its cost structure. In addition to a company-wide salary freeze, a reduction in its contract labor and decreased discretionary spending, the Company reduced its workforce by 25%. The Company reduced its workforce through voluntary and involuntary separation programs, voluntary retirement programs, and facility consolidations. As a result of these actions, the Company recorded restructuring charges of $25,849 in fiscal 2009. The restructuring charges included $20,911 of employee separation costs, $2,101 of non-cash fixed asset write-offs, $1,194 of other facility closure related costs, $1,275 of contract termination costs, and $368 of non-cash stock option expense. The Company continued executing its restructuring actions that were announced in fiscal 2009 during the first and second quarters of fiscal 2010.</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three and six months ended January 31, 2010, the Company recorded restructuring charges of $3,649 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$7,250, respectively. The year-to-date restructuring charges consisted of $4,816 of employee separation costs, $1,420 of fixed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write-offs, $942 of other facility closure related costs, and $72 of contract termination costs. Of the $7,250 of restructuring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charges recorded during the six months ended January 31, 2010, $2,468 was incurred in the Americas, $2,441 was incurred 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Europe, and $2,341 was incurred in Asia-Pacific. The charges for employee separation costs consisted of severance pay,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outplacement services, medical and other related benefits. The costs related to these restructuring activities have been recorded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the condensed consolidated statements of income as restructuring charges. The Company expects the majority of the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remaining cash payments to be made within the next twelve months.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Company’s restructuring activity for fiscal 2010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6"/>
              </w:rPr>
              <w:t>Employee</w:t>
            </w:r>
          </w:p>
        </w:tc>
        <w:tc>
          <w:tcPr>
            <w:tcW w:w="1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7"/>
              </w:rPr>
              <w:t>Asset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Related</w:t>
            </w:r>
          </w:p>
        </w:tc>
        <w:tc>
          <w:tcPr>
            <w:tcW w:w="3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Write-offs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4,445</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2,581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(2,930)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(2,985)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January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L — Derivatives and Hedging Activities</w:t>
      </w:r>
    </w:p>
    <w:p>
      <w:pPr>
        <w:spacing w:after="0" w:line="198" w:lineRule="exact"/>
        <w:rPr>
          <w:sz w:val="20"/>
          <w:szCs w:val="20"/>
          <w:color w:val="auto"/>
        </w:rPr>
      </w:pPr>
    </w:p>
    <w:p>
      <w:pPr>
        <w:ind w:left="340" w:right="659" w:firstLine="373"/>
        <w:spacing w:after="0" w:line="291" w:lineRule="auto"/>
        <w:rPr>
          <w:sz w:val="20"/>
          <w:szCs w:val="20"/>
          <w:color w:val="auto"/>
        </w:rPr>
      </w:pPr>
      <w:r>
        <w:rPr>
          <w:rFonts w:ascii="Arial" w:cs="Arial" w:eastAsia="Arial" w:hAnsi="Arial"/>
          <w:sz w:val="16"/>
          <w:szCs w:val="16"/>
          <w:color w:val="auto"/>
        </w:rPr>
        <w:t>The Company primarily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the accounting guidance for derivative instruments and hedging activities. The primary objective of the Company’s foreign currency exchange risk management is to minimize the impact of currency movements due to products purchased in other than the respective subsidiaries’ functional currency. To achieve this objective, the Company hedges a portion of known exposures using forward foreign exchange currency contracts. As of January 31, 2010, the notional amount of outstanding forward contacts was $14,443.</w:t>
      </w:r>
    </w:p>
    <w:p>
      <w:pPr>
        <w:spacing w:after="0" w:line="127"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six months ended January 31, 2010. The amount of hedge ineffectiveness for the six months ended January 31, 2009 was $238.</w:t>
      </w:r>
    </w:p>
    <w:p>
      <w:pPr>
        <w:spacing w:after="0" w:line="153"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Singapore Dollar, Swedish Krona, Danish Krone, Japanese Yen, and the Korean Won. Generally, these risk management transactions will involve the use of foreign currency derivatives to protect against exposure resulting from intercompany sales and identified inventory or other asset purchases.</w:t>
      </w:r>
    </w:p>
    <w:p>
      <w:pPr>
        <w:spacing w:after="0" w:line="161" w:lineRule="exact"/>
        <w:rPr>
          <w:sz w:val="20"/>
          <w:szCs w:val="20"/>
          <w:color w:val="auto"/>
        </w:rPr>
      </w:pPr>
    </w:p>
    <w:p>
      <w:pPr>
        <w:ind w:left="340" w:right="559" w:firstLine="373"/>
        <w:spacing w:after="0" w:line="272"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Gains or losses on the derivative related to hedge ineffectiveness are recognized in current earnings. At January 31, 2010 and July 31, 2009, unrealized losses of $248 and $35 have been included in OCI, respectively. All balances are expected to be reclassified from OCI to earnings during the next twelve months when the hedged intercompany transactions impact earnings.</w:t>
      </w:r>
    </w:p>
    <w:p>
      <w:pPr>
        <w:spacing w:after="0" w:line="137"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color w:val="auto"/>
        </w:rPr>
        <w:t>At January 31, 2010, the Company had $131 of forward exchange contracts included in “Prepaid expenses and other current assets” on the accompanying Condensed Consolidated Balance Sheet. At July 31, 2009, $130 of the Company’s forward exchange contracts not designated as hedging instruments under SFAS No. 133 were included in “Prepaid expenses and other current assets,” on the accompanying Condensed Consolidated Balance Sheet. At January 31, 2010 and July 31, 2009, the Company had $250 and $248, of forward exchange contracts included in “Other current liabilities” on the accompanying Condensed Consolidated Balance Sheet, respectively. At January 31, 2010 and July 31, 2009, the U.S. dollar equivalent of these outstanding forward foreign exchange contracts totaled $14,443 and $21,793, respectively, including contracts to sell Euros, Canadian Dollars, Australian Dollars, British Pounds, U.S. Dollars, and Danish Krone.</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Asset Derivatives</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Liability Derivatives</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500" w:type="dxa"/>
            <w:vAlign w:val="bottom"/>
          </w:tcPr>
          <w:p>
            <w:pPr>
              <w:spacing w:after="0"/>
              <w:rPr>
                <w:sz w:val="18"/>
                <w:szCs w:val="18"/>
                <w:color w:val="auto"/>
              </w:rPr>
            </w:pPr>
          </w:p>
        </w:tc>
        <w:tc>
          <w:tcPr>
            <w:tcW w:w="1980" w:type="dxa"/>
            <w:vAlign w:val="bottom"/>
            <w:gridSpan w:val="7"/>
          </w:tcPr>
          <w:p>
            <w:pPr>
              <w:ind w:left="220"/>
              <w:spacing w:after="0"/>
              <w:rPr>
                <w:sz w:val="20"/>
                <w:szCs w:val="20"/>
                <w:color w:val="auto"/>
              </w:rPr>
            </w:pPr>
            <w:r>
              <w:rPr>
                <w:rFonts w:ascii="Arial" w:cs="Arial" w:eastAsia="Arial" w:hAnsi="Arial"/>
                <w:sz w:val="18"/>
                <w:szCs w:val="18"/>
                <w:b w:val="1"/>
                <w:bCs w:val="1"/>
                <w:color w:val="auto"/>
              </w:rPr>
              <w:t>January 31, 2010</w:t>
            </w:r>
          </w:p>
        </w:tc>
        <w:tc>
          <w:tcPr>
            <w:tcW w:w="1460" w:type="dxa"/>
            <w:vAlign w:val="bottom"/>
            <w:gridSpan w:val="3"/>
          </w:tcPr>
          <w:p>
            <w:pPr>
              <w:ind w:left="380"/>
              <w:spacing w:after="0"/>
              <w:rPr>
                <w:sz w:val="20"/>
                <w:szCs w:val="20"/>
                <w:color w:val="auto"/>
              </w:rPr>
            </w:pPr>
            <w:r>
              <w:rPr>
                <w:rFonts w:ascii="Arial" w:cs="Arial" w:eastAsia="Arial" w:hAnsi="Arial"/>
                <w:sz w:val="18"/>
                <w:szCs w:val="18"/>
                <w:b w:val="1"/>
                <w:bCs w:val="1"/>
                <w:color w:val="auto"/>
                <w:w w:val="95"/>
              </w:rPr>
              <w:t>July 31, 2009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6"/>
          </w:tcPr>
          <w:p>
            <w:pPr>
              <w:ind w:left="240"/>
              <w:spacing w:after="0"/>
              <w:rPr>
                <w:sz w:val="20"/>
                <w:szCs w:val="20"/>
                <w:color w:val="auto"/>
              </w:rPr>
            </w:pPr>
            <w:r>
              <w:rPr>
                <w:rFonts w:ascii="Arial" w:cs="Arial" w:eastAsia="Arial" w:hAnsi="Arial"/>
                <w:sz w:val="18"/>
                <w:szCs w:val="18"/>
                <w:b w:val="1"/>
                <w:bCs w:val="1"/>
                <w:color w:val="auto"/>
              </w:rPr>
              <w:t>January 31, 2010</w:t>
            </w:r>
          </w:p>
        </w:tc>
        <w:tc>
          <w:tcPr>
            <w:tcW w:w="1440" w:type="dxa"/>
            <w:vAlign w:val="bottom"/>
            <w:gridSpan w:val="3"/>
          </w:tcPr>
          <w:p>
            <w:pPr>
              <w:ind w:left="380"/>
              <w:spacing w:after="0"/>
              <w:rPr>
                <w:sz w:val="20"/>
                <w:szCs w:val="20"/>
                <w:color w:val="auto"/>
              </w:rPr>
            </w:pPr>
            <w:r>
              <w:rPr>
                <w:rFonts w:ascii="Arial" w:cs="Arial" w:eastAsia="Arial" w:hAnsi="Arial"/>
                <w:sz w:val="18"/>
                <w:szCs w:val="18"/>
                <w:b w:val="1"/>
                <w:bCs w:val="1"/>
                <w:color w:val="auto"/>
                <w:w w:val="93"/>
              </w:rPr>
              <w:t>July 31, 2009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1"/>
        </w:trPr>
        <w:tc>
          <w:tcPr>
            <w:tcW w:w="1500" w:type="dxa"/>
            <w:vAlign w:val="bottom"/>
          </w:tcPr>
          <w:p>
            <w:pPr>
              <w:spacing w:after="0"/>
              <w:rPr>
                <w:sz w:val="16"/>
                <w:szCs w:val="16"/>
                <w:color w:val="auto"/>
              </w:rPr>
            </w:pPr>
          </w:p>
        </w:tc>
        <w:tc>
          <w:tcPr>
            <w:tcW w:w="11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0"/>
              </w:rPr>
              <w:t>Balance Sheet</w:t>
            </w: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Balance Sheet</w:t>
            </w:r>
          </w:p>
        </w:tc>
        <w:tc>
          <w:tcPr>
            <w:tcW w:w="5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0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6"/>
              </w:rPr>
              <w:t>Balance Sheet</w:t>
            </w: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2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Balance Sheet</w:t>
            </w:r>
          </w:p>
        </w:tc>
        <w:tc>
          <w:tcPr>
            <w:tcW w:w="5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Fair</w:t>
            </w:r>
          </w:p>
        </w:tc>
        <w:tc>
          <w:tcPr>
            <w:tcW w:w="60" w:type="dxa"/>
            <w:vAlign w:val="bottom"/>
          </w:tcPr>
          <w:p>
            <w:pPr>
              <w:spacing w:after="0"/>
              <w:rPr>
                <w:sz w:val="16"/>
                <w:szCs w:val="16"/>
                <w:color w:val="auto"/>
              </w:rPr>
            </w:pPr>
          </w:p>
        </w:tc>
      </w:tr>
      <w:tr>
        <w:trPr>
          <w:trHeight w:val="234"/>
        </w:trPr>
        <w:tc>
          <w:tcPr>
            <w:tcW w:w="1500" w:type="dxa"/>
            <w:vAlign w:val="bottom"/>
          </w:tcPr>
          <w:p>
            <w:pPr>
              <w:spacing w:after="0"/>
              <w:rPr>
                <w:sz w:val="20"/>
                <w:szCs w:val="20"/>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Location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gridSpan w:val="2"/>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Location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Pr>
          <w:p>
            <w:pPr>
              <w:spacing w:after="0"/>
              <w:rPr>
                <w:sz w:val="20"/>
                <w:szCs w:val="20"/>
                <w:color w:val="auto"/>
              </w:rPr>
            </w:pPr>
          </w:p>
        </w:tc>
      </w:tr>
      <w:tr>
        <w:trPr>
          <w:trHeight w:val="195"/>
        </w:trPr>
        <w:tc>
          <w:tcPr>
            <w:tcW w:w="15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Foreign</w:t>
            </w:r>
          </w:p>
        </w:tc>
        <w:tc>
          <w:tcPr>
            <w:tcW w:w="11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Prepaid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Prepaid</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Other current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Other current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exchange</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expenses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contracts</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r>
      <w:tr>
        <w:trPr>
          <w:trHeight w:val="425"/>
        </w:trPr>
        <w:tc>
          <w:tcPr>
            <w:tcW w:w="1500" w:type="dxa"/>
            <w:vAlign w:val="bottom"/>
          </w:tcPr>
          <w:p>
            <w:pPr>
              <w:spacing w:after="0"/>
              <w:rPr>
                <w:sz w:val="20"/>
                <w:szCs w:val="20"/>
                <w:color w:val="auto"/>
              </w:rPr>
            </w:pPr>
            <w:r>
              <w:rPr>
                <w:rFonts w:ascii="Arial" w:cs="Arial" w:eastAsia="Arial" w:hAnsi="Arial"/>
                <w:sz w:val="18"/>
                <w:szCs w:val="18"/>
                <w:color w:val="auto"/>
              </w:rPr>
              <w:t>Total derivatives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designated as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hedging</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50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0"/>
        </w:trPr>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w:t>
            </w:r>
          </w:p>
        </w:tc>
        <w:tc>
          <w:tcPr>
            <w:tcW w:w="1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Prepaid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Prepaid</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Other current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current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exchange</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expenses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contracts</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130</w:t>
            </w: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425"/>
        </w:trPr>
        <w:tc>
          <w:tcPr>
            <w:tcW w:w="1500" w:type="dxa"/>
            <w:vAlign w:val="bottom"/>
          </w:tcPr>
          <w:p>
            <w:pPr>
              <w:spacing w:after="0"/>
              <w:rPr>
                <w:sz w:val="20"/>
                <w:szCs w:val="20"/>
                <w:color w:val="auto"/>
              </w:rPr>
            </w:pPr>
            <w:r>
              <w:rPr>
                <w:rFonts w:ascii="Arial" w:cs="Arial" w:eastAsia="Arial" w:hAnsi="Arial"/>
                <w:sz w:val="18"/>
                <w:szCs w:val="18"/>
                <w:color w:val="auto"/>
              </w:rPr>
              <w:t>Total derivatives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not designated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as hedging</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50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130</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541"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41"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pre-tax effects of derivative instruments designated as cash flow hedges on the Condensed Consolidated Statements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Amount of Gain or</w:t>
            </w:r>
          </w:p>
        </w:tc>
        <w:tc>
          <w:tcPr>
            <w:tcW w:w="1200" w:type="dxa"/>
            <w:vAlign w:val="bottom"/>
          </w:tcPr>
          <w:p>
            <w:pPr>
              <w:spacing w:after="0"/>
              <w:rPr>
                <w:sz w:val="14"/>
                <w:szCs w:val="14"/>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Amount of Gain or (Loss)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Amount of Gain or (Loss)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OCI on Derivative</w:t>
            </w:r>
          </w:p>
        </w:tc>
        <w:tc>
          <w:tcPr>
            <w:tcW w:w="3200" w:type="dxa"/>
            <w:vAlign w:val="bottom"/>
            <w:gridSpan w:val="8"/>
          </w:tcPr>
          <w:p>
            <w:pPr>
              <w:jc w:val="center"/>
              <w:ind w:left="828"/>
              <w:spacing w:after="0" w:line="149" w:lineRule="exact"/>
              <w:rPr>
                <w:sz w:val="20"/>
                <w:szCs w:val="20"/>
                <w:color w:val="auto"/>
              </w:rPr>
            </w:pPr>
            <w:r>
              <w:rPr>
                <w:rFonts w:ascii="Arial" w:cs="Arial" w:eastAsia="Arial" w:hAnsi="Arial"/>
                <w:sz w:val="14"/>
                <w:szCs w:val="14"/>
                <w:b w:val="1"/>
                <w:bCs w:val="1"/>
                <w:color w:val="auto"/>
                <w:w w:val="95"/>
              </w:rPr>
              <w:t>Accumulated OCI Into Income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Derivative (Ineffective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4"/>
              </w:rPr>
              <w:t>(Effective 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Location of</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Six</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Six</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Gain or (Loss)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Six months</w:t>
            </w:r>
          </w:p>
        </w:tc>
        <w:tc>
          <w:tcPr>
            <w:tcW w:w="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Six months</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1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Six months</w:t>
            </w:r>
          </w:p>
        </w:tc>
        <w:tc>
          <w:tcPr>
            <w:tcW w:w="8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months</w:t>
            </w: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months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Income on</w:t>
            </w:r>
          </w:p>
        </w:tc>
        <w:tc>
          <w:tcPr>
            <w:tcW w:w="112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ended</w:t>
            </w:r>
          </w:p>
        </w:tc>
        <w:tc>
          <w:tcPr>
            <w:tcW w:w="5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ended</w:t>
            </w:r>
          </w:p>
        </w:tc>
        <w:tc>
          <w:tcPr>
            <w:tcW w:w="14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January 31,</w:t>
            </w: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January 31,</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18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January 31,</w:t>
            </w: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January 31,</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January 31,</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Relationships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Foreign exchange</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center"/>
              <w:ind w:right="100"/>
              <w:spacing w:after="0" w:line="123" w:lineRule="exact"/>
              <w:rPr>
                <w:sz w:val="20"/>
                <w:szCs w:val="20"/>
                <w:color w:val="auto"/>
              </w:rPr>
            </w:pPr>
            <w:r>
              <w:rPr>
                <w:rFonts w:ascii="Arial" w:cs="Arial" w:eastAsia="Arial" w:hAnsi="Arial"/>
                <w:sz w:val="14"/>
                <w:szCs w:val="14"/>
                <w:color w:val="auto"/>
                <w:w w:val="91"/>
              </w:rPr>
              <w:t>Cost of Goods</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2,914</w:t>
            </w:r>
          </w:p>
        </w:tc>
        <w:tc>
          <w:tcPr>
            <w:tcW w:w="1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2"/>
              </w:rPr>
              <w:t>Cost of Goods Sold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144</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31</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Sold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56"/>
        </w:trPr>
        <w:tc>
          <w:tcPr>
            <w:tcW w:w="128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w w:val="72"/>
              </w:rPr>
              <w:t>(69)</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2,914</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w:t>
            </w: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31</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85"/>
              </w:rPr>
              <w:t>—</w:t>
            </w: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M — Acquisitions</w:t>
      </w:r>
    </w:p>
    <w:p>
      <w:pPr>
        <w:spacing w:after="0" w:line="185" w:lineRule="exact"/>
        <w:rPr>
          <w:sz w:val="20"/>
          <w:szCs w:val="20"/>
          <w:color w:val="auto"/>
        </w:rPr>
      </w:pPr>
    </w:p>
    <w:p>
      <w:pPr>
        <w:ind w:left="340" w:right="599" w:firstLine="373"/>
        <w:spacing w:after="0" w:line="290" w:lineRule="auto"/>
        <w:rPr>
          <w:sz w:val="20"/>
          <w:szCs w:val="20"/>
          <w:color w:val="auto"/>
        </w:rPr>
      </w:pPr>
      <w:r>
        <w:rPr>
          <w:rFonts w:ascii="Arial" w:cs="Arial" w:eastAsia="Arial" w:hAnsi="Arial"/>
          <w:sz w:val="16"/>
          <w:szCs w:val="16"/>
          <w:color w:val="auto"/>
        </w:rPr>
        <w:t>On December 23, 2009, the Company acquired Stickolor Industria e Comercio de Auto Adesivos Ltda. (“Stickolor”), based in Saõ Paulo, Brazil for $18,459. Stickolor manufactures screen-printed custom labels, overlays and nameplates for automobiles, tractors, motorcycles, electronics, white goods and general industrial markets. The Stickolor business is included in the Company’s Americas segment. The purchase price allocation resulted in $13,370 assigned to goodwill, $4,989 assigned to customer relationships, and $55 assigned to trademark. The amounts assigned to the trademark and customer relationships are being amortized over 3 and 7 years, respectively. The Company expects the acquisition to further strengthen its position in the industrial identification market in Brazil and enhance its screen printing capabilities, as well as facilitate its growth into complementary markets in the region including automotive, agricultural equipment, and major appliances.</w:t>
      </w:r>
    </w:p>
    <w:p>
      <w:pPr>
        <w:spacing w:after="0" w:line="126" w:lineRule="exact"/>
        <w:rPr>
          <w:sz w:val="20"/>
          <w:szCs w:val="20"/>
          <w:color w:val="auto"/>
        </w:rPr>
      </w:pPr>
    </w:p>
    <w:p>
      <w:pPr>
        <w:ind w:left="340" w:right="659" w:firstLine="373"/>
        <w:spacing w:after="0" w:line="273" w:lineRule="auto"/>
        <w:rPr>
          <w:sz w:val="20"/>
          <w:szCs w:val="20"/>
          <w:color w:val="auto"/>
        </w:rPr>
      </w:pPr>
      <w:r>
        <w:rPr>
          <w:rFonts w:ascii="Arial" w:cs="Arial" w:eastAsia="Arial" w:hAnsi="Arial"/>
          <w:sz w:val="17"/>
          <w:szCs w:val="17"/>
          <w:color w:val="auto"/>
        </w:rPr>
        <w:t>On October 9, 2009, the Company acquired certain assets of the Welco division of Welconstruct Group Limited, based in the United Kingdom for $1,840. The Welco division conducts a “direct marketing business” consisting of sales of storage, handling, office and workplace products, and equipment via catalog and the internet to industrial and commercial markets under the name and title “Welco.” The purchase price allocation resulted in $778 assigned to goodwill, $501 assigned to customer relationships, and $580 assigned to trademark. The amounts assigned to the trademark and customer relationships are being amortized over 10 and 6 years, respectively.</w:t>
      </w:r>
    </w:p>
    <w:p>
      <w:pPr>
        <w:spacing w:after="0" w:line="151" w:lineRule="exact"/>
        <w:rPr>
          <w:sz w:val="20"/>
          <w:szCs w:val="20"/>
          <w:color w:val="auto"/>
        </w:rPr>
      </w:pPr>
    </w:p>
    <w:p>
      <w:pPr>
        <w:ind w:left="340" w:right="659" w:firstLine="373"/>
        <w:spacing w:after="0" w:line="273" w:lineRule="auto"/>
        <w:rPr>
          <w:sz w:val="20"/>
          <w:szCs w:val="20"/>
          <w:color w:val="auto"/>
        </w:rPr>
      </w:pPr>
      <w:r>
        <w:rPr>
          <w:rFonts w:ascii="Arial" w:cs="Arial" w:eastAsia="Arial" w:hAnsi="Arial"/>
          <w:sz w:val="17"/>
          <w:szCs w:val="17"/>
          <w:color w:val="auto"/>
        </w:rPr>
        <w:t>The results of the operations of the acquired business have been included since the respective dates of acquisition in the accompanying condensed consolidated financial statements. The Company is continuing to evaluate the initial purchase price allocations for the acquisitions completed within the past 12 months and will adjust the allocations as additional information relative to the fair value of assets and liabilities of the acquired businesses becomes known. Pro forma information related to the acquisitions during the six months ended January 31, 2010 is not included because the impact on the Company’s consolidated results of operations is considered to be immaterial.</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N — Subsequent Events</w:t>
      </w:r>
    </w:p>
    <w:p>
      <w:pPr>
        <w:spacing w:after="0" w:line="185" w:lineRule="exact"/>
        <w:rPr>
          <w:sz w:val="20"/>
          <w:szCs w:val="20"/>
          <w:color w:val="auto"/>
        </w:rPr>
      </w:pPr>
    </w:p>
    <w:p>
      <w:pPr>
        <w:ind w:left="340" w:right="579" w:firstLine="373"/>
        <w:spacing w:after="0" w:line="342" w:lineRule="auto"/>
        <w:rPr>
          <w:sz w:val="20"/>
          <w:szCs w:val="20"/>
          <w:color w:val="auto"/>
        </w:rPr>
      </w:pPr>
      <w:r>
        <w:rPr>
          <w:rFonts w:ascii="Arial" w:cs="Arial" w:eastAsia="Arial" w:hAnsi="Arial"/>
          <w:sz w:val="16"/>
          <w:szCs w:val="16"/>
          <w:color w:val="auto"/>
        </w:rPr>
        <w:t>On February 18, 2010, the Board of Directors declared a quarterly cash dividend to shareholders of the Company’s Class A Common Stock of $0.175 per share payable on April 30, 2010 to shareholders of record at the close of business on April 9, 2010.</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459"/>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ind w:left="340" w:right="639" w:firstLine="373"/>
        <w:spacing w:after="0" w:line="286" w:lineRule="auto"/>
        <w:rPr>
          <w:sz w:val="20"/>
          <w:szCs w:val="20"/>
          <w:color w:val="auto"/>
        </w:rPr>
      </w:pPr>
      <w:r>
        <w:rPr>
          <w:rFonts w:ascii="Arial" w:cs="Arial" w:eastAsia="Arial" w:hAnsi="Arial"/>
          <w:sz w:val="16"/>
          <w:szCs w:val="16"/>
          <w:color w:val="auto"/>
        </w:rPr>
        <w:t>Brady is an international manufacturer and marketer of identification solutions and specialty materials that identify and protect premises, products, and people. Its products include high-performance labels and signs, printing systems and software, safety devices, precision die-cut materials, and label-application and data-collection systems. Founded in 1914, the Company serves customers in manufacturing, electrical, telecommunications, electronics,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believes that its reputation for innovation, commitment to quality and service, and dedicated employees have made it a world leader in the markets it serves. The Company operates manufacturing or distribution facilities in Australia, Belgium, Brazil, Canada, China, France, Germany, India, Italy, Japan, Malaysia, Mexico, the Netherlands, Norway, Poland, Singapore, South Korea, Sweden, Thailand, the United Kingdom and the United States. Brady sells through subsidiaries or sales offices in these countries, with additional sales through a dedicated team of international sales representatives in Hong Kong, the Philippines, Slovakia, Spain, Taiwan, Turkey, and the United Arab Emirates and further markets its products to parts of Eastern Europe, the Middle East, Africa and Russia.</w:t>
      </w:r>
    </w:p>
    <w:p>
      <w:pPr>
        <w:spacing w:after="0" w:line="134"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Sales for the quarter ended January 31, 2010, were up 11.0% to $295.8 million, compared to $266.4 million in the same period of fiscal 2009. Of the 11.0% increase in sales, organic sales increased 2.9%, acquisitions added 0.9% and the effects of fluctuations in the exchange rates used to translate financial results into the United States dollar positively impacted sales 7.2%. Net income for the quarter ended January 31, 2010, was $15.0 million or $0.28 per diluted Class A Nonvoting Common Share, up from the net loss of $4.2 million or $0.08 per diluted Class A Nonvoting Common Share reported in the second quarter of last fiscal year. Net income before restructuring-related expenses for the quarter ended January 31, 2010 was $17.6 million, or $0.33 per diluted Class A Nonvoting Common Share, up 79.6% from $9.8 million or $0.19 per diluted Class A Nonvoting Common Share reported in the second quarter of last fiscal year.</w:t>
      </w:r>
    </w:p>
    <w:p>
      <w:pPr>
        <w:spacing w:after="0" w:line="152"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color w:val="auto"/>
        </w:rPr>
        <w:t>Sales for the six months ended January 31, 2010, decreased 4.7% to $614.3 million, compared to $644.8 million in the same period of fiscal 2009. Organic sales declined 8.1%, acquisitions added 0.4% and the effects of fluctuations in the exchange rates used to translate financial results into the United States dollar positively impacted sales 3.0%. Net income for the six months ended January 31, 2010 was $36.7 million or $0.69 per diluted Class A Nonvoting Common Share, up 11.3% from $33.0 million, or $0.62 per diluted Class A Nonvoting Common Share reported in the same period of the prior fiscal year. Net income before restructuring-related expenses for the six months ended January 31, 2010 was $41.9 million or $0.79 per diluted Class A Nonvoting Common Share, down 12.9% from $48.1 million, or $0.91 per diluted Class A Nonvoting Common Share reported in the same period of the prior fiscal year.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Results of Operations</w:t>
      </w:r>
    </w:p>
    <w:p>
      <w:pPr>
        <w:spacing w:after="0" w:line="185" w:lineRule="exact"/>
        <w:rPr>
          <w:sz w:val="20"/>
          <w:szCs w:val="20"/>
          <w:color w:val="auto"/>
        </w:rPr>
      </w:pPr>
    </w:p>
    <w:p>
      <w:pPr>
        <w:ind w:left="340" w:right="759" w:firstLine="373"/>
        <w:spacing w:after="0" w:line="277" w:lineRule="auto"/>
        <w:rPr>
          <w:sz w:val="20"/>
          <w:szCs w:val="20"/>
          <w:color w:val="auto"/>
        </w:rPr>
      </w:pPr>
      <w:r>
        <w:rPr>
          <w:rFonts w:ascii="Arial" w:cs="Arial" w:eastAsia="Arial" w:hAnsi="Arial"/>
          <w:sz w:val="18"/>
          <w:szCs w:val="18"/>
          <w:color w:val="auto"/>
        </w:rPr>
        <w:t>The comparability of the operating results for the three and six months ended January 31, 2010, to the prior year has been impacted by the following acquisitions completed in fiscal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Acquisitions</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 Completed</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Welconstruct Group Limited (“Welco”)</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Europe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2009</w:t>
            </w: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Stickolor Industria e Comerciao de Auto Adesivos Ltda. (“Stickolor”)</w:t>
            </w:r>
          </w:p>
        </w:tc>
        <w:tc>
          <w:tcPr>
            <w:tcW w:w="2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2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December 2009</w:t>
            </w:r>
          </w:p>
        </w:tc>
      </w:tr>
    </w:tbl>
    <w:p>
      <w:pPr>
        <w:spacing w:after="0" w:line="175" w:lineRule="exact"/>
        <w:rPr>
          <w:sz w:val="20"/>
          <w:szCs w:val="20"/>
          <w:color w:val="auto"/>
        </w:rPr>
      </w:pPr>
    </w:p>
    <w:p>
      <w:pPr>
        <w:ind w:left="340" w:right="559" w:firstLine="373"/>
        <w:spacing w:after="0" w:line="253" w:lineRule="auto"/>
        <w:rPr>
          <w:sz w:val="20"/>
          <w:szCs w:val="20"/>
          <w:color w:val="auto"/>
        </w:rPr>
      </w:pPr>
      <w:r>
        <w:rPr>
          <w:rFonts w:ascii="Arial" w:cs="Arial" w:eastAsia="Arial" w:hAnsi="Arial"/>
          <w:sz w:val="18"/>
          <w:szCs w:val="18"/>
          <w:color w:val="auto"/>
        </w:rPr>
        <w:t>Sales for the three months ended January 31, 2010, were up 11.0% compared to the same period in fiscal 2009. The sales increase was comprised of an increase in organic sales of 2.9%, a slight increase of 0.9% due to the acquisition of Stickolor, and the effects of fluctuations in the exchange rates used to translate financial results into the United States dollar positively impacted sales of 7.2%. The increase in organic sales for the quarter ended January 31, 2010, was primarily the result of comparatively lower sales in the prior year in the Asia-Pacific segment due to the Lunar New Year Holiday falling in the second quarter of fiscal 2009 and in the third quarter of fiscal 2010, as well as the global impact of the economic recession in the same period in fiscal 2009. Organic sales were positively impacted during the second quarter of fiscal 2010 in the Asia-Pacific segment with an increase of 25.7%, offset by the declines in the organic sales in the Americas and Europe segments of 4.3% and 1.6%, respectively.</w:t>
      </w:r>
    </w:p>
    <w:p>
      <w:pPr>
        <w:spacing w:after="0" w:line="157"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Sales for the six months ended January 31, 2010, decreased 4.7% compared to the same period in fiscal 2009. The decline was comprised of an 8.1% decrease in organic sales, an increase of 0.4% due to the acquisitions of Stickolor and Welco, and an increase of 3.0% due to the positive effect of currencies on sales. The decrease in organic sales was due to declines of 10.5% in the Americas segment, 7.5% in the Europe segment, and 4.7% in the Asia-Pacific segment. The decrease in the Company’s organic sales was primarily driven by the global economic recession. The decline in organic sales in the Americas segment was primarily driven by weakness in the manufacturing and construction sector. Organic sales were adversely impacted in the Europe and Asia-Pacific segments due to the declines experienced in the electronics industries, primarily during the first quarter of fiscal 2010.</w:t>
      </w:r>
    </w:p>
    <w:p>
      <w:pPr>
        <w:sectPr>
          <w:pgSz w:w="11900" w:h="16838" w:orient="portrait"/>
          <w:cols w:equalWidth="0" w:num="1">
            <w:col w:w="10219"/>
          </w:cols>
          <w:pgMar w:left="240" w:top="419" w:right="1440" w:bottom="798"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98"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91" w:lineRule="auto"/>
        <w:rPr>
          <w:sz w:val="20"/>
          <w:szCs w:val="20"/>
          <w:color w:val="auto"/>
        </w:rPr>
      </w:pPr>
      <w:r>
        <w:rPr>
          <w:rFonts w:ascii="Arial" w:cs="Arial" w:eastAsia="Arial" w:hAnsi="Arial"/>
          <w:sz w:val="16"/>
          <w:szCs w:val="16"/>
          <w:color w:val="auto"/>
        </w:rPr>
        <w:t>Gross margin as a percentage of sales increased to 49.7% from 47.3% for the quarter and increased to 49.5% from 47.7% for the six months ended January 31, 2010, compared to the same periods of the previous year. This increase in gross margin as a percentage of sales for the quarter was primarily the result of increased sales volumes in the Asia-Pacific region as well as the cost savings generated from the reduction of contract labor, restructuring activities that took place during fiscal 2009 and continued in fiscal 2010, and efficiencies gained from the implementation of the Brady Business Performance System (“BBPS”) throughout the Company. The increase in the gross margin as a percentage of sales for the six months ended January 31, 2010 was primarily due to the cost savings described above which offset the decrease in sales.</w:t>
      </w:r>
    </w:p>
    <w:p>
      <w:pPr>
        <w:spacing w:after="0" w:line="140" w:lineRule="exact"/>
        <w:rPr>
          <w:sz w:val="20"/>
          <w:szCs w:val="20"/>
          <w:color w:val="auto"/>
        </w:rPr>
      </w:pPr>
    </w:p>
    <w:p>
      <w:pPr>
        <w:ind w:left="340" w:right="639" w:firstLine="373"/>
        <w:spacing w:after="0" w:line="293" w:lineRule="auto"/>
        <w:rPr>
          <w:sz w:val="20"/>
          <w:szCs w:val="20"/>
          <w:color w:val="auto"/>
        </w:rPr>
      </w:pPr>
      <w:r>
        <w:rPr>
          <w:rFonts w:ascii="Arial" w:cs="Arial" w:eastAsia="Arial" w:hAnsi="Arial"/>
          <w:sz w:val="16"/>
          <w:szCs w:val="16"/>
          <w:color w:val="auto"/>
        </w:rPr>
        <w:t>Research and development (“R&amp;D”) expenses increased 25.0% to $10.6 million for the three months ended January 31, 2010 compared to $8.5 million for the same period in the prior year, and increased 15.3% to $20.2 million for the six months ended January 31, 2010, compared to $17.6 million for the same period in the prior year, In the second quarter of fiscal 2010, R&amp;D expenses as a percentage of sales increased to 3.6% as compared to 3.2% in the same period of the previous year. For the first half of fiscal 2010, R&amp;D expense as a percentage of sales increased to 3.3% from 2.7% in the same period of the prior year, evidencing the Company’s continued commitment to innovation and new product development.</w:t>
      </w:r>
    </w:p>
    <w:p>
      <w:pPr>
        <w:spacing w:after="0" w:line="124" w:lineRule="exact"/>
        <w:rPr>
          <w:sz w:val="20"/>
          <w:szCs w:val="20"/>
          <w:color w:val="auto"/>
        </w:rPr>
      </w:pPr>
    </w:p>
    <w:p>
      <w:pPr>
        <w:ind w:left="340" w:right="619" w:firstLine="373"/>
        <w:spacing w:after="0" w:line="254" w:lineRule="auto"/>
        <w:rPr>
          <w:sz w:val="20"/>
          <w:szCs w:val="20"/>
          <w:color w:val="auto"/>
        </w:rPr>
      </w:pPr>
      <w:r>
        <w:rPr>
          <w:rFonts w:ascii="Arial" w:cs="Arial" w:eastAsia="Arial" w:hAnsi="Arial"/>
          <w:sz w:val="18"/>
          <w:szCs w:val="18"/>
          <w:color w:val="auto"/>
        </w:rPr>
        <w:t>Selling, general and administrative (“SG&amp;A”) expenses increased 16.2% to $108.7 million for the three months ended January 31, 2010, compared to $93.6 million for the same period in the prior year, and increased 4.6% to $217.4 million for the six months ended January 31, 2010, compared to $207.9 million for the same period in the prior year. The increase in the SG&amp;A was primarily the result of the positive effect of fluctuations in the exchange rates used to translate financial results into the United States dollar as well as the increase in the incentive-based compensation and salary increases, which were eliminated in fiscal 2009 due to the economic downturn. As a percentage of sales, SG&amp;A expenses increased to 36.8% from 35.1% for the second quarter, and increased to 35.4% from 32.2% for the six months ended January 31, 2010, compared to the same periods in the prior year.</w:t>
      </w:r>
    </w:p>
    <w:p>
      <w:pPr>
        <w:spacing w:after="0" w:line="152"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Restructuring charges were $3.6 million and $7.3 million for the three and six months ended January 31, 2010, respectively. Restructuring charges were $19.4 million and $21.0 million for the three and six months ended January 31, 2009, respectively. In fiscal 2009, in response to the global recession, the Company took several measures to address its cost structure. The Company continued to incur costs related to the reduction of its workforce and facilities consolidations during the six months ended January 31, 2010. The Company expects to incur $15.0 million of restructuring charges in fiscal 2010.</w:t>
      </w:r>
    </w:p>
    <w:p>
      <w:pPr>
        <w:spacing w:after="0" w:line="131"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Interest expense decreased to $5.2 million from $6.3 million for the quarter and to $10.3 million from $12.7 million for the six months ended January 31, 2010, compared to the same periods in the prior year. In fiscal 2009, the Company paid the first installment of $21.4 million related to the debt securities issued in June 2004. Also, in June 2009, the Company completed a cash tender offer to purchase an additional $65.8 million of its outstanding notes. As a result of lower debt principal balances, the Company’s interest expense decreased for the three and six months ended January 31, 2010 as compared to the same periods in the prior year.</w:t>
      </w:r>
    </w:p>
    <w:p>
      <w:pPr>
        <w:spacing w:after="0" w:line="153"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Other income and expense increased to $1.1 million of income for the quarter and increased to $1.2 million of income for the six months ended January 31, 2010, compared to $1.7 million of expense and $0.2 million of income for the same periods in the prior year, respectively. The increase in the other income and expense for the three and six months ended January 31, 2010 was primarily due to the a decline in the value of the mutual funds held in deferred compensation plans during the second quarter of fiscal 2009, partially offset by interest income and foreign exchange gains.</w:t>
      </w:r>
    </w:p>
    <w:p>
      <w:pPr>
        <w:spacing w:after="0" w:line="132"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The Company’s effective tax rate was 24.4% for the quarter ended January 31, 2010. The Company’s effective tax rate for the six months ended January 31, 2010 was 27.1 % compared to 31.7% for the same period in the prior year. The decline in the Company’s effective tax rate in the current year was primarily due to decreased profits in higher tax countries as well as positive impacts from the settlement of a foreign audit. Additionally, the Company recorded certain valuation allowances against deferred tax assets as a result of the decline in income before taxes during the six months ended January 31, 2009, which negatively impacted the effective tax rate for 2009. The Company expects the full year effective tax rate for fiscal 2010 to be approximately 27%.</w:t>
      </w:r>
    </w:p>
    <w:p>
      <w:pPr>
        <w:spacing w:after="0" w:line="162" w:lineRule="exact"/>
        <w:rPr>
          <w:sz w:val="20"/>
          <w:szCs w:val="20"/>
          <w:color w:val="auto"/>
        </w:rPr>
      </w:pPr>
    </w:p>
    <w:p>
      <w:pPr>
        <w:ind w:left="340" w:right="639" w:firstLine="373"/>
        <w:spacing w:after="0" w:line="255" w:lineRule="auto"/>
        <w:rPr>
          <w:sz w:val="20"/>
          <w:szCs w:val="20"/>
          <w:color w:val="auto"/>
        </w:rPr>
      </w:pPr>
      <w:r>
        <w:rPr>
          <w:rFonts w:ascii="Arial" w:cs="Arial" w:eastAsia="Arial" w:hAnsi="Arial"/>
          <w:sz w:val="18"/>
          <w:szCs w:val="18"/>
          <w:color w:val="auto"/>
        </w:rPr>
        <w:t>Net income for the three months ended January 31, 2010, increased to $15.0 million, compared to a loss of $4.2 million for the same quarter of the previous year. Net income (loss) as a percentage of sales increased to 5.1% from (1.6%) for the quarter ended January 31, 2010, compared to the same period in the prior year, due to the factors noted above. For the six months ended January 31, 2010, net income increased 11.3% to $36.7 million, compared to $33.0 million for the same period in the previous year. As a percentage of sales, net income increased to 6.0% from 5.1% for the six months ended January 31, 2010, compared to the same period in the previous year.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98" w:lineRule="exact"/>
        <w:rPr>
          <w:sz w:val="20"/>
          <w:szCs w:val="20"/>
          <w:color w:val="auto"/>
        </w:rPr>
      </w:pPr>
    </w:p>
    <w:p>
      <w:pPr>
        <w:ind w:left="340" w:right="619" w:firstLine="373"/>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is a summary of segment information for the three and six months ended January 31, 2010 and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Asia-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85"/>
              </w:rPr>
              <w:t>Region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Americas</w:t>
            </w:r>
          </w:p>
        </w:tc>
        <w:tc>
          <w:tcPr>
            <w:tcW w:w="1020" w:type="dxa"/>
            <w:vAlign w:val="bottom"/>
            <w:gridSpan w:val="5"/>
          </w:tcPr>
          <w:p>
            <w:pPr>
              <w:jc w:val="right"/>
              <w:ind w:right="297"/>
              <w:spacing w:after="0"/>
              <w:rPr>
                <w:sz w:val="20"/>
                <w:szCs w:val="20"/>
                <w:color w:val="auto"/>
              </w:rPr>
            </w:pPr>
            <w:r>
              <w:rPr>
                <w:rFonts w:ascii="Arial" w:cs="Arial" w:eastAsia="Arial" w:hAnsi="Arial"/>
                <w:sz w:val="18"/>
                <w:szCs w:val="18"/>
                <w:b w:val="1"/>
                <w:bCs w:val="1"/>
                <w:color w:val="auto"/>
                <w:w w:val="99"/>
              </w:rPr>
              <w:t>Europe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89"/>
              </w:rPr>
              <w:t>Pacific</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91"/>
        </w:trPr>
        <w:tc>
          <w:tcPr>
            <w:tcW w:w="22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121,603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96,614</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77,612</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$ 295,829</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4"/>
              </w:rPr>
              <w:t>$ 295,829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122,970</w:t>
            </w:r>
          </w:p>
        </w:tc>
        <w:tc>
          <w:tcPr>
            <w:tcW w:w="12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87,201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56,278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266,449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266,449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257,842</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w w:val="87"/>
              </w:rPr>
              <w:t>$ 190,949</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165,524</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$ 614,315</w:t>
            </w:r>
          </w:p>
        </w:tc>
        <w:tc>
          <w:tcPr>
            <w:tcW w:w="34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$ 614,315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283,886</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195,416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165,464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644,766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644,766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240" w:type="dxa"/>
            <w:vAlign w:val="bottom"/>
          </w:tcPr>
          <w:p>
            <w:pPr>
              <w:spacing w:after="0"/>
              <w:rPr>
                <w:sz w:val="20"/>
                <w:szCs w:val="20"/>
                <w:color w:val="auto"/>
              </w:rPr>
            </w:pPr>
            <w:r>
              <w:rPr>
                <w:rFonts w:ascii="Arial" w:cs="Arial" w:eastAsia="Arial" w:hAnsi="Arial"/>
                <w:sz w:val="18"/>
                <w:szCs w:val="18"/>
                <w:b w:val="1"/>
                <w:bCs w:val="1"/>
                <w:color w:val="auto"/>
              </w:rPr>
              <w:t>SALES GROWTH</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400"/>
              <w:spacing w:after="0"/>
              <w:rPr>
                <w:sz w:val="20"/>
                <w:szCs w:val="20"/>
                <w:color w:val="auto"/>
              </w:rPr>
            </w:pPr>
            <w:r>
              <w:rPr>
                <w:rFonts w:ascii="Arial" w:cs="Arial" w:eastAsia="Arial" w:hAnsi="Arial"/>
                <w:sz w:val="18"/>
                <w:szCs w:val="18"/>
                <w:color w:val="auto"/>
              </w:rPr>
              <w:t>Base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57"/>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24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900" w:type="dxa"/>
            <w:vAlign w:val="bottom"/>
            <w:gridSpan w:val="4"/>
          </w:tcPr>
          <w:p>
            <w:pPr>
              <w:jc w:val="right"/>
              <w:ind w:right="5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57"/>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18"/>
        </w:trPr>
        <w:tc>
          <w:tcPr>
            <w:tcW w:w="2240" w:type="dxa"/>
            <w:vAlign w:val="bottom"/>
          </w:tcPr>
          <w:p>
            <w:pPr>
              <w:spacing w:after="0"/>
              <w:rPr>
                <w:sz w:val="20"/>
                <w:szCs w:val="20"/>
                <w:color w:val="auto"/>
              </w:rPr>
            </w:pPr>
            <w:r>
              <w:rPr>
                <w:rFonts w:ascii="Arial" w:cs="Arial" w:eastAsia="Arial" w:hAnsi="Arial"/>
                <w:sz w:val="18"/>
                <w:szCs w:val="18"/>
                <w:color w:val="auto"/>
                <w:w w:val="91"/>
              </w:rPr>
              <w:t>Six months ended January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240" w:type="dxa"/>
            <w:vAlign w:val="bottom"/>
          </w:tcPr>
          <w:p>
            <w:pPr>
              <w:ind w:left="40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900" w:type="dxa"/>
            <w:vAlign w:val="bottom"/>
            <w:gridSpan w:val="4"/>
          </w:tcPr>
          <w:p>
            <w:pPr>
              <w:jc w:val="right"/>
              <w:ind w:right="57"/>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57"/>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240" w:type="dxa"/>
            <w:vAlign w:val="bottom"/>
            <w:vMerge w:val="restart"/>
          </w:tcPr>
          <w:p>
            <w:pPr>
              <w:ind w:left="6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25,947</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10,687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60,180</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22,041</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22,945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4,122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49,108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46,501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change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57"/>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50,809</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25,814</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$ 132,970</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(6,603)</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4"/>
              </w:rPr>
              <w:t>$ 126,367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57,564</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54,084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26,523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138,171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133,257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change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92"/>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NET INCOME (LOSS) RECONCILIATION</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11"/>
          </w:tcPr>
          <w:p>
            <w:pPr>
              <w:jc w:val="right"/>
              <w:ind w:right="660"/>
              <w:spacing w:after="0"/>
              <w:rPr>
                <w:sz w:val="20"/>
                <w:szCs w:val="20"/>
                <w:color w:val="auto"/>
              </w:rPr>
            </w:pPr>
            <w:r>
              <w:rPr>
                <w:rFonts w:ascii="Arial" w:cs="Arial" w:eastAsia="Arial" w:hAnsi="Arial"/>
                <w:sz w:val="18"/>
                <w:szCs w:val="18"/>
                <w:b w:val="1"/>
                <w:bCs w:val="1"/>
                <w:color w:val="auto"/>
                <w:w w:val="93"/>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tcBorders>
            <w:gridSpan w:val="7"/>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January 31,</w:t>
            </w:r>
          </w:p>
        </w:tc>
        <w:tc>
          <w:tcPr>
            <w:tcW w:w="940" w:type="dxa"/>
            <w:vAlign w:val="bottom"/>
            <w:tcBorders>
              <w:top w:val="single" w:sz="8" w:color="auto"/>
            </w:tcBorders>
            <w:gridSpan w:val="4"/>
          </w:tcPr>
          <w:p>
            <w:pPr>
              <w:ind w:left="20"/>
              <w:spacing w:after="0" w:line="191" w:lineRule="exact"/>
              <w:rPr>
                <w:sz w:val="20"/>
                <w:szCs w:val="20"/>
                <w:color w:val="auto"/>
              </w:rPr>
            </w:pPr>
            <w:r>
              <w:rPr>
                <w:rFonts w:ascii="Arial" w:cs="Arial" w:eastAsia="Arial" w:hAnsi="Arial"/>
                <w:sz w:val="18"/>
                <w:szCs w:val="18"/>
                <w:b w:val="1"/>
                <w:bCs w:val="1"/>
                <w:color w:val="auto"/>
                <w:w w:val="90"/>
              </w:rPr>
              <w:t>January 31,</w:t>
            </w:r>
          </w:p>
        </w:tc>
        <w:tc>
          <w:tcPr>
            <w:tcW w:w="340" w:type="dxa"/>
            <w:vAlign w:val="bottom"/>
          </w:tcPr>
          <w:p>
            <w:pPr>
              <w:spacing w:after="0"/>
              <w:rPr>
                <w:sz w:val="16"/>
                <w:szCs w:val="16"/>
                <w:color w:val="auto"/>
              </w:rPr>
            </w:pPr>
          </w:p>
        </w:tc>
        <w:tc>
          <w:tcPr>
            <w:tcW w:w="1300" w:type="dxa"/>
            <w:vAlign w:val="bottom"/>
            <w:tcBorders>
              <w:top w:val="single" w:sz="8" w:color="auto"/>
            </w:tcBorders>
            <w:gridSpan w:val="4"/>
          </w:tcPr>
          <w:p>
            <w:pPr>
              <w:ind w:left="20"/>
              <w:spacing w:after="0" w:line="191" w:lineRule="exact"/>
              <w:rPr>
                <w:sz w:val="20"/>
                <w:szCs w:val="20"/>
                <w:color w:val="auto"/>
              </w:rPr>
            </w:pPr>
            <w:r>
              <w:rPr>
                <w:rFonts w:ascii="Arial" w:cs="Arial" w:eastAsia="Arial" w:hAnsi="Arial"/>
                <w:sz w:val="18"/>
                <w:szCs w:val="18"/>
                <w:b w:val="1"/>
                <w:bCs w:val="1"/>
                <w:color w:val="auto"/>
              </w:rPr>
              <w:t>January 31,</w:t>
            </w:r>
          </w:p>
        </w:tc>
        <w:tc>
          <w:tcPr>
            <w:tcW w:w="92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w w:val="90"/>
              </w:rPr>
              <w:t>January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2009</w:t>
            </w:r>
          </w:p>
        </w:tc>
        <w:tc>
          <w:tcPr>
            <w:tcW w:w="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60,180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49,108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138,171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(3,683)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(2,607)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(6,603)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(28,946)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(22,475)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(59,659)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(51,398)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(3,649)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(21,047</w:t>
            </w:r>
          </w:p>
        </w:tc>
        <w:tc>
          <w:tcPr>
            <w:tcW w:w="0" w:type="dxa"/>
            <w:vAlign w:val="bottom"/>
          </w:tcPr>
          <w:p>
            <w:pPr>
              <w:spacing w:after="0"/>
              <w:rPr>
                <w:sz w:val="1"/>
                <w:szCs w:val="1"/>
                <w:color w:val="auto"/>
              </w:rPr>
            </w:pPr>
          </w:p>
        </w:tc>
      </w:tr>
      <w:tr>
        <w:trPr>
          <w:trHeight w:val="216"/>
        </w:trPr>
        <w:tc>
          <w:tcPr>
            <w:tcW w:w="3600" w:type="dxa"/>
            <w:vAlign w:val="bottom"/>
            <w:gridSpan w:val="5"/>
          </w:tcPr>
          <w:p>
            <w:pPr>
              <w:ind w:left="200"/>
              <w:spacing w:after="0"/>
              <w:rPr>
                <w:sz w:val="20"/>
                <w:szCs w:val="20"/>
                <w:color w:val="auto"/>
              </w:rPr>
            </w:pPr>
            <w:r>
              <w:rPr>
                <w:rFonts w:ascii="Arial" w:cs="Arial" w:eastAsia="Arial" w:hAnsi="Arial"/>
                <w:sz w:val="18"/>
                <w:szCs w:val="18"/>
                <w:color w:val="auto"/>
              </w:rPr>
              <w:t>Investment and other income (expense)</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(5,163)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23"/>
        </w:trPr>
        <w:tc>
          <w:tcPr>
            <w:tcW w:w="2560" w:type="dxa"/>
            <w:vAlign w:val="bottom"/>
            <w:gridSpan w:val="3"/>
          </w:tcPr>
          <w:p>
            <w:pPr>
              <w:spacing w:after="0"/>
              <w:rPr>
                <w:sz w:val="20"/>
                <w:szCs w:val="20"/>
                <w:color w:val="auto"/>
              </w:rPr>
            </w:pPr>
            <w:r>
              <w:rPr>
                <w:rFonts w:ascii="Arial" w:cs="Arial" w:eastAsia="Arial" w:hAnsi="Arial"/>
                <w:sz w:val="18"/>
                <w:szCs w:val="18"/>
                <w:color w:val="auto"/>
                <w:w w:val="92"/>
              </w:rPr>
              <w:t>Income (loss) before income taxes</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19,843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(3,394)</w:t>
            </w: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50,286</w:t>
            </w: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(4,842)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(15,331)</w:t>
            </w:r>
          </w:p>
        </w:tc>
        <w:tc>
          <w:tcPr>
            <w:tcW w:w="0" w:type="dxa"/>
            <w:vAlign w:val="bottom"/>
          </w:tcPr>
          <w:p>
            <w:pPr>
              <w:spacing w:after="0"/>
              <w:rPr>
                <w:sz w:val="1"/>
                <w:szCs w:val="1"/>
                <w:color w:val="auto"/>
              </w:rPr>
            </w:pPr>
          </w:p>
        </w:tc>
      </w:tr>
      <w:tr>
        <w:trPr>
          <w:trHeight w:val="223"/>
        </w:trPr>
        <w:tc>
          <w:tcPr>
            <w:tcW w:w="224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15,001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(4,150)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36,669</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32,960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433"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33"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Sales in the Americas decreased 1.1% to $121.6 million for the quarter and 9.2% to $257.8 million for the six months ended January 31, 2010, compared to $123.0 million and $283.9 million for the same three and six-month periods in the prior year. Organic sales declined 4.3% and 10.5% during the quarter and year-to-date, respectively, as compared to the same periods in the previous year. Fluctuations in the exchange rates used to translate financial results into the United States dollar resulted in a positive impact on sales of 2.6% in the quarter and 1.1% for the six-month period. Sales increased slightly due to the fiscal 2010 acquisition of Stickolor, 0.6% for the quarter and 0.2% for the six-month period. The declines in organic sales of 4.3% for the quarter and 10.5% for the six months ended January 31, 2010 was caused by the economic downturn, specifically in the manufacturing, and construction sectors. The segment continues to focus on driving organic sales by introducing new, differentiated products, growing in new markets, and preparing to launch the Company’s direct marketing businesses new transactional web-sites. Geographically, the U.S., has seen continued declines in organic sales, offset slightly by modest growth in Brazil, Canada, and Mexico.</w:t>
      </w:r>
    </w:p>
    <w:p>
      <w:pPr>
        <w:spacing w:after="0" w:line="142"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color w:val="auto"/>
        </w:rPr>
        <w:t>Segment profit increased 6.8% to $23.5 million from $22.0 million for the quarter and declined 2.1% to $56.3 million from $57.6 million for the six months ended January 31, 2010, compared to the same periods in the prior year. Segment profit was adversely impacted by decreased sales volume, impacting the segment’s ability to absorb fixed costs. To counter the impact of decreased sales volume, the segment continued to drive productivity improvements through consolidating facilities, and implementing other operational improvement initiatives to further reduce costs and improve productivity. As a percentage of sales, segment profit in the second quarter of fiscal 2010 increased to 19.4% from 17.9% and for the first half of fiscal 2010 increased to 21.9% from 20.3%, compared to the same periods in the prior year. The increase in segment profit as a percentage of sales was due to the productivity improvements described above.</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185" w:lineRule="exact"/>
        <w:rPr>
          <w:sz w:val="20"/>
          <w:szCs w:val="20"/>
          <w:color w:val="auto"/>
        </w:rPr>
      </w:pPr>
    </w:p>
    <w:p>
      <w:pPr>
        <w:ind w:left="340" w:right="719" w:firstLine="373"/>
        <w:spacing w:after="0" w:line="270" w:lineRule="auto"/>
        <w:rPr>
          <w:sz w:val="20"/>
          <w:szCs w:val="20"/>
          <w:color w:val="auto"/>
        </w:rPr>
      </w:pPr>
      <w:r>
        <w:rPr>
          <w:rFonts w:ascii="Arial" w:cs="Arial" w:eastAsia="Arial" w:hAnsi="Arial"/>
          <w:sz w:val="17"/>
          <w:szCs w:val="17"/>
          <w:color w:val="auto"/>
        </w:rPr>
        <w:t>Europe sales increased 10.8% to $96.6 million for the quarter and decreased 2.3% to $190.9 million for the six months ended January 31, 2010, compared to $87.2 million and $195.4 million for the same periods in the prior year. Organic sales declined 1.6% and 7.5% for the quarter and year-to-date, respectively, compared to the same periods in the previous year. Sales were positively affected by fluctuations in the exchange rates used to translate financial results into the United States dollar, which increased sales in the segment by 10.4% in the quarter and 4.2% for the six-month period. The fiscal 2010 acquisition of Welco impacted sales by 2.0% and 1.0% for the quarter and year-to date, respectively. The segment’s organic sales were positively impacted during the quarter by the increases in the direct marketing businesses and the electronics industries. The organic sales for the six months ended January 31, 2010 were adversely impacted by the declines in the automotive and electronics industries during the first quarter of fiscal 2010.</w:t>
      </w:r>
    </w:p>
    <w:p>
      <w:pPr>
        <w:spacing w:after="0" w:line="141"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Segment profit increased 13.1% to $25.9 million from $22.9 million for the quarter and decreased 6.1% to $50.8 million from $54.1 million for the six months ended January 31, 2010, compared to the same periods in the prior year. The increase in segment profit for the quarter was attributable to the increased sales as discussed above. The decline in the segment profit for the six months ended January 31, 2010 was primarily due to the decline in sales volumes as well as the impact of foreign currency translation during the first quarter of fiscal 2010. As a percentage of sales, segment profit increased to 26.9% from 26.3% in the second quarter of fiscal 2010; and declined to 26.6% from 27.7% in the six months ended January 31, 2010, compared to the same periods in the prior year. The increase in segment profit as a percentage of sales in the quarter was due to the increased sales volumes. In response to the slowdown in business in the prior year and the first quarter of 2010, the segment took actions to address its cost structure, including a reduction in its workforce, limited discretionary spending, and consolidating facilities to offset the decline in sales. During the second quarter of fiscal 2010, the segment began to realize savings resulting from these actions.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Asia-Pacific:</w:t>
      </w:r>
    </w:p>
    <w:p>
      <w:pPr>
        <w:spacing w:after="0" w:line="198"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Asia-Pacific sales increased 37.9% to $77.6 million from $56.3 million for the quarter and held steady for the six months ended January 31, 2010, compared to the same periods in the prior year. Organic sales increased 25.7% in the quarter; however organic sales declined 4.7% year-to-date, compared to the same periods in the previous year. Sales were positively affected by fluctuations in the exchange rates used to translate financial results into the United States dollar, which increased sales within the segment by 12.2% for the quarter and 4.7% for the six-month period. The significant increase in organic sales for the quarter was primarily due to a heightened focus on high-end mobile electronics, strong growth in the data storage market and an expanded focus on MRO applications throughout the region. During the second quarter of fiscal 2009, the global economic recession decreased demands in the electronic industry resulting in lower sales in the segment. Sales in the prior year were also negatively impacted by the celebration of the Lunar New Year which fell during the second quarter of fiscal 2009, which will fall in the third quarter of fiscal 2010. The decline in the organic sales for the six months ended January 31, 2010 is a result of the decrease in sales during the first quarter of fiscal 2010 due to the global economic recession, partially offset by the strong sales growth during the second quarter of fiscal 2010 as discussed above.</w:t>
      </w:r>
    </w:p>
    <w:p>
      <w:pPr>
        <w:spacing w:after="0" w:line="128" w:lineRule="exact"/>
        <w:rPr>
          <w:sz w:val="20"/>
          <w:szCs w:val="20"/>
          <w:color w:val="auto"/>
        </w:rPr>
      </w:pPr>
    </w:p>
    <w:p>
      <w:pPr>
        <w:ind w:left="340" w:right="559" w:firstLine="373"/>
        <w:spacing w:after="0" w:line="254" w:lineRule="auto"/>
        <w:rPr>
          <w:sz w:val="20"/>
          <w:szCs w:val="20"/>
          <w:color w:val="auto"/>
        </w:rPr>
      </w:pPr>
      <w:r>
        <w:rPr>
          <w:rFonts w:ascii="Arial" w:cs="Arial" w:eastAsia="Arial" w:hAnsi="Arial"/>
          <w:sz w:val="18"/>
          <w:szCs w:val="18"/>
          <w:color w:val="auto"/>
        </w:rPr>
        <w:t>Segment profit increased 159.3% to $10.7 million from $4.1 million for the quarter and declined 2.7% to $25.8 million from $26.5 million for the six months ended January 31, 2010, compared to the same periods in the prior year. As a percentage of sales, segment profit increased to 13.8% from 7.3% in the second quarter of fiscal 2010 and declined to 15.6% from 16.0% in the six months ended January 31, 2010, compared to the same periods in the prior year. The increase in segment profit during the three months ended January 31, 2010 was primarily due to our increased focused on higher-end, value-added solutions, newly launched products and the cost savings generated from the restructuring activities and better facility rationalization. The decline in the segment profit for the six months ended January 31, 2010 was primarily due to the decrease in sales during the first quarter of fiscal 2010.</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Condition</w:t>
      </w:r>
    </w:p>
    <w:p>
      <w:pPr>
        <w:spacing w:after="0" w:line="198" w:lineRule="exact"/>
        <w:rPr>
          <w:sz w:val="20"/>
          <w:szCs w:val="20"/>
          <w:color w:val="auto"/>
        </w:rPr>
      </w:pPr>
    </w:p>
    <w:p>
      <w:pPr>
        <w:ind w:left="340" w:right="759" w:firstLine="373"/>
        <w:spacing w:after="0" w:line="259" w:lineRule="auto"/>
        <w:rPr>
          <w:sz w:val="20"/>
          <w:szCs w:val="20"/>
          <w:color w:val="auto"/>
        </w:rPr>
      </w:pPr>
      <w:r>
        <w:rPr>
          <w:rFonts w:ascii="Arial" w:cs="Arial" w:eastAsia="Arial" w:hAnsi="Arial"/>
          <w:sz w:val="18"/>
          <w:szCs w:val="18"/>
          <w:color w:val="auto"/>
        </w:rPr>
        <w:t>Cash and cash equivalents were $205.6 million at January 31, 2010, compared to $188.2 million at July 31, 2009. The increase in cash of $17.4 million was the result of cash provided by operations of $68.0 million, offset by cash used for acquisitions and dividends, and the positive effects of the depreciation of the U.S. dollar against other currencies during the six months ended January 31, 2010.</w:t>
      </w:r>
    </w:p>
    <w:p>
      <w:pPr>
        <w:spacing w:after="0" w:line="146"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Accounts receivable increased $12.2 million for the six months ended January 31, 2010 mainly due to higher sales volumes. Inventories increased $3.5 million for the six months needed January 31, 2010 due to the positive impact of foreign currency translation on the Company’s foreign inventory balances and the inventory growth in the Americas segment. The net increase in current liabilities was $17.1 million from July 31, 2009 to January 31, 2010. The increase was composed of a significant increase in accrued wages and amounts withheld from employees due to the accrual of the fiscal 2010 incentive compensation plans during the six months ended January 31, 2010. Incentive compensation plans were cancelled for fiscal 2009 due to the Company’s financial performance resulting from the economic downturn and as such, no payouts for incentive compensation were made during the first quarter of fiscal 2010.</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flow from operating activities totaled $68.0 million for the six months ended January 31, 2010, compared to</w:t>
      </w:r>
    </w:p>
    <w:p>
      <w:pPr>
        <w:spacing w:after="0" w:line="23" w:lineRule="exact"/>
        <w:rPr>
          <w:sz w:val="20"/>
          <w:szCs w:val="20"/>
          <w:color w:val="auto"/>
        </w:rPr>
      </w:pPr>
    </w:p>
    <w:p>
      <w:pPr>
        <w:ind w:left="340" w:right="559"/>
        <w:spacing w:after="0" w:line="295" w:lineRule="auto"/>
        <w:rPr>
          <w:sz w:val="20"/>
          <w:szCs w:val="20"/>
          <w:color w:val="auto"/>
        </w:rPr>
      </w:pPr>
      <w:r>
        <w:rPr>
          <w:rFonts w:ascii="Arial" w:cs="Arial" w:eastAsia="Arial" w:hAnsi="Arial"/>
          <w:sz w:val="16"/>
          <w:szCs w:val="16"/>
          <w:color w:val="auto"/>
        </w:rPr>
        <w:t>$22.0 million for the same period last year. The increases in the accounts receivable, inventory, and net income were offset by the increase in accounts payable and accrued liabilities resulting in an increase in the cash provided by operating activities as compared to the quarter of fiscal 2009. The significant change in the accounts payable and accrued liabilities was primarily due to the accrual of the fiscal 2010 incentive compensation plans during the six months ended January 31, 2010 as included above.</w:t>
      </w:r>
    </w:p>
    <w:p>
      <w:pPr>
        <w:spacing w:after="0" w:line="134"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Cash used for acquisitions totaled $20.3 million for the six months ended January 31, 2010 due to the acquisitions of Welco and Stickolor. The net cash paid for Welco and Stickolor was $1.8 million and $18.5 million, respectively. The Company did not complete any acquisitions during the six months ended January 31, 2009. Capital expenditures were $15.0 million for the six months ended January 31, 2010, compared to $12.9 million in the same period last year. The Company expects the capital expenditures to be approximately $25.0 million for fiscal 2010. Net cash used in financing activities was $16.3 million for the six months ended January 31, 2010, due primarily to the payment of dividends, partially offset by the proceeds from the issuance of the common stock. Net cash used in financing activities for the same period last year was $56.1 million due primarily to the repurchase of the Company’s Class A Non-Voting Common Stock and the payment of dividends.</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fiscal 2004 through fiscal 2007, the Company completed three private placement note issuances totaling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$500 million in ten-year fixed rate notes with varying maturity dates to institutional investors at interest rates varying from</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5.14% to 5.33%. The notes must be repaid over seven years, with initial payment due dates ranging from 2008 to 2011, with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payable on the notes due semiannually on various dates throughout the year, which began in December 2004. The private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placements were exempt from the registration requirements of the Securities Act of 1933. The notes were not registered for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resale and may not be resold absent such registration or an applicable exemption from the registration requirements of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Securities Act of 1933 and applicable state securities laws. The notes have certain prepayment penalties for repaying them prior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the maturity date. The penalties under the agreement were waived for early prepayment. Under the debt agreement,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Company paid equal installments of $21.4 million in June 2008 and June 2009. In June 2009, the Company also completed a</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tender offer to purchase approximately $65.8 million of its outstanding notes.</w:t>
      </w:r>
    </w:p>
    <w:p>
      <w:pPr>
        <w:spacing w:after="0" w:line="170"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excluding all extraordinary non-cash items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January 31, 2010, there were no outstanding borrowings under the credit facility.</w:t>
      </w:r>
    </w:p>
    <w:p>
      <w:pPr>
        <w:spacing w:after="0" w:line="128"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and March 2007 private placement debt agreements require the Company to maintain a ratio of debt to the trailing twelve months earnings before interest, taxes, depreciation and amortization (“EBITDA”), as defined in the debt agreements, of not more than a 3.5 to 1.0 ratio (leverage ratio). As of January 31, 2010, the Company was in compliance with the financial covenant of these debt agreements, with the ratio of debt to EBITDA, as defined by the agreements, equal to 2.1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January 31, 2010, the Company was in compliance with the financial covenants of the revolving loan agreement, with the ratio of debt to EBITDA, as defined by the agreement, equal to 2.1 to 1.0 and the interest expense coverage ratio equal to 5.8 to 1.0.</w:t>
      </w:r>
    </w:p>
    <w:p>
      <w:pPr>
        <w:spacing w:after="0" w:line="156" w:lineRule="exact"/>
        <w:rPr>
          <w:sz w:val="20"/>
          <w:szCs w:val="20"/>
          <w:color w:val="auto"/>
        </w:rPr>
      </w:pPr>
    </w:p>
    <w:p>
      <w:pPr>
        <w:ind w:left="340" w:right="879" w:firstLine="373"/>
        <w:spacing w:after="0" w:line="291" w:lineRule="auto"/>
        <w:rPr>
          <w:sz w:val="20"/>
          <w:szCs w:val="20"/>
          <w:color w:val="auto"/>
        </w:rPr>
      </w:pPr>
      <w:r>
        <w:rPr>
          <w:rFonts w:ascii="Arial" w:cs="Arial" w:eastAsia="Arial" w:hAnsi="Arial"/>
          <w:sz w:val="16"/>
          <w:szCs w:val="16"/>
          <w:color w:val="auto"/>
        </w:rPr>
        <w:t>The Company’s growth has historically been funded by a combination of cash provided by operating activities and debt financing. The Company believes that its cash from operations, in addition to its borrowing capacity, are sufficient to fund its anticipated requirements for working capital, capital expenditures, restructuring activities, acquisitions, common stock repurchases, scheduled debt repayments, and dividend payments. As of the date of this Form 10-Q, the credit and financial markets are in a period of instability and uncertainty that is affecting the availability of credit to borrowers.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85" w:lineRule="exact"/>
        <w:rPr>
          <w:sz w:val="20"/>
          <w:szCs w:val="20"/>
          <w:color w:val="auto"/>
        </w:rPr>
      </w:pPr>
    </w:p>
    <w:p>
      <w:pPr>
        <w:ind w:left="340" w:right="579" w:firstLine="373"/>
        <w:spacing w:after="0" w:line="342" w:lineRule="auto"/>
        <w:rPr>
          <w:sz w:val="20"/>
          <w:szCs w:val="20"/>
          <w:color w:val="auto"/>
        </w:rPr>
      </w:pPr>
      <w:r>
        <w:rPr>
          <w:rFonts w:ascii="Arial" w:cs="Arial" w:eastAsia="Arial" w:hAnsi="Arial"/>
          <w:sz w:val="16"/>
          <w:szCs w:val="16"/>
          <w:color w:val="auto"/>
        </w:rPr>
        <w:t>On February 18, 2010 the Board of Directors declared a quarterly cash dividend to shareholders of the Company’s Class A Common Stock of $0.175 per share payable on April 30, 2010 to shareholders of record at the close of business on April 9, 2010.</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99" w:firstLine="373"/>
        <w:spacing w:after="0" w:line="259"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60" w:lineRule="exact"/>
        <w:rPr>
          <w:sz w:val="20"/>
          <w:szCs w:val="20"/>
          <w:color w:val="auto"/>
        </w:rPr>
      </w:pPr>
    </w:p>
    <w:p>
      <w:pPr>
        <w:ind w:left="340" w:right="779" w:firstLine="373"/>
        <w:spacing w:after="0" w:line="342" w:lineRule="auto"/>
        <w:rPr>
          <w:sz w:val="20"/>
          <w:szCs w:val="20"/>
          <w:color w:val="auto"/>
        </w:rPr>
      </w:pPr>
      <w:r>
        <w:rPr>
          <w:rFonts w:ascii="Arial" w:cs="Arial" w:eastAsia="Arial" w:hAnsi="Arial"/>
          <w:sz w:val="16"/>
          <w:szCs w:val="16"/>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83"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53" w:lineRule="exact"/>
        <w:rPr>
          <w:sz w:val="20"/>
          <w:szCs w:val="20"/>
          <w:color w:val="auto"/>
        </w:rPr>
      </w:pPr>
    </w:p>
    <w:p>
      <w:pPr>
        <w:ind w:left="340" w:right="599" w:firstLine="373"/>
        <w:spacing w:after="0" w:line="259"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 Under the accounting guidelines established for reserves for uncertain tax positions, the Company is unable to determine the period in which the cash settlement of any reserves for uncertain tax positions will occur with the respective taxing authority.</w:t>
      </w:r>
    </w:p>
    <w:p>
      <w:pPr>
        <w:spacing w:after="0" w:line="160" w:lineRule="exact"/>
        <w:rPr>
          <w:sz w:val="20"/>
          <w:szCs w:val="20"/>
          <w:color w:val="auto"/>
        </w:rPr>
      </w:pPr>
    </w:p>
    <w:p>
      <w:pPr>
        <w:ind w:left="340" w:right="739" w:firstLine="373"/>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attract and retain key talent;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for new and existing products;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2009. These uncertainties may cause Brady’s actual future results to be materially different than those expressed in its forward-looking statements. Brady does not undertake to update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jc w:val="both"/>
        <w:ind w:left="340" w:right="619" w:firstLine="373"/>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ind w:left="340" w:right="579" w:firstLine="373"/>
        <w:spacing w:after="0" w:line="254"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Danish Krone, Japanese Yen, and the Korean Won. As of January 31, 2010, the amount of outstanding foreign exchange contracts was $14.4 million.</w:t>
      </w:r>
    </w:p>
    <w:p>
      <w:pPr>
        <w:spacing w:after="0" w:line="152" w:lineRule="exact"/>
        <w:rPr>
          <w:sz w:val="20"/>
          <w:szCs w:val="20"/>
          <w:color w:val="auto"/>
        </w:rPr>
      </w:pPr>
    </w:p>
    <w:p>
      <w:pPr>
        <w:ind w:left="340" w:right="639" w:firstLine="373"/>
        <w:spacing w:after="0" w:line="276"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January 31, 2010, the Company had no interest rate derivatives.</w:t>
      </w:r>
    </w:p>
    <w:p>
      <w:pPr>
        <w:spacing w:after="0" w:line="146"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and changes between the U.S. Dollar and the Chinese Yuan. Changes in foreign currency exchange rates for the Company’s foreign subsidiaries reporting in local currencies are generally reported as a component of shareholders’ equity. The Company’s currency translation adjustments recorded for the three and six months ended January 31, 2010 were $18.8 million unfavorable and $5.8 million favorable, respectively. The Company’s currency translation adjustments recorded for the three and six months ended January 31, 2009 were $2.1 million unfavorable and $140.6 million unfavorable, respectively. As of January 31, 2010 and 2009, the Company’s foreign subsidiaries had net current assets (defined as current assets less current liabilities) subject to foreign currency translation risk of $229.9 million and $232.9 million, respectively. The potential decrease in the net current assets as of January 31, 2010 from a hypothetical 10 percent adverse change in quoted foreign currency exchange rates would be $22.9 million. This sensitivity analysis assumes a parallel shift in foreign currency exchange rates. Exchange rates rarely move in the same direction relative to the U.S. Dollar. This assumption may overstate the impact of changing exchange rates on individual assets and liabilities denominated in a foreign currency.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left="340" w:right="599" w:firstLine="373"/>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Executive Vice President and Chief Financial Officer, of the effectiveness of the design and operation of the Company’s disclosure controls and procedures pursuant to Rule 13a-15 of the Exchange Act. Based on that evaluation, the Company’s President and Chief Executive Officer and Executive Vice President and Chief Financial Officer concluded that the Company’s disclosure controls and procedures are effective as of the end of the period covered by this report.</w:t>
      </w:r>
    </w:p>
    <w:p>
      <w:pPr>
        <w:spacing w:after="0" w:line="142" w:lineRule="exact"/>
        <w:rPr>
          <w:sz w:val="20"/>
          <w:szCs w:val="20"/>
          <w:color w:val="auto"/>
        </w:rPr>
      </w:pPr>
    </w:p>
    <w:p>
      <w:pPr>
        <w:jc w:val="both"/>
        <w:ind w:left="340" w:right="659" w:firstLine="373"/>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OTHER INFORMATION</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ITEM 6. Exhibits</w:t>
            </w:r>
          </w:p>
        </w:tc>
        <w:tc>
          <w:tcPr>
            <w:tcW w:w="1120" w:type="dxa"/>
            <w:vAlign w:val="bottom"/>
          </w:tcPr>
          <w:p>
            <w:pPr>
              <w:spacing w:after="0"/>
              <w:rPr>
                <w:sz w:val="17"/>
                <w:szCs w:val="17"/>
                <w:color w:val="auto"/>
              </w:rPr>
            </w:pPr>
          </w:p>
        </w:tc>
        <w:tc>
          <w:tcPr>
            <w:tcW w:w="67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12"/>
        </w:trPr>
        <w:tc>
          <w:tcPr>
            <w:tcW w:w="1420" w:type="dxa"/>
            <w:vAlign w:val="bottom"/>
            <w:gridSpan w:val="3"/>
          </w:tcPr>
          <w:p>
            <w:pPr>
              <w:ind w:left="360"/>
              <w:spacing w:after="0"/>
              <w:rPr>
                <w:sz w:val="20"/>
                <w:szCs w:val="20"/>
                <w:color w:val="auto"/>
              </w:rPr>
            </w:pPr>
            <w:r>
              <w:rPr>
                <w:rFonts w:ascii="Arial" w:cs="Arial" w:eastAsia="Arial" w:hAnsi="Arial"/>
                <w:sz w:val="18"/>
                <w:szCs w:val="18"/>
                <w:color w:val="auto"/>
              </w:rPr>
              <w:t>(a) Exhibits</w:t>
            </w:r>
          </w:p>
        </w:tc>
        <w:tc>
          <w:tcPr>
            <w:tcW w:w="112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r>
      <w:tr>
        <w:trPr>
          <w:trHeight w:val="216"/>
        </w:trPr>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1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6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Rule 13a-14(a)/15d-14(a) Certification of Thomas J. Felmer</w:t>
            </w:r>
          </w:p>
        </w:tc>
      </w:tr>
      <w:tr>
        <w:trPr>
          <w:trHeight w:val="216"/>
        </w:trPr>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Section 1350</w:t>
            </w: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30"/>
        </w:trPr>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1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89"/>
              </w:rPr>
              <w:t>Section 1350</w:t>
            </w:r>
          </w:p>
        </w:tc>
        <w:tc>
          <w:tcPr>
            <w:tcW w:w="678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r>
    </w:tbl>
    <w:p>
      <w:pPr>
        <w:spacing w:after="0" w:line="147" w:lineRule="exact"/>
        <w:rPr>
          <w:sz w:val="20"/>
          <w:szCs w:val="20"/>
          <w:color w:val="auto"/>
        </w:rPr>
      </w:pPr>
    </w:p>
    <w:p>
      <w:pPr>
        <w:ind w:left="340"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SIGNATURES</w:t>
            </w: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52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Date: March 5, 2010</w:t>
            </w:r>
          </w:p>
        </w:tc>
        <w:tc>
          <w:tcPr>
            <w:tcW w:w="3480" w:type="dxa"/>
            <w:vAlign w:val="bottom"/>
            <w:gridSpan w:val="2"/>
          </w:tcPr>
          <w:p>
            <w:pPr>
              <w:spacing w:after="0"/>
              <w:rPr>
                <w:sz w:val="20"/>
                <w:szCs w:val="20"/>
                <w:color w:val="auto"/>
              </w:rPr>
            </w:pPr>
            <w:r>
              <w:rPr>
                <w:rFonts w:ascii="Arial" w:cs="Arial" w:eastAsia="Arial" w:hAnsi="Arial"/>
                <w:sz w:val="18"/>
                <w:szCs w:val="18"/>
                <w:color w:val="auto"/>
              </w:rPr>
              <w:t>/s/ Frank M. Jaehnert</w:t>
            </w:r>
          </w:p>
        </w:tc>
      </w:tr>
      <w:tr>
        <w:trPr>
          <w:trHeight w:val="195"/>
        </w:trPr>
        <w:tc>
          <w:tcPr>
            <w:tcW w:w="452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M. Jaehnert</w:t>
            </w:r>
          </w:p>
        </w:tc>
        <w:tc>
          <w:tcPr>
            <w:tcW w:w="20" w:type="dxa"/>
            <w:vAlign w:val="bottom"/>
          </w:tcPr>
          <w:p>
            <w:pPr>
              <w:spacing w:after="0"/>
              <w:rPr>
                <w:sz w:val="16"/>
                <w:szCs w:val="16"/>
                <w:color w:val="auto"/>
              </w:rPr>
            </w:pPr>
          </w:p>
        </w:tc>
      </w:tr>
      <w:tr>
        <w:trPr>
          <w:trHeight w:val="230"/>
        </w:trPr>
        <w:tc>
          <w:tcPr>
            <w:tcW w:w="45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Date: March 5, 2010</w:t>
            </w:r>
          </w:p>
        </w:tc>
        <w:tc>
          <w:tcPr>
            <w:tcW w:w="3480" w:type="dxa"/>
            <w:vAlign w:val="bottom"/>
            <w:gridSpan w:val="2"/>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52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J. Felmer</w:t>
            </w:r>
          </w:p>
        </w:tc>
        <w:tc>
          <w:tcPr>
            <w:tcW w:w="2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2"/>
              </w:rPr>
              <w:t>Senior Vice President &amp; Chief Financial Officer</w:t>
            </w:r>
          </w:p>
        </w:tc>
      </w:tr>
      <w:tr>
        <w:trPr>
          <w:trHeight w:val="230"/>
        </w:trPr>
        <w:tc>
          <w:tcPr>
            <w:tcW w:w="45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783"/>
        </w:trPr>
        <w:tc>
          <w:tcPr>
            <w:tcW w:w="4520" w:type="dxa"/>
            <w:vAlign w:val="bottom"/>
          </w:tcPr>
          <w:p>
            <w:pPr>
              <w:spacing w:after="0"/>
              <w:rPr>
                <w:sz w:val="24"/>
                <w:szCs w:val="24"/>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r>
    </w:tbl>
    <w:p>
      <w:pPr>
        <w:sectPr>
          <w:pgSz w:w="11900" w:h="16838" w:orient="portrait"/>
          <w:cols w:equalWidth="0" w:num="1">
            <w:col w:w="10219"/>
          </w:cols>
          <w:pgMar w:left="240" w:top="419" w:right="1440" w:bottom="1440" w:gutter="0" w:footer="0" w:header="0"/>
        </w:sectPr>
      </w:pPr>
    </w:p>
    <w:bookmarkStart w:id="26" w:name="page27"/>
    <w:bookmarkEnd w:id="26"/>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20" w:hanging="25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98" w:lineRule="exact"/>
        <w:rPr>
          <w:rFonts w:ascii="Arial" w:cs="Arial" w:eastAsia="Arial" w:hAnsi="Arial"/>
          <w:sz w:val="18"/>
          <w:szCs w:val="18"/>
          <w:color w:val="auto"/>
        </w:rPr>
      </w:pPr>
    </w:p>
    <w:p>
      <w:pPr>
        <w:ind w:right="739" w:firstLine="365"/>
        <w:spacing w:after="0" w:line="264"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right="679" w:firstLine="365"/>
        <w:spacing w:after="0" w:line="264"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6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jc w:val="both"/>
        <w:ind w:right="919" w:firstLine="365"/>
        <w:spacing w:after="0" w:line="312" w:lineRule="auto"/>
        <w:tabs>
          <w:tab w:leader="none" w:pos="558" w:val="left"/>
        </w:tabs>
        <w:numPr>
          <w:ilvl w:val="0"/>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right="919" w:firstLine="365"/>
        <w:spacing w:after="0" w:line="312" w:lineRule="auto"/>
        <w:tabs>
          <w:tab w:leader="none" w:pos="568" w:val="left"/>
        </w:tabs>
        <w:numPr>
          <w:ilvl w:val="0"/>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759" w:firstLine="365"/>
        <w:spacing w:after="0" w:line="264" w:lineRule="auto"/>
        <w:tabs>
          <w:tab w:leader="none" w:pos="558"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right="819" w:firstLine="365"/>
        <w:spacing w:after="0" w:line="286" w:lineRule="auto"/>
        <w:tabs>
          <w:tab w:leader="none" w:pos="568"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sz w:val="20"/>
          <w:szCs w:val="20"/>
          <w:color w:val="auto"/>
        </w:rPr>
      </w:pPr>
    </w:p>
    <w:p>
      <w:pPr>
        <w:ind w:right="559" w:firstLine="365"/>
        <w:spacing w:after="0" w:line="264" w:lineRule="auto"/>
        <w:tabs>
          <w:tab w:leader="none" w:pos="6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599" w:firstLine="365"/>
        <w:spacing w:after="0" w:line="264" w:lineRule="auto"/>
        <w:tabs>
          <w:tab w:leader="none" w:pos="5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right="959" w:firstLine="365"/>
        <w:spacing w:after="0" w:line="277" w:lineRule="auto"/>
        <w:tabs>
          <w:tab w:leader="none" w:pos="56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1355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513" w:right="1440" w:bottom="1440" w:gutter="0" w:footer="0" w:header="0"/>
        </w:sectPr>
      </w:pPr>
    </w:p>
    <w:bookmarkStart w:id="27" w:name="page28"/>
    <w:bookmarkEnd w:id="27"/>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20" w:hanging="25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ind w:right="739" w:firstLine="365"/>
        <w:spacing w:after="0" w:line="264"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679" w:firstLine="365"/>
        <w:spacing w:after="0" w:line="264"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62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919" w:firstLine="365"/>
        <w:spacing w:after="0" w:line="312" w:lineRule="auto"/>
        <w:tabs>
          <w:tab w:leader="none" w:pos="558"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919" w:firstLine="365"/>
        <w:spacing w:after="0" w:line="312" w:lineRule="auto"/>
        <w:tabs>
          <w:tab w:leader="none" w:pos="568"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759" w:firstLine="365"/>
        <w:spacing w:after="0" w:line="264" w:lineRule="auto"/>
        <w:tabs>
          <w:tab w:leader="none" w:pos="558"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819" w:firstLine="365"/>
        <w:spacing w:after="0" w:line="286" w:lineRule="auto"/>
        <w:tabs>
          <w:tab w:leader="none" w:pos="568"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right="559" w:firstLine="365"/>
        <w:spacing w:after="0" w:line="264" w:lineRule="auto"/>
        <w:tabs>
          <w:tab w:leader="none" w:pos="6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599" w:firstLine="365"/>
        <w:spacing w:after="0" w:line="264" w:lineRule="auto"/>
        <w:tabs>
          <w:tab w:leader="none" w:pos="5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959" w:firstLine="365"/>
        <w:spacing w:after="0" w:line="277" w:lineRule="auto"/>
        <w:tabs>
          <w:tab w:leader="none" w:pos="5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1355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879" w:firstLine="365"/>
        <w:spacing w:after="0" w:line="277"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619" w:firstLine="365"/>
        <w:spacing w:after="0" w:line="277"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1355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right="799" w:firstLine="373"/>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9879"/>
          </w:cols>
          <w:pgMar w:left="580" w:top="121" w:right="1440" w:bottom="1440" w:gutter="0" w:footer="0" w:header="0"/>
        </w:sectPr>
      </w:pPr>
    </w:p>
    <w:bookmarkStart w:id="29" w:name="page30"/>
    <w:bookmarkEnd w:id="29"/>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879" w:firstLine="365"/>
        <w:spacing w:after="0" w:line="277"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619" w:firstLine="365"/>
        <w:spacing w:after="0" w:line="277"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280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ind w:right="799" w:firstLine="373"/>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2019-12-10T05:17:59Z</dcterms:created>
  <dcterms:modified xsi:type="dcterms:W3CDTF">2019-12-10T05:17:59Z</dcterms:modified>
</cp:coreProperties>
</file>