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January 31, 2012</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3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460"/>
        <w:spacing w:after="0"/>
        <w:tabs>
          <w:tab w:leader="none" w:pos="45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39-0178960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44"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6555 West Good Hope Road, Milwaukee, Wisconsin 53223</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5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18"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5">
            <w:col w:w="7980" w:space="180"/>
            <w:col w:w="240" w:space="100"/>
            <w:col w:w="160" w:space="180"/>
            <w:col w:w="200" w:space="100"/>
            <w:col w:w="22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March 7, 2012 there were 48,944,083 shares of Class A Nonvoting Common Stock and 3,538,628 shares of Class B Voting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gridSpan w:val="2"/>
          </w:tcPr>
          <w:p>
            <w:pPr>
              <w:jc w:val="center"/>
              <w:ind w:right="3080"/>
              <w:spacing w:after="0"/>
              <w:rPr>
                <w:sz w:val="20"/>
                <w:szCs w:val="20"/>
                <w:color w:val="auto"/>
              </w:rPr>
            </w:pPr>
            <w:r>
              <w:rPr>
                <w:rFonts w:ascii="Arial" w:cs="Arial" w:eastAsia="Arial" w:hAnsi="Arial"/>
                <w:sz w:val="18"/>
                <w:szCs w:val="18"/>
                <w:color w:val="auto"/>
                <w:w w:val="91"/>
              </w:rPr>
              <w:t>FORM 10-Q</w:t>
            </w:r>
          </w:p>
        </w:tc>
        <w:tc>
          <w:tcPr>
            <w:tcW w:w="20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00" w:type="dxa"/>
            <w:vAlign w:val="bottom"/>
            <w:gridSpan w:val="3"/>
          </w:tcPr>
          <w:p>
            <w:pPr>
              <w:jc w:val="center"/>
              <w:ind w:right="2580"/>
              <w:spacing w:after="0"/>
              <w:rPr>
                <w:sz w:val="20"/>
                <w:szCs w:val="20"/>
                <w:color w:val="auto"/>
              </w:rPr>
            </w:pPr>
            <w:r>
              <w:rPr>
                <w:rFonts w:ascii="Arial" w:cs="Arial" w:eastAsia="Arial" w:hAnsi="Arial"/>
                <w:sz w:val="18"/>
                <w:szCs w:val="18"/>
                <w:color w:val="auto"/>
                <w:w w:val="93"/>
              </w:rPr>
              <w:t>BRADY CORPORATION</w:t>
            </w:r>
          </w:p>
        </w:tc>
        <w:tc>
          <w:tcPr>
            <w:tcW w:w="20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20" w:type="dxa"/>
            <w:vAlign w:val="bottom"/>
            <w:gridSpan w:val="2"/>
          </w:tcPr>
          <w:p>
            <w:pPr>
              <w:jc w:val="center"/>
              <w:ind w:right="3080"/>
              <w:spacing w:after="0"/>
              <w:rPr>
                <w:sz w:val="20"/>
                <w:szCs w:val="20"/>
                <w:color w:val="auto"/>
              </w:rPr>
            </w:pPr>
            <w:r>
              <w:rPr>
                <w:rFonts w:ascii="Arial" w:cs="Arial" w:eastAsia="Arial" w:hAnsi="Arial"/>
                <w:sz w:val="18"/>
                <w:szCs w:val="18"/>
                <w:color w:val="auto"/>
                <w:w w:val="98"/>
              </w:rPr>
              <w:t>INDEX</w:t>
            </w:r>
          </w:p>
        </w:tc>
        <w:tc>
          <w:tcPr>
            <w:tcW w:w="2060" w:type="dxa"/>
            <w:vAlign w:val="bottom"/>
          </w:tcPr>
          <w:p>
            <w:pPr>
              <w:spacing w:after="0"/>
              <w:rPr>
                <w:sz w:val="19"/>
                <w:szCs w:val="19"/>
                <w:color w:val="auto"/>
              </w:rPr>
            </w:pPr>
          </w:p>
        </w:tc>
      </w:tr>
      <w:tr>
        <w:trPr>
          <w:trHeight w:val="367"/>
        </w:trPr>
        <w:tc>
          <w:tcPr>
            <w:tcW w:w="21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Financial Information</w:t>
              </w:r>
            </w:hyperlink>
          </w:p>
        </w:tc>
        <w:tc>
          <w:tcPr>
            <w:tcW w:w="710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88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552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w:t>
              </w:r>
            </w:hyperlink>
          </w:p>
        </w:tc>
        <w:tc>
          <w:tcPr>
            <w:tcW w:w="506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476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8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8300" w:type="dxa"/>
            <w:vAlign w:val="bottom"/>
            <w:gridSpan w:val="13"/>
          </w:tcPr>
          <w:p>
            <w:pPr>
              <w:ind w:left="2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Discussions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4280" w:type="dxa"/>
            <w:vAlign w:val="bottom"/>
            <w:tcBorders>
              <w:top w:val="single" w:sz="8" w:color="0000EE"/>
              <w:bottom w:val="single" w:sz="8" w:color="0000EE"/>
            </w:tcBorders>
            <w:gridSpan w:val="11"/>
          </w:tcPr>
          <w:p>
            <w:pPr>
              <w:ind w:lef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100" w:type="dxa"/>
            <w:vAlign w:val="bottom"/>
            <w:tcBorders>
              <w:top w:val="single" w:sz="8" w:color="0000EE"/>
            </w:tcBorders>
          </w:tcPr>
          <w:p>
            <w:pPr>
              <w:spacing w:after="0"/>
              <w:rPr>
                <w:sz w:val="17"/>
                <w:szCs w:val="17"/>
                <w:color w:val="auto"/>
              </w:rPr>
            </w:pPr>
          </w:p>
        </w:tc>
        <w:tc>
          <w:tcPr>
            <w:tcW w:w="192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8300" w:type="dxa"/>
            <w:vAlign w:val="bottom"/>
            <w:gridSpan w:val="13"/>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6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926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1000" w:type="dxa"/>
            <w:vAlign w:val="bottom"/>
            <w:tcBorders>
              <w:top w:val="single" w:sz="8" w:color="0000EE"/>
            </w:tcBorders>
            <w:gridSpan w:val="3"/>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30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770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8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160" w:type="dxa"/>
            <w:vAlign w:val="bottom"/>
            <w:gridSpan w:val="11"/>
          </w:tcPr>
          <w:p>
            <w:pPr>
              <w:jc w:val="center"/>
              <w:ind w:left="2832"/>
              <w:spacing w:after="0"/>
              <w:rPr>
                <w:sz w:val="20"/>
                <w:szCs w:val="20"/>
                <w:color w:val="auto"/>
              </w:rPr>
            </w:pPr>
            <w:r>
              <w:rPr>
                <w:rFonts w:ascii="Arial" w:cs="Arial" w:eastAsia="Arial" w:hAnsi="Arial"/>
                <w:sz w:val="18"/>
                <w:szCs w:val="18"/>
                <w:color w:val="auto"/>
                <w:w w:val="79"/>
              </w:rPr>
              <w:t>2</w:t>
            </w: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January 31, 2012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July 31, 2011</w:t>
            </w:r>
          </w:p>
        </w:tc>
      </w:tr>
      <w:tr>
        <w:trPr>
          <w:trHeight w:val="142"/>
        </w:trPr>
        <w:tc>
          <w:tcPr>
            <w:tcW w:w="9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(Unaudited)</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6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380,331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Accounts receivable — net</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r>
      <w:tr>
        <w:trPr>
          <w:trHeight w:val="223"/>
        </w:trPr>
        <w:tc>
          <w:tcPr>
            <w:tcW w:w="9160" w:type="dxa"/>
            <w:vAlign w:val="bottom"/>
          </w:tcPr>
          <w:p>
            <w:pPr>
              <w:ind w:left="88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r>
      <w:tr>
        <w:trPr>
          <w:trHeight w:val="223"/>
        </w:trPr>
        <w:tc>
          <w:tcPr>
            <w:tcW w:w="916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r>
      <w:tr>
        <w:trPr>
          <w:trHeight w:val="216"/>
        </w:trPr>
        <w:tc>
          <w:tcPr>
            <w:tcW w:w="91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666,907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r>
      <w:tr>
        <w:trPr>
          <w:trHeight w:val="223"/>
        </w:trPr>
        <w:tc>
          <w:tcPr>
            <w:tcW w:w="9160" w:type="dxa"/>
            <w:vAlign w:val="bottom"/>
          </w:tcPr>
          <w:p>
            <w:pPr>
              <w:ind w:left="88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r>
      <w:tr>
        <w:trPr>
          <w:trHeight w:val="223"/>
        </w:trPr>
        <w:tc>
          <w:tcPr>
            <w:tcW w:w="916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Property, plant and equipment — net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1,696,161</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1,861,505</w:t>
            </w:r>
          </w:p>
        </w:tc>
      </w:tr>
      <w:tr>
        <w:trPr>
          <w:trHeight w:val="20"/>
        </w:trPr>
        <w:tc>
          <w:tcPr>
            <w:tcW w:w="9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6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81,140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r>
      <w:tr>
        <w:trPr>
          <w:trHeight w:val="223"/>
        </w:trPr>
        <w:tc>
          <w:tcPr>
            <w:tcW w:w="9160" w:type="dxa"/>
            <w:vAlign w:val="bottom"/>
          </w:tcPr>
          <w:p>
            <w:pPr>
              <w:ind w:left="440"/>
              <w:spacing w:after="0"/>
              <w:rPr>
                <w:sz w:val="20"/>
                <w:szCs w:val="20"/>
                <w:color w:val="auto"/>
              </w:rPr>
            </w:pPr>
            <w:r>
              <w:rPr>
                <w:rFonts w:ascii="Arial" w:cs="Arial" w:eastAsia="Arial" w:hAnsi="Arial"/>
                <w:sz w:val="18"/>
                <w:szCs w:val="18"/>
                <w:color w:val="auto"/>
              </w:rPr>
              <w:t>Current maturities on long-term debt</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260,598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r>
      <w:tr>
        <w:trPr>
          <w:trHeight w:val="216"/>
        </w:trPr>
        <w:tc>
          <w:tcPr>
            <w:tcW w:w="916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323,071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100" w:type="dxa"/>
            <w:vAlign w:val="bottom"/>
            <w:shd w:val="clear" w:color="auto" w:fill="CCEEFF"/>
          </w:tcPr>
          <w:p>
            <w:pPr>
              <w:spacing w:after="0"/>
              <w:rPr>
                <w:sz w:val="18"/>
                <w:szCs w:val="18"/>
                <w:color w:val="auto"/>
              </w:rPr>
            </w:pPr>
          </w:p>
        </w:tc>
      </w:tr>
      <w:tr>
        <w:trPr>
          <w:trHeight w:val="221"/>
        </w:trPr>
        <w:tc>
          <w:tcPr>
            <w:tcW w:w="916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649,219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160" w:type="dxa"/>
            <w:vAlign w:val="bottom"/>
          </w:tcPr>
          <w:p>
            <w:pPr>
              <w:ind w:left="440"/>
              <w:spacing w:after="0"/>
              <w:rPr>
                <w:sz w:val="20"/>
                <w:szCs w:val="20"/>
                <w:color w:val="auto"/>
              </w:rPr>
            </w:pPr>
            <w:r>
              <w:rPr>
                <w:rFonts w:ascii="Arial" w:cs="Arial" w:eastAsia="Arial" w:hAnsi="Arial"/>
                <w:sz w:val="18"/>
                <w:szCs w:val="18"/>
                <w:color w:val="auto"/>
                <w:w w:val="90"/>
              </w:rPr>
              <w:t>Class A nonvoting common stock — Issued 51,261,487 and 51,261,487 shares, respectively and outstanding 48,927,002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60" w:type="dxa"/>
            <w:vAlign w:val="bottom"/>
          </w:tcPr>
          <w:p>
            <w:pPr>
              <w:ind w:left="660"/>
              <w:spacing w:after="0"/>
              <w:rPr>
                <w:sz w:val="20"/>
                <w:szCs w:val="20"/>
                <w:color w:val="auto"/>
              </w:rPr>
            </w:pPr>
            <w:r>
              <w:rPr>
                <w:rFonts w:ascii="Arial" w:cs="Arial" w:eastAsia="Arial" w:hAnsi="Arial"/>
                <w:sz w:val="18"/>
                <w:szCs w:val="18"/>
                <w:color w:val="auto"/>
              </w:rPr>
              <w:t>and 49,284,252 shares, respectively</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311,677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307,527</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retained in the business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789,100</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Treasury stock — 2,024,485 and 1,667,235 shares, respectively of Class A nonvoting common stock, at cost</w:t>
            </w:r>
          </w:p>
        </w:tc>
        <w:tc>
          <w:tcPr>
            <w:tcW w:w="12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(58,869)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(50,017)</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r>
      <w:tr>
        <w:trPr>
          <w:trHeight w:val="223"/>
        </w:trPr>
        <w:tc>
          <w:tcPr>
            <w:tcW w:w="91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(4,864)</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1,156,192</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1,696,161</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1,861,505</w:t>
            </w:r>
          </w:p>
        </w:tc>
      </w:tr>
      <w:tr>
        <w:trPr>
          <w:trHeight w:val="20"/>
        </w:trPr>
        <w:tc>
          <w:tcPr>
            <w:tcW w:w="9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9"/>
              </w:rPr>
              <w:t>Three Months Ended 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7"/>
              </w:rPr>
              <w:t>Six Months Ended 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320,584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329,009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670,092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658,597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products sold</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167,279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169,999</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348,956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335,075</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153,305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159,010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321,136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323,522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104,843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108,064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217,388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 — (See Note J)</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Impairment charge — (See Note B)</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230,503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121,930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349,244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244,839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(loss)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(77,198)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37,080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78,683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Investment and other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1,174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1,464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(11,537)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(Loss) income before income taxes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(351.0)%</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line="20" w:lineRule="exact"/>
              <w:rPr>
                <w:sz w:val="1"/>
                <w:szCs w:val="1"/>
                <w:color w:val="auto"/>
              </w:rPr>
            </w:pPr>
          </w:p>
        </w:tc>
      </w:tr>
      <w:tr>
        <w:trPr>
          <w:trHeight w:val="221"/>
        </w:trPr>
        <w:tc>
          <w:tcPr>
            <w:tcW w:w="520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(81,319)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32,404</w:t>
            </w:r>
          </w:p>
        </w:tc>
        <w:tc>
          <w:tcPr>
            <w:tcW w:w="9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(37,478)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68,610</w:t>
            </w: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(89,954)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(57,222)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50,480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Basic net (loss)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(loss)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Basic net (loss)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(loss)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52,447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52,593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52,521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53,053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52,932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Six Months Ended</w:t>
      </w:r>
    </w:p>
    <w:p>
      <w:pPr>
        <w:ind w:left="9940"/>
        <w:spacing w:after="0" w:line="223" w:lineRule="auto"/>
        <w:rPr>
          <w:sz w:val="20"/>
          <w:szCs w:val="20"/>
          <w:color w:val="auto"/>
        </w:rPr>
      </w:pPr>
      <w:r>
        <w:rPr>
          <w:rFonts w:ascii="Arial" w:cs="Arial" w:eastAsia="Arial" w:hAnsi="Arial"/>
          <w:sz w:val="14"/>
          <w:szCs w:val="14"/>
          <w:b w:val="1"/>
          <w:bCs w:val="1"/>
          <w:color w:val="auto"/>
        </w:rPr>
        <w:t>January 31,</w:t>
      </w:r>
    </w:p>
    <w:p>
      <w:pPr>
        <w:ind w:left="99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-7620</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(57,222)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Gain on divestiture of business</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 (net of effects of business acquisitions/divestitures):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16"/>
        </w:trPr>
        <w:tc>
          <w:tcPr>
            <w:tcW w:w="924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(11,814)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9240" w:type="dxa"/>
            <w:vAlign w:val="bottom"/>
          </w:tcPr>
          <w:p>
            <w:pPr>
              <w:ind w:left="6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(36,297)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43,301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(9,045)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Settlement of net investment hedges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 net of cash acquired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Divestiture of business, net of cash retained in business</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(19,452)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(12,309)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from the exercise of stock options and deferred compensation distributions, and 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47,462</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389,971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380,331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362,302</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17,398</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Fair value of assets acquired, net of cash and goodwill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2012 and July 3l, 2011, its results of operations for the three and six months ended January 31, 2012 and 2011, and its cash flows for the six months ended January 31, 2012 and 2011. The condensed consolidated balance sheet as of July 31, 2011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9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has identified seven reporting units within its three reporting segments for purposes of the annual goodwill impairment analysis: Brady Americas, Direct Marketing Americas, Brady Europe, Direct Marketing Europe, Emerging Platforms Europe, North/South Asia, and Australia. The Company’s goodwill is tested for impairment annually, or more frequently if events or changes in circumstances indicate that goodwill might be impaired. The Company performs impairment reviews for its reporting units using the discounted cash flow model and market multiples model, as these methods provide a reasonable and meaningful fair value estimate based 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can be materially impacted by factors such as significant negative industry or economic trends, disruptions to the Company’s business, competitive forces, or changes in significant customers.</w:t>
      </w:r>
    </w:p>
    <w:p>
      <w:pPr>
        <w:spacing w:after="0" w:line="9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the quarter ended January 31, 2012, the North/South Asia reporting unit experienced a sales decline and margin erosion due in large part to a major customer’s loss of market share within the mobile handset industry. The impact of this sales decline was partially offset by additional opportunities within the mobile handset and other computing devices markets, but these sales were achieved at a lower gross margin percentage.</w:t>
      </w:r>
    </w:p>
    <w:p>
      <w:pPr>
        <w:spacing w:after="0" w:line="8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plans to fill capacity and absorb overhead with these additional opportunities was partially successful; however, increased competition from local competitors drove down unit prices. While the Company continues to capture similar dollar value of sales, the gross margins are less than what was anticipated. The Company placed increased focus on cost reduction and material procurement strategies to reduce cost of goods sold; however, these efforts were not enough to return the reporting unit to previous levels of profitability. Based upon the current economic environment within the mobile handset market, management determined that the events are not temporary and gross margins in the mobile handset market are not likely to improve materially in the near term.</w:t>
      </w:r>
    </w:p>
    <w:p>
      <w:pPr>
        <w:spacing w:after="0" w:line="8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Due to the convergence of these events, in connection with a reforecast of expected fiscal 2012 financial results completed during the quarter ended January 31, 2012, the Company determined the foregoing circumstances to be indicators of potential impairment under the guidance of ASC 350, “Intangibles – Goodwill and Other.” The Company completed the required initial (“Step One”) impairment test for the North/South Asia reporting unit by preparing a discounted cash flow model taking into account updated projections, estimates and assumptions. These estimates and assumptions primarily include, but are not limited to, projections of revenue growth, operating earnings, discount rates, terminal growth rates, and required capital for the reporting unit. Due to the inherent uncertainty involved in making these estimates, actual results could differ materially from the estimates. The Company evaluated the significant assumptions used to determine the fair value of the reporting unit with the assistance of a third party valuation firm, and concluded that they are reasonable.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estimated fair value of the reporting unit was compared to the carrying amount including goodwill, and the results of the analysis indicated that the North/South Asia reporting unit was potentially impaired. Therefore, the Company proceeded to measure the amount of the potential impairment (“Step Two”) with the assistance of a third party valuation firm. In Step Two of the goodwill impairment test, the Company determined the implied fair value of the goodwill and compared it to the carrying value of the goodwill. The Company allocated the current fair value of the North/South Asia reporting unit to all of its assets and liabilities as if the reporting unit had presently been acquired in a business combination. The excess fair value of the reporting unit over the fair value of its identifiable assets and liabilities is the implied fair value of goodwill. Upon completion of the assessment, the Company recognized a goodwill impairment charge of $115,688 during the quarter ended January 31, 2012.</w:t>
      </w:r>
    </w:p>
    <w:p>
      <w:pPr>
        <w:spacing w:after="0" w:line="9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in the carrying amount of goodwill by reportable segment for the year ended July 31, 2011, and six months ended January 31, 2012,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Americas</w:t>
            </w:r>
          </w:p>
        </w:tc>
        <w:tc>
          <w:tcPr>
            <w:tcW w:w="1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Europe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Asia-Pacific</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425,578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Translation adjustments</w:t>
            </w:r>
          </w:p>
        </w:tc>
        <w:tc>
          <w:tcPr>
            <w:tcW w:w="1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(3,652)</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(12,055)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(17,748)</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(115,688)</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Balance as of January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421,926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666,907</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Goodwill decreased $133,436 during the six months ended January 31, 2012. Of the $133,436 decrease, $115,688 was due to the goodwill impairment charge recognized on the North/South Asia reporting unit, and $17,748 was due to foreign currency translation.</w:t>
      </w:r>
    </w:p>
    <w:p>
      <w:pPr>
        <w:spacing w:after="0" w:line="10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8"/>
              </w:rPr>
              <w:t>January 31, 2012</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July 31,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Net Book</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(Years)</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Amortized other intangible assets: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10,023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(8,782)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9,784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(124,044)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36,171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165,566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(119,977)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Non-compete agreements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Unamortized other intangible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39,242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234,442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(155,352)</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79,090</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240,853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(150,892)</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89,961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value of goodwill and other intangible assets in the Condensed Consolidated Balance Sheet at January 31, 2012, differs from the value assigned to them in the allocation of purchase price due to impairment charges and the effect of fluctuations in the exchange rates used to translate financial statements into the United States Dollar between the date of acquisition and January 31, 2012.</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expense on intangible assets was $4,075 and $5,123 for the three-month periods ended January 31, 2012 and 2011, respectively and $8,155 and $10,270 for the six-month periods ended January 31, 2012 and 2011, respectively. Annual amortization expense is projected to be $16,132, $10,320, $5,438, $5,102 and $4,040 for the years ending July 31, 2012, 2013, 2014, 2015 and 2016,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(Loss)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(loss) income for the periods presented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(89,954)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(57,222)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gain on post-retirement medical, dental and vision plan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(11,715)</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(30,833)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(101,474)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(85,861)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D — Net (Loss) Income per Common Share</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(in thousands)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(89,954)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24,199</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(57,222)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Restricted stock dividends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A net (loss) income per 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(90,011)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(57,337)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color w:val="auto"/>
              </w:rPr>
              <w:t>Less: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Preferential dividends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Preferential dividends on dilutive stock options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B net (loss) income per 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(90,011)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(58,160)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basic net (loss) income per share for both Class A and Class B</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52,521</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Plus: Effect of dilutive stock options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net (loss) income per share for both Class A and Class B</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(loss)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(loss) income per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the three and six-month periods ended January 31, 2012, the Company was in a net loss position. In accordance with ASC 260, “Earnings per Share”, no additional shares were included in the computation of diluted net loss per common share since to do so would reduce the calculated loss per share. Therefore, options to purchase approximately 4,365,000 and 4,788,000 shares of Class A Nonvoting Common Stock for the three and six months ended January 31, 2012, respectively, were not included in the computation of diluted net loss per share because the impact of the inclusion of the options would have been anti-dilutive.</w:t>
      </w:r>
    </w:p>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Options to purchase approximately 4,281,000 and 3,959,000 shares of Class A Nonvoting Common Stock for the three and six months ended January 31, 2011, respectively, were not included in the computations of diluted net income per share because the impact of the inclusion of the options would have been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evaluates short-term segment performance based on segment profit or loss and customer sales. Segment profit or loss does not include certain administrative costs, such as the cost of finance, information technology and human resources, which are managed as global functions. Restructuring charges, impairment charges, stock options, interest, investment and other income and income taxes are also excluded when evaluating performance.</w:t>
      </w:r>
    </w:p>
    <w:p>
      <w:pPr>
        <w:spacing w:after="0" w:line="8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impracticable to disclose enterprise-wide revenue from external customers on the basis of product or service.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2012 and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Corporate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Asia-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Americas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Europe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Pacific</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Region</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Eliminations</w:t>
            </w: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Three months ended January 31, 2012:</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138,405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95,593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86,586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7,733(1)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70,093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(2,359)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136,011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104,041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88,957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329,009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18,063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11,524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71,704</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(5,088)</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292,267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192,949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184,876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670,092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670,092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21,037(1)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152,926</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(5,622)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January 31, 2011: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281,999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196,091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180,507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658,597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658,597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28,353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151,953</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(8,525)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recognized a goodwill impairment charge of $115,688 during the quarter ended January 31, 2012, related to the North/South Asia reporting unit within the Asia-Pacific reporting segment, which is excluded from segment profit as presented in the table above. Refer to Note B, “Goodwill and Intangible Assets” for further discussion.</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Following is a reconciliation of segment profit to net income (loss) for the three months and six months ended January 31, 2012 and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(2,359)</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Administrative costs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(29,244)</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(27,402)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(59,724)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(115,688)</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(115,688)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and other income</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(4,933)</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(81,319)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taxes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(8,635)</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(19,744)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income</w:t>
            </w:r>
          </w:p>
        </w:tc>
        <w:tc>
          <w:tcPr>
            <w:tcW w:w="30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(89,954)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(57,222)</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20" w:type="dxa"/>
            <w:vAlign w:val="bottom"/>
            <w:vMerge w:val="restart"/>
          </w:tcPr>
          <w:p>
            <w:pPr>
              <w:jc w:val="right"/>
              <w:ind w:right="1132"/>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F –Stock-Based Compensation</w:t>
      </w:r>
    </w:p>
    <w:p>
      <w:pPr>
        <w:spacing w:after="0" w:line="14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grant restricted shares of Class A Nonvoting Common Stock to employees and non-employee directors.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The Company granted restricted shares in fiscal 2008 and fiscal 2011 that have an issuance price equal to the fair market value of the underlying stock at the date of grant. The restricted shares granted in fiscal 2008 were amended in fiscal 2011 to allow for vesting after a seven-year period upon meeting both performance and service conditions. The restricted shares granted in fiscal 2011 vest ratably at the end of years three, four and five upon meeting certain performance and service conditions. The restricted shares granted in fiscal 2008 and 2011 are referred to herein as “performance-based restricted shares.”</w:t>
      </w:r>
    </w:p>
    <w:p>
      <w:pPr>
        <w:spacing w:after="0" w:line="10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January 31, 2012, the Company has reserved 6,746,849 shares of Class A Nonvoting Common Stock for outstanding stock options and restricted shares and 5,020,700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80"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The Company recognizes the compensation cost of all share-based awards on a straight-line basis over the vesting period of the award. Compensation expense for performance-based stock options is recorded over the remaining vesting period when the Company determines that it is probable that the performance criteria will be met. Total stock compensation expense recognized by the Company during the three months ended January 31, 2012 and 2011 was $1,939 ($1,183 net of taxes) and $2,800 ($1,708 net of taxes), respectively, and expense recognized during the six months ended January 31, 2012 and 2011 was $5,506 ($3,359 net of taxes), and $6,869 ($4,190 net of taxes), respectively. As of January 31, 2012, total unrecognized compensation cost related to share-based compensation awards was $18,066 pre-tax, net of estimated forfeitures, which the Company expects to recognize over a weighted-average period of 2.2 years.</w:t>
      </w:r>
    </w:p>
    <w:p>
      <w:pPr>
        <w:spacing w:after="0" w:line="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2012 and 2011 using the Black-Scholes option valuation model. The weighted-average assumptions used in the Black-Scholes valuation model are reflected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w w:val="87"/>
              </w:rPr>
              <w:t>Six Months Ended</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220"/>
              <w:spacing w:after="0"/>
              <w:rPr>
                <w:sz w:val="20"/>
                <w:szCs w:val="20"/>
                <w:color w:val="auto"/>
              </w:rPr>
            </w:pPr>
            <w:r>
              <w:rPr>
                <w:rFonts w:ascii="Arial" w:cs="Arial" w:eastAsia="Arial" w:hAnsi="Arial"/>
                <w:sz w:val="14"/>
                <w:szCs w:val="14"/>
                <w:b w:val="1"/>
                <w:bCs w:val="1"/>
                <w:color w:val="auto"/>
                <w:w w:val="87"/>
              </w:rPr>
              <w:t>January 31, 2012</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7"/>
              </w:rPr>
              <w:t>January 31, 2011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2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Service-Based</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Performance-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2"/>
              </w:rPr>
              <w:t>Service-Based</w:t>
            </w: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Performance-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w w:val="91"/>
              </w:rPr>
              <w:t>Black-Scholes Option Valuation Assumptions</w:t>
            </w:r>
          </w:p>
        </w:tc>
        <w:tc>
          <w:tcPr>
            <w:tcW w:w="38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Based Option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Based Option</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auto"/>
            </w:tcBorders>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5.92</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39.40%</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40.22%</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39.39%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w:t>
            </w: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29.09</w:t>
            </w:r>
          </w:p>
        </w:tc>
        <w:tc>
          <w:tcPr>
            <w:tcW w:w="460" w:type="dxa"/>
            <w:vAlign w:val="bottom"/>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29.09</w:t>
            </w:r>
          </w:p>
        </w:tc>
        <w:tc>
          <w:tcPr>
            <w:tcW w:w="4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January 31, 2012, 310,000 performance-based restricted shares were outstanding.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granted 415,000 performance-based stock options during the six months ended January 31, 2012, with a weighted average exercise price of $29.55 and a weighted average fair value of $10.01. The Company also granted 791,150 service-based stock options during the six months ended January 31, 2012, with a weighted average exercise price of $27.00 and a weighted average fair value of $8.37.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stock option activity under the Company’s share-based compensation plans for the six months ended January 31, 2012,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8"/>
        </w:trPr>
        <w:tc>
          <w:tcPr>
            <w:tcW w:w="7020" w:type="dxa"/>
            <w:vAlign w:val="bottom"/>
            <w:gridSpan w:val="3"/>
            <w:vMerge w:val="continue"/>
          </w:tcPr>
          <w:p>
            <w:pPr>
              <w:spacing w:after="0"/>
              <w:rPr>
                <w:sz w:val="12"/>
                <w:szCs w:val="12"/>
                <w:color w:val="auto"/>
              </w:rPr>
            </w:pPr>
          </w:p>
        </w:tc>
        <w:tc>
          <w:tcPr>
            <w:tcW w:w="1100" w:type="dxa"/>
            <w:vAlign w:val="bottom"/>
            <w:gridSpan w:val="3"/>
          </w:tcPr>
          <w:p>
            <w:pPr>
              <w:ind w:left="240"/>
              <w:spacing w:after="0" w:line="148" w:lineRule="exact"/>
              <w:rPr>
                <w:sz w:val="20"/>
                <w:szCs w:val="20"/>
                <w:color w:val="auto"/>
              </w:rPr>
            </w:pPr>
            <w:r>
              <w:rPr>
                <w:rFonts w:ascii="Arial" w:cs="Arial" w:eastAsia="Arial" w:hAnsi="Arial"/>
                <w:sz w:val="14"/>
                <w:szCs w:val="14"/>
                <w:b w:val="1"/>
                <w:bCs w:val="1"/>
                <w:color w:val="auto"/>
              </w:rPr>
              <w:t>Shares</w:t>
            </w:r>
          </w:p>
        </w:tc>
        <w:tc>
          <w:tcPr>
            <w:tcW w:w="116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Exercise Price</w:t>
            </w: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July 31, 2011</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5,726,017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New grants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1,206,150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(104,119)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00" w:type="dxa"/>
            <w:vAlign w:val="bottom"/>
            <w:gridSpan w:val="3"/>
          </w:tcPr>
          <w:p>
            <w:pPr>
              <w:ind w:left="260"/>
              <w:spacing w:after="0"/>
              <w:rPr>
                <w:sz w:val="20"/>
                <w:szCs w:val="20"/>
                <w:color w:val="auto"/>
              </w:rPr>
            </w:pPr>
            <w:r>
              <w:rPr>
                <w:rFonts w:ascii="Arial" w:cs="Arial" w:eastAsia="Arial" w:hAnsi="Arial"/>
                <w:sz w:val="18"/>
                <w:szCs w:val="18"/>
                <w:color w:val="auto"/>
              </w:rPr>
              <w:t>(154,199)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31, 2012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6,673,849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color w:val="auto"/>
              </w:rPr>
              <w:t>Exercisable at January 31, 2012</w:t>
            </w: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29.31</w:t>
            </w:r>
          </w:p>
        </w:tc>
        <w:tc>
          <w:tcPr>
            <w:tcW w:w="240" w:type="dxa"/>
            <w:vAlign w:val="bottom"/>
          </w:tcPr>
          <w:p>
            <w:pPr>
              <w:spacing w:after="0" w:line="20" w:lineRule="exact"/>
              <w:rPr>
                <w:sz w:val="1"/>
                <w:szCs w:val="1"/>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3"/>
            <w:vMerge w:val="continue"/>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4,024,955</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There were 4,024,955 and 3,499,632 options exercisable with a weighted average exercise price of $29.31 and $29.28 at January 31, 2012 and 2011, respectively. The cash received from the exercise of options during the three months ended January 31, 2012 and 2011 was $1,710 and $2,804, respectively. The cash received from the exercise of options during the six months ended January 31, 2012 and 2011 was $2,301 and $4,909, respectively. The cash received from the tax benefit on options exercised during the three months ended January 31, 2012 and 2011 was $126 and $263, respectively. The cash received from the tax benefit on options exercised during the six months ended January 31, 2012 and 2011 was $595 and $703, respectively.</w:t>
      </w:r>
    </w:p>
    <w:p>
      <w:pPr>
        <w:spacing w:after="0" w:line="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total intrinsic value of options exercised during the six months ended January 31, 2012 and 2011, based upon the average market price at the time of exercise during the period, was $855 and $2,505, respectively. The total fair value of stock options vested during the six months ended January 31, 2012 and 2011, was $8,012 and $6,744,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NOTE G – Stockholders’ Investment</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fiscal 2009, the Company’s Board of Directors authorized a share repurchase plan for the Company’s Class A Nonvoting Common Stock. The plan was implemented by purchasing shares in the open market or in privately negotiated transactions, with repurchased shares available for use in connection with the Company’s stock-based plans and for other corporate purposes. The Company did not repurchase shares during fiscal 2011. As of July 31, 2011, there remained 204,133 shares to purchase in connection with this share repurchase plan.</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September 9, 2011, the Company’s Board of Directors authorized an additional share repurchase program for up to two million additional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During the three months ended October 31, 2011, the Company purchased 457,360 shares of its Class A Nonvoting Common Stock under the plans for $12,309. No shares were repurchased by the Company in the quarter ended January 31, 2012, and there remained 1,746,773 shares to purchase in connection with the 2011 share repurchase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NOTE H – Employee Benefit Plans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provides postretirement medical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funds benefit costs on a pay-as-you-go basis. There have been no changes to the components of net periodic benefit cost or the amount that the Company expects to fund in fiscal 2012 from those reported in Note 3 to the consolidated financial statements included in the Company’s latest annual report on Form 10-K for the year ended July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January 31, 2012, and July 31, 2011, according to the valuation techniques the Company used to determine their fair values: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ind w:left="140"/>
              <w:spacing w:after="0"/>
              <w:rPr>
                <w:sz w:val="20"/>
                <w:szCs w:val="20"/>
                <w:color w:val="auto"/>
              </w:rPr>
            </w:pPr>
            <w:r>
              <w:rPr>
                <w:rFonts w:ascii="Arial" w:cs="Arial" w:eastAsia="Arial" w:hAnsi="Arial"/>
                <w:sz w:val="14"/>
                <w:szCs w:val="14"/>
                <w:b w:val="1"/>
                <w:bCs w:val="1"/>
                <w:color w:val="auto"/>
                <w:w w:val="95"/>
              </w:rPr>
              <w:t>Fair Value Measurements Using Inputs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Considered As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Prices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 for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78"/>
              </w:rPr>
              <w:t>Assets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Values</w:t>
            </w:r>
          </w:p>
        </w:tc>
        <w:tc>
          <w:tcPr>
            <w:tcW w:w="120" w:type="dxa"/>
            <w:vAlign w:val="bottom"/>
          </w:tcPr>
          <w:p>
            <w:pPr>
              <w:spacing w:after="0"/>
              <w:rPr>
                <w:sz w:val="15"/>
                <w:szCs w:val="15"/>
                <w:color w:val="auto"/>
              </w:rPr>
            </w:pPr>
          </w:p>
        </w:tc>
        <w:tc>
          <w:tcPr>
            <w:tcW w:w="3640" w:type="dxa"/>
            <w:vAlign w:val="bottom"/>
          </w:tcPr>
          <w:p>
            <w:pPr>
              <w:ind w:left="1400"/>
              <w:spacing w:after="0"/>
              <w:rPr>
                <w:sz w:val="20"/>
                <w:szCs w:val="20"/>
                <w:color w:val="auto"/>
              </w:rPr>
            </w:pPr>
            <w:r>
              <w:rPr>
                <w:rFonts w:ascii="Arial" w:cs="Arial" w:eastAsia="Arial" w:hAnsi="Arial"/>
                <w:sz w:val="14"/>
                <w:szCs w:val="14"/>
                <w:b w:val="1"/>
                <w:bCs w:val="1"/>
                <w:color w:val="auto"/>
              </w:rPr>
              <w:t>Classifications</w:t>
            </w:r>
          </w:p>
        </w:tc>
        <w:tc>
          <w:tcPr>
            <w:tcW w:w="0" w:type="dxa"/>
            <w:vAlign w:val="bottom"/>
          </w:tcPr>
          <w:p>
            <w:pPr>
              <w:spacing w:after="0"/>
              <w:rPr>
                <w:sz w:val="1"/>
                <w:szCs w:val="1"/>
                <w:color w:val="auto"/>
              </w:rPr>
            </w:pPr>
          </w:p>
        </w:tc>
      </w:tr>
      <w:tr>
        <w:trPr>
          <w:trHeight w:val="129"/>
        </w:trPr>
        <w:tc>
          <w:tcPr>
            <w:tcW w:w="4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January 31, 2012:</w:t>
            </w: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11,781</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11,781</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cash flow hedges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665</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net investment hedges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11,781</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667</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7"/>
              </w:rPr>
              <w:t>12,448</w:t>
            </w:r>
          </w:p>
        </w:tc>
        <w:tc>
          <w:tcPr>
            <w:tcW w:w="1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Foreign exchange contracts — cash flow hedges</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132</w:t>
            </w:r>
          </w:p>
        </w:tc>
        <w:tc>
          <w:tcPr>
            <w:tcW w:w="1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132</w:t>
            </w:r>
          </w:p>
        </w:tc>
        <w:tc>
          <w:tcPr>
            <w:tcW w:w="37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8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denominated debt — net investment hedge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99,142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99,142</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Long term obligations, less current maturities</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ind w:left="4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99,275</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7"/>
              </w:rPr>
              <w:t>99,275</w:t>
            </w:r>
          </w:p>
        </w:tc>
        <w:tc>
          <w:tcPr>
            <w:tcW w:w="1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July 31, 2011: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10,897</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10,897</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cash flow hedges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10,897</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10,916</w:t>
            </w:r>
          </w:p>
        </w:tc>
        <w:tc>
          <w:tcPr>
            <w:tcW w:w="1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color w:val="auto"/>
              </w:rPr>
              <w:t>Foreign exchange contracts — cash flow hedges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20"/>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830</w:t>
            </w:r>
          </w:p>
        </w:tc>
        <w:tc>
          <w:tcPr>
            <w:tcW w:w="140" w:type="dxa"/>
            <w:vAlign w:val="bottom"/>
            <w:gridSpan w:val="2"/>
          </w:tcPr>
          <w:p>
            <w:pPr>
              <w:ind w:left="60"/>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830</w:t>
            </w:r>
          </w:p>
        </w:tc>
        <w:tc>
          <w:tcPr>
            <w:tcW w:w="3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net investment hedges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5,295</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8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3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denominated debt — net investment hedge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107,985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107,985</w:t>
            </w:r>
          </w:p>
        </w:tc>
        <w:tc>
          <w:tcPr>
            <w:tcW w:w="3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Long term obligations less current maturities</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ind w:left="4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114,112</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2"/>
              </w:rPr>
              <w:t>114,112</w:t>
            </w:r>
          </w:p>
        </w:tc>
        <w:tc>
          <w:tcPr>
            <w:tcW w:w="1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44"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 Level</w:t>
      </w:r>
      <w:r>
        <w:rPr>
          <w:rFonts w:ascii="Arial" w:cs="Arial" w:eastAsia="Arial" w:hAnsi="Arial"/>
          <w:sz w:val="16"/>
          <w:szCs w:val="16"/>
          <w:i w:val="1"/>
          <w:iCs w:val="1"/>
          <w:color w:val="auto"/>
        </w:rPr>
        <w:t xml:space="preserve"> </w:t>
      </w:r>
      <w:r>
        <w:rPr>
          <w:rFonts w:ascii="Arial" w:cs="Arial" w:eastAsia="Arial" w:hAnsi="Arial"/>
          <w:sz w:val="16"/>
          <w:szCs w:val="16"/>
          <w:color w:val="auto"/>
        </w:rPr>
        <w:t>1 as the shares of these investments trade with sufficient frequency and volume to enable us to obtain pricing information on an ongoing basis.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 value was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of the future cash flows using external models that use observable inputs, such as interest rates, yield curves and foreign currency exchange rates. See Note K, “Derivatives and Hedging Activities” for additional information.</w:t>
      </w:r>
    </w:p>
    <w:p>
      <w:pPr>
        <w:spacing w:after="0" w:line="113"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i w:val="1"/>
          <w:iCs w:val="1"/>
          <w:color w:val="auto"/>
        </w:rPr>
        <w:t xml:space="preserve">Foreign currency denominated debt — net investment hedge: </w:t>
      </w:r>
      <w:r>
        <w:rPr>
          <w:rFonts w:ascii="Arial" w:cs="Arial" w:eastAsia="Arial" w:hAnsi="Arial"/>
          <w:sz w:val="16"/>
          <w:szCs w:val="16"/>
          <w:color w:val="auto"/>
        </w:rPr>
        <w:t>The Company’s foreign currency denominated debt designated as a net investment hedge was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transfers of assets or liabilities between the fair value hierarchy levels, outlined above, during the six months ended January 31, 2012.</w:t>
      </w:r>
    </w:p>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could include cash, notes receivable, accounts receivable, accounts payable, accrued liabilities and short-term and long-term debt. The fair values of cash, accounts receivable, accounts payable, accrued liabilities and short-term debt approximated carrying values because of the short-term nature of these instruments.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estimated fair value of the Company’s long-term obligations, based on the quoted market prices for similar issues and on the current rates offered for debt of similar maturities, was $408,431 and $416,694 at January 31, 2012 and July 31, 2011, respectively, as compared to the carrying value of $384,335 and $393,178 at January 31, 2012 and July 31, 2011, respectively.</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three months ended January 31, 2012, goodwill with a carrying amount of $163,702 in the North/South Asia reporting unit was written down to its estimated implied fair value of $48,014, resulting in a non-cash impairment charge of $115,688. The implied fair value of goodwill of $48,014 represents a Level 3 asset measured at fair value on a nonrecurring basis subsequent to its original recognition. Refer to Note B, “Goodwill and Intangible Assets” for further information regarding the valuation inputs.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NOTE J—Restructuring</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The Company continued the execution of its restructuring actions during fiscal 2011. These actions included a reduction in its contract labor and decreased discretionary spending. As a result of these actions, the Company recorded restructuring charges of $2,134 and $5,775 during the three and six months ended January 31, 2011. The restructuring charges of $5,775 during the six months ended January 31, 2011 consisted of $3,878 of employee separation costs, $1,714 of fixed asset write-offs, and $183 of other facility closure related costs and contract termination costs. Of the $5,775 of restructuring charges recorded during the six months ended January 31, 2011, $3,575 was incurred in the Americas, $2,128 was incurred in Europe, and $72 was incurred in Asia-Pacific.</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restructuring activity during the six months ended January 31, 2012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July 31, 2011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8"/>
                <w:szCs w:val="18"/>
                <w:color w:val="auto"/>
              </w:rPr>
              <w:t>Cash payments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 12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products purchased in other than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2012 and July 31, 2011, the notional amount of outstanding forward exchange contracts was $39,278 and $80,807, respectively.</w:t>
      </w:r>
    </w:p>
    <w:p>
      <w:pPr>
        <w:spacing w:after="0" w:line="8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three-month or six-month periods ended January 31, 2012 and 2011.</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Singapore Dollar, Swedish Krona, Japanese Yen, Swiss Franc, and the Korean Won. Generally, these risk management transactions will involve the use of foreign currency derivatives to protect against exposure resulting from sales and identified inventory or other asset purchases.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January 31, 2012 and July 31, 2011, unrealized gains of $807 and unrealized losses of $1,535 have been included in OCI, respectively. All balances are expected to be reclassified from OCI to earnings during the next twelve months when the hedged transactions impact earnings.</w:t>
      </w:r>
    </w:p>
    <w:p>
      <w:pPr>
        <w:spacing w:after="0" w:line="89"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At January 31, 2012 and July 31, 2011, the Company had $665 and $16 of forward exchange contracts designated as cash flow hedges included in “Prepaid expenses and other current assets” on the accompanying Condensed Consolidated Balance Sheets. At January 31, 2012 and July 31, 2011, the Company had $132 and $830, respectively, of forward exchange contracts designated as cash flow hedges included in “Other current liabilities” on the accompanying Condensed Consolidated Balance Sheets. At January 31, 2012 and July 31, 2011, the U.S. dollar equivalent of these outstanding forward foreign exchange contracts totaled $18,462 and $30,519, respectively, including contracts to sell Euros, Canadian Dollars, Australian Dollars, British Pounds, U.S. Dollars, and Swiss Franc.</w:t>
      </w:r>
    </w:p>
    <w:p>
      <w:pPr>
        <w:spacing w:after="0" w:line="7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investments hedges. During the six months ended January 31, 2012, the Company designated €4,581 of intercompany loans as net investment hedges to hedge portions of its net investment in European foreign operations. No intercompany loans were designated as net investment hedges as of July 31, 2011. 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publicized spot prices.</w:t>
      </w:r>
    </w:p>
    <w:p>
      <w:pPr>
        <w:spacing w:after="0" w:line="9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Additionally, the Company utilizes forward foreign exchange currency contracts designated as hedge instruments to hedge portions of the Company’s net investments in foreign operations. For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January 31, 2012 and July 31, 2011, the Company had $1 and $0, respectively, of forward exchange currency contracts designated as net investment hedges included in “Prepaid expenses and other current assets” on the Condensed Consolidated Balance Sheets. At January 31, 2012 and July 31, 2011, the Company had $0 and $5,295, respectively, of forward foreign exchange currency contracts designated as net investment hedges included in “Other current liabilities” on the Condensed Consolidated Balance Sheet. At January 31, 2012 and July 31, 2011, the U.S dollar equivalent of these outstanding forward foreign exchange contracts totaled $10,000 and $50,000, respectively, including contracts to sell Euros and Singapore Dollars.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720" w:type="dxa"/>
            <w:vAlign w:val="bottom"/>
            <w:tcBorders>
              <w:bottom w:val="single" w:sz="8" w:color="auto"/>
            </w:tcBorders>
          </w:tcPr>
          <w:p>
            <w:pPr>
              <w:ind w:left="580"/>
              <w:spacing w:after="0" w:line="156" w:lineRule="exact"/>
              <w:rPr>
                <w:sz w:val="20"/>
                <w:szCs w:val="20"/>
                <w:color w:val="auto"/>
              </w:rPr>
            </w:pPr>
            <w:r>
              <w:rPr>
                <w:rFonts w:ascii="Arial" w:cs="Arial" w:eastAsia="Arial" w:hAnsi="Arial"/>
                <w:sz w:val="14"/>
                <w:szCs w:val="14"/>
                <w:b w:val="1"/>
                <w:bCs w:val="1"/>
                <w:color w:val="auto"/>
                <w:w w:val="99"/>
              </w:rPr>
              <w:t>January 31, 2012</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Borders>
              <w:bottom w:val="single" w:sz="8" w:color="auto"/>
            </w:tcBorders>
          </w:tcPr>
          <w:p>
            <w:pPr>
              <w:ind w:left="720"/>
              <w:spacing w:after="0" w:line="156" w:lineRule="exact"/>
              <w:rPr>
                <w:sz w:val="20"/>
                <w:szCs w:val="20"/>
                <w:color w:val="auto"/>
              </w:rPr>
            </w:pPr>
            <w:r>
              <w:rPr>
                <w:rFonts w:ascii="Arial" w:cs="Arial" w:eastAsia="Arial" w:hAnsi="Arial"/>
                <w:sz w:val="14"/>
                <w:szCs w:val="14"/>
                <w:b w:val="1"/>
                <w:bCs w:val="1"/>
                <w:color w:val="auto"/>
              </w:rPr>
              <w:t>July 31, 2011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bottom w:val="single" w:sz="8" w:color="auto"/>
            </w:tcBorders>
          </w:tcPr>
          <w:p>
            <w:pPr>
              <w:ind w:left="620"/>
              <w:spacing w:after="0" w:line="156" w:lineRule="exact"/>
              <w:rPr>
                <w:sz w:val="20"/>
                <w:szCs w:val="20"/>
                <w:color w:val="auto"/>
              </w:rPr>
            </w:pPr>
            <w:r>
              <w:rPr>
                <w:rFonts w:ascii="Arial" w:cs="Arial" w:eastAsia="Arial" w:hAnsi="Arial"/>
                <w:sz w:val="14"/>
                <w:szCs w:val="14"/>
                <w:b w:val="1"/>
                <w:bCs w:val="1"/>
                <w:color w:val="auto"/>
                <w:w w:val="90"/>
              </w:rPr>
              <w:t>January 31, 2012</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Borders>
              <w:bottom w:val="single" w:sz="8" w:color="auto"/>
            </w:tcBorders>
          </w:tcPr>
          <w:p>
            <w:pPr>
              <w:ind w:left="760"/>
              <w:spacing w:after="0" w:line="156" w:lineRule="exact"/>
              <w:rPr>
                <w:sz w:val="20"/>
                <w:szCs w:val="20"/>
                <w:color w:val="auto"/>
              </w:rPr>
            </w:pPr>
            <w:r>
              <w:rPr>
                <w:rFonts w:ascii="Arial" w:cs="Arial" w:eastAsia="Arial" w:hAnsi="Arial"/>
                <w:sz w:val="14"/>
                <w:szCs w:val="14"/>
                <w:b w:val="1"/>
                <w:bCs w:val="1"/>
                <w:color w:val="auto"/>
              </w:rPr>
              <w:t>July 31, 2011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0" w:type="dxa"/>
            <w:vAlign w:val="bottom"/>
            <w:gridSpan w:val="4"/>
            <w:vMerge w:val="continue"/>
          </w:tcPr>
          <w:p>
            <w:pPr>
              <w:spacing w:after="0"/>
              <w:rPr>
                <w:sz w:val="10"/>
                <w:szCs w:val="10"/>
                <w:color w:val="auto"/>
              </w:rPr>
            </w:pPr>
          </w:p>
        </w:tc>
        <w:tc>
          <w:tcPr>
            <w:tcW w:w="17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00" w:type="dxa"/>
            <w:vAlign w:val="bottom"/>
            <w:gridSpan w:val="4"/>
          </w:tcPr>
          <w:p>
            <w:pPr>
              <w:spacing w:after="0"/>
              <w:rPr>
                <w:sz w:val="20"/>
                <w:szCs w:val="20"/>
                <w:color w:val="auto"/>
              </w:rPr>
            </w:pPr>
            <w:r>
              <w:rPr>
                <w:rFonts w:ascii="Arial" w:cs="Arial" w:eastAsia="Arial" w:hAnsi="Arial"/>
                <w:sz w:val="14"/>
                <w:szCs w:val="14"/>
                <w:b w:val="1"/>
                <w:bCs w:val="1"/>
                <w:color w:val="auto"/>
              </w:rPr>
              <w:t>designated as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78"/>
              </w:rPr>
              <w:t>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Fair</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hedging instruments</w:t>
            </w: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Location</w:t>
            </w:r>
          </w:p>
        </w:tc>
        <w:tc>
          <w:tcPr>
            <w:tcW w:w="120" w:type="dxa"/>
            <w:vAlign w:val="bottom"/>
          </w:tcPr>
          <w:p>
            <w:pPr>
              <w:spacing w:after="0"/>
              <w:rPr>
                <w:sz w:val="12"/>
                <w:szCs w:val="12"/>
                <w:color w:val="auto"/>
              </w:rPr>
            </w:pPr>
          </w:p>
        </w:tc>
        <w:tc>
          <w:tcPr>
            <w:tcW w:w="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2"/>
                <w:szCs w:val="12"/>
                <w:color w:val="auto"/>
              </w:rPr>
            </w:pPr>
          </w:p>
        </w:tc>
        <w:tc>
          <w:tcPr>
            <w:tcW w:w="1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Location</w:t>
            </w:r>
          </w:p>
        </w:tc>
        <w:tc>
          <w:tcPr>
            <w:tcW w:w="120" w:type="dxa"/>
            <w:vAlign w:val="bottom"/>
          </w:tcPr>
          <w:p>
            <w:pPr>
              <w:spacing w:after="0"/>
              <w:rPr>
                <w:sz w:val="12"/>
                <w:szCs w:val="12"/>
                <w:color w:val="auto"/>
              </w:rPr>
            </w:pPr>
          </w:p>
        </w:tc>
        <w:tc>
          <w:tcPr>
            <w:tcW w:w="3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c>
          <w:tcPr>
            <w:tcW w:w="1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Location</w:t>
            </w:r>
          </w:p>
        </w:tc>
        <w:tc>
          <w:tcPr>
            <w:tcW w:w="100" w:type="dxa"/>
            <w:vAlign w:val="bottom"/>
          </w:tcPr>
          <w:p>
            <w:pPr>
              <w:spacing w:after="0"/>
              <w:rPr>
                <w:sz w:val="12"/>
                <w:szCs w:val="12"/>
                <w:color w:val="auto"/>
              </w:rPr>
            </w:pPr>
          </w:p>
        </w:tc>
        <w:tc>
          <w:tcPr>
            <w:tcW w:w="6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Value</w:t>
            </w:r>
          </w:p>
        </w:tc>
        <w:tc>
          <w:tcPr>
            <w:tcW w:w="1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Location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80" w:type="dxa"/>
            <w:vAlign w:val="bottom"/>
            <w:gridSpan w:val="3"/>
            <w:shd w:val="clear" w:color="auto" w:fill="CCEEFF"/>
          </w:tcPr>
          <w:p>
            <w:pPr>
              <w:spacing w:after="0" w:line="116" w:lineRule="exact"/>
              <w:rPr>
                <w:sz w:val="20"/>
                <w:szCs w:val="20"/>
                <w:color w:val="auto"/>
              </w:rPr>
            </w:pPr>
            <w:r>
              <w:rPr>
                <w:rFonts w:ascii="Arial" w:cs="Arial" w:eastAsia="Arial" w:hAnsi="Arial"/>
                <w:sz w:val="12"/>
                <w:szCs w:val="12"/>
                <w:color w:val="auto"/>
              </w:rPr>
              <w:t>Cash flow hedges</w:t>
            </w: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Foreign exchange contracts</w:t>
            </w:r>
          </w:p>
        </w:tc>
        <w:tc>
          <w:tcPr>
            <w:tcW w:w="1720" w:type="dxa"/>
            <w:vAlign w:val="bottom"/>
          </w:tcPr>
          <w:p>
            <w:pPr>
              <w:spacing w:after="0" w:line="138" w:lineRule="exact"/>
              <w:rPr>
                <w:sz w:val="20"/>
                <w:szCs w:val="20"/>
                <w:color w:val="auto"/>
              </w:rPr>
            </w:pPr>
            <w:r>
              <w:rPr>
                <w:rFonts w:ascii="Arial" w:cs="Arial" w:eastAsia="Arial" w:hAnsi="Arial"/>
                <w:sz w:val="14"/>
                <w:szCs w:val="14"/>
                <w:color w:val="auto"/>
                <w:w w:val="97"/>
              </w:rPr>
              <w:t>Prepaid expenses and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98"/>
              </w:rPr>
              <w:t>Prepaid expenses and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59" w:lineRule="exact"/>
              <w:rPr>
                <w:sz w:val="20"/>
                <w:szCs w:val="20"/>
                <w:color w:val="auto"/>
              </w:rPr>
            </w:pPr>
            <w:r>
              <w:rPr>
                <w:rFonts w:ascii="Arial" w:cs="Arial" w:eastAsia="Arial" w:hAnsi="Arial"/>
                <w:sz w:val="14"/>
                <w:szCs w:val="14"/>
                <w:color w:val="auto"/>
                <w:w w:val="76"/>
              </w:rPr>
              <w:t>665</w:t>
            </w:r>
          </w:p>
        </w:tc>
        <w:tc>
          <w:tcPr>
            <w:tcW w:w="19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8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132</w:t>
            </w: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3"/>
          </w:tcPr>
          <w:p>
            <w:pPr>
              <w:ind w:left="200"/>
              <w:spacing w:after="0" w:line="138" w:lineRule="exact"/>
              <w:rPr>
                <w:sz w:val="20"/>
                <w:szCs w:val="20"/>
                <w:color w:val="auto"/>
              </w:rPr>
            </w:pPr>
            <w:r>
              <w:rPr>
                <w:rFonts w:ascii="Arial" w:cs="Arial" w:eastAsia="Arial" w:hAnsi="Arial"/>
                <w:sz w:val="14"/>
                <w:szCs w:val="14"/>
                <w:color w:val="auto"/>
              </w:rPr>
              <w:t>Foreign exchange contracts</w:t>
            </w:r>
          </w:p>
        </w:tc>
        <w:tc>
          <w:tcPr>
            <w:tcW w:w="1720" w:type="dxa"/>
            <w:vAlign w:val="bottom"/>
          </w:tcPr>
          <w:p>
            <w:pPr>
              <w:spacing w:after="0" w:line="138" w:lineRule="exact"/>
              <w:rPr>
                <w:sz w:val="20"/>
                <w:szCs w:val="20"/>
                <w:color w:val="auto"/>
              </w:rPr>
            </w:pPr>
            <w:r>
              <w:rPr>
                <w:rFonts w:ascii="Arial" w:cs="Arial" w:eastAsia="Arial" w:hAnsi="Arial"/>
                <w:sz w:val="14"/>
                <w:szCs w:val="14"/>
                <w:color w:val="auto"/>
                <w:w w:val="97"/>
              </w:rPr>
              <w:t>Prepaid expenses and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2"/>
          </w:tcPr>
          <w:p>
            <w:pPr>
              <w:ind w:left="180"/>
              <w:spacing w:after="0" w:line="138" w:lineRule="exact"/>
              <w:rPr>
                <w:sz w:val="20"/>
                <w:szCs w:val="20"/>
                <w:color w:val="auto"/>
              </w:rPr>
            </w:pPr>
            <w:r>
              <w:rPr>
                <w:rFonts w:ascii="Arial" w:cs="Arial" w:eastAsia="Arial" w:hAnsi="Arial"/>
                <w:sz w:val="14"/>
                <w:szCs w:val="14"/>
                <w:color w:val="auto"/>
                <w:w w:val="98"/>
              </w:rPr>
              <w:t>Prepaid expenses and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1</w:t>
            </w:r>
          </w:p>
        </w:tc>
        <w:tc>
          <w:tcPr>
            <w:tcW w:w="19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12"/>
              <w:spacing w:after="0" w:line="159" w:lineRule="exact"/>
              <w:rPr>
                <w:sz w:val="20"/>
                <w:szCs w:val="20"/>
                <w:color w:val="auto"/>
              </w:rPr>
            </w:pPr>
            <w:r>
              <w:rPr>
                <w:rFonts w:ascii="Arial" w:cs="Arial" w:eastAsia="Arial" w:hAnsi="Arial"/>
                <w:sz w:val="14"/>
                <w:szCs w:val="14"/>
                <w:color w:val="auto"/>
                <w:w w:val="99"/>
              </w:rPr>
              <w:t>—</w:t>
            </w:r>
          </w:p>
        </w:tc>
        <w:tc>
          <w:tcPr>
            <w:tcW w:w="18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5,295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Foreign currency denominated</w:t>
            </w: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Prepaid expenses and other</w:t>
            </w: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92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w w:val="98"/>
              </w:rPr>
              <w:t>Prepaid expenses and other</w:t>
            </w: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8"/>
              </w:rPr>
              <w:t>Long term obligations, less</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Long term obligations, less</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gridSpan w:val="3"/>
            <w:shd w:val="clear" w:color="auto" w:fill="CCEEFF"/>
          </w:tcPr>
          <w:p>
            <w:pPr>
              <w:ind w:left="420"/>
              <w:spacing w:after="0" w:line="159" w:lineRule="exact"/>
              <w:rPr>
                <w:sz w:val="20"/>
                <w:szCs w:val="20"/>
                <w:color w:val="auto"/>
              </w:rPr>
            </w:pPr>
            <w:r>
              <w:rPr>
                <w:rFonts w:ascii="Arial" w:cs="Arial" w:eastAsia="Arial" w:hAnsi="Arial"/>
                <w:sz w:val="14"/>
                <w:szCs w:val="14"/>
                <w:color w:val="auto"/>
              </w:rPr>
              <w:t>debt</w:t>
            </w: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w:t>
            </w:r>
          </w:p>
        </w:tc>
        <w:tc>
          <w:tcPr>
            <w:tcW w:w="18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current maturities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79"/>
              </w:rPr>
              <w:t>99,142</w:t>
            </w: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current maturities</w:t>
            </w:r>
          </w:p>
        </w:tc>
        <w:tc>
          <w:tcPr>
            <w:tcW w:w="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107,985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00" w:type="dxa"/>
            <w:vAlign w:val="bottom"/>
            <w:gridSpan w:val="4"/>
          </w:tcPr>
          <w:p>
            <w:pPr>
              <w:spacing w:after="0" w:line="145" w:lineRule="exact"/>
              <w:rPr>
                <w:sz w:val="20"/>
                <w:szCs w:val="20"/>
                <w:color w:val="auto"/>
              </w:rPr>
            </w:pPr>
            <w:r>
              <w:rPr>
                <w:rFonts w:ascii="Arial" w:cs="Arial" w:eastAsia="Arial" w:hAnsi="Arial"/>
                <w:sz w:val="14"/>
                <w:szCs w:val="14"/>
                <w:color w:val="auto"/>
              </w:rPr>
              <w:t>Total derivatives designated as</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hedging instruments</w:t>
            </w:r>
          </w:p>
        </w:tc>
        <w:tc>
          <w:tcPr>
            <w:tcW w:w="1720" w:type="dxa"/>
            <w:vAlign w:val="bottom"/>
          </w:tcPr>
          <w:p>
            <w:pPr>
              <w:spacing w:after="0"/>
              <w:rPr>
                <w:sz w:val="13"/>
                <w:szCs w:val="13"/>
                <w:color w:val="auto"/>
              </w:rPr>
            </w:pP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59" w:lineRule="exact"/>
              <w:rPr>
                <w:sz w:val="20"/>
                <w:szCs w:val="20"/>
                <w:color w:val="auto"/>
              </w:rPr>
            </w:pPr>
            <w:r>
              <w:rPr>
                <w:rFonts w:ascii="Arial" w:cs="Arial" w:eastAsia="Arial" w:hAnsi="Arial"/>
                <w:sz w:val="14"/>
                <w:szCs w:val="14"/>
                <w:color w:val="auto"/>
                <w:w w:val="76"/>
              </w:rPr>
              <w:t>666</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79"/>
              </w:rPr>
              <w:t>99,274</w:t>
            </w:r>
          </w:p>
        </w:tc>
        <w:tc>
          <w:tcPr>
            <w:tcW w:w="1660" w:type="dxa"/>
            <w:vAlign w:val="bottom"/>
          </w:tcPr>
          <w:p>
            <w:pPr>
              <w:spacing w:after="0"/>
              <w:rPr>
                <w:sz w:val="13"/>
                <w:szCs w:val="13"/>
                <w:color w:val="auto"/>
              </w:rPr>
            </w:pP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u w:val="single" w:color="auto"/>
                <w:color w:val="auto"/>
              </w:rPr>
              <w:t>$</w:t>
            </w: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2"/>
              </w:rPr>
              <w:t>114,110</w:t>
            </w:r>
          </w:p>
        </w:tc>
        <w:tc>
          <w:tcPr>
            <w:tcW w:w="0" w:type="dxa"/>
            <w:vAlign w:val="bottom"/>
          </w:tcPr>
          <w:p>
            <w:pPr>
              <w:spacing w:after="0"/>
              <w:rPr>
                <w:sz w:val="1"/>
                <w:szCs w:val="1"/>
                <w:color w:val="auto"/>
              </w:rPr>
            </w:pPr>
          </w:p>
        </w:tc>
      </w:tr>
      <w:tr>
        <w:trPr>
          <w:trHeight w:val="20"/>
        </w:trPr>
        <w:tc>
          <w:tcPr>
            <w:tcW w:w="2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0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designated as hedging</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00" w:type="dxa"/>
            <w:vAlign w:val="bottom"/>
            <w:gridSpan w:val="4"/>
          </w:tcPr>
          <w:p>
            <w:pPr>
              <w:spacing w:after="0"/>
              <w:rPr>
                <w:sz w:val="20"/>
                <w:szCs w:val="20"/>
                <w:color w:val="auto"/>
              </w:rPr>
            </w:pPr>
            <w:r>
              <w:rPr>
                <w:rFonts w:ascii="Arial" w:cs="Arial" w:eastAsia="Arial" w:hAnsi="Arial"/>
                <w:sz w:val="14"/>
                <w:szCs w:val="14"/>
                <w:b w:val="1"/>
                <w:bCs w:val="1"/>
                <w:color w:val="auto"/>
              </w:rPr>
              <w:t>instruments</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3"/>
            <w:shd w:val="clear" w:color="auto" w:fill="CCEEFF"/>
          </w:tcPr>
          <w:p>
            <w:pPr>
              <w:ind w:left="200"/>
              <w:spacing w:after="0" w:line="131" w:lineRule="exact"/>
              <w:rPr>
                <w:sz w:val="20"/>
                <w:szCs w:val="20"/>
                <w:color w:val="auto"/>
              </w:rPr>
            </w:pPr>
            <w:r>
              <w:rPr>
                <w:rFonts w:ascii="Arial" w:cs="Arial" w:eastAsia="Arial" w:hAnsi="Arial"/>
                <w:sz w:val="14"/>
                <w:szCs w:val="14"/>
                <w:color w:val="auto"/>
              </w:rPr>
              <w:t>Foreign exchange contracts</w:t>
            </w:r>
          </w:p>
        </w:tc>
        <w:tc>
          <w:tcPr>
            <w:tcW w:w="1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7"/>
              </w:rPr>
              <w:t>Prepaid expenses and other</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ind w:left="180"/>
              <w:spacing w:after="0" w:line="131" w:lineRule="exact"/>
              <w:rPr>
                <w:sz w:val="20"/>
                <w:szCs w:val="20"/>
                <w:color w:val="auto"/>
              </w:rPr>
            </w:pPr>
            <w:r>
              <w:rPr>
                <w:rFonts w:ascii="Arial" w:cs="Arial" w:eastAsia="Arial" w:hAnsi="Arial"/>
                <w:sz w:val="14"/>
                <w:szCs w:val="14"/>
                <w:color w:val="auto"/>
                <w:w w:val="98"/>
              </w:rPr>
              <w:t>Prepaid expenses and other</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8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w:t>
            </w:r>
          </w:p>
        </w:tc>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00" w:type="dxa"/>
            <w:vAlign w:val="bottom"/>
            <w:gridSpan w:val="4"/>
          </w:tcPr>
          <w:p>
            <w:pPr>
              <w:spacing w:after="0" w:line="145" w:lineRule="exact"/>
              <w:rPr>
                <w:sz w:val="20"/>
                <w:szCs w:val="20"/>
                <w:color w:val="auto"/>
              </w:rPr>
            </w:pPr>
            <w:r>
              <w:rPr>
                <w:rFonts w:ascii="Arial" w:cs="Arial" w:eastAsia="Arial" w:hAnsi="Arial"/>
                <w:sz w:val="14"/>
                <w:szCs w:val="14"/>
                <w:color w:val="auto"/>
                <w:w w:val="91"/>
              </w:rPr>
              <w:t>Total derivatives not designated as</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hedging instruments</w:t>
            </w:r>
          </w:p>
        </w:tc>
        <w:tc>
          <w:tcPr>
            <w:tcW w:w="1720" w:type="dxa"/>
            <w:vAlign w:val="bottom"/>
          </w:tcPr>
          <w:p>
            <w:pPr>
              <w:spacing w:after="0"/>
              <w:rPr>
                <w:sz w:val="13"/>
                <w:szCs w:val="13"/>
                <w:color w:val="auto"/>
              </w:rPr>
            </w:pP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w:t>
            </w:r>
          </w:p>
        </w:tc>
        <w:tc>
          <w:tcPr>
            <w:tcW w:w="1660" w:type="dxa"/>
            <w:vAlign w:val="bottom"/>
          </w:tcPr>
          <w:p>
            <w:pPr>
              <w:spacing w:after="0"/>
              <w:rPr>
                <w:sz w:val="13"/>
                <w:szCs w:val="13"/>
                <w:color w:val="auto"/>
              </w:rPr>
            </w:pP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pre-tax effects of derivative instruments designated as cash flow hedges on the Condensed Consolidated Statements of Income consisted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in Cash Flow Hedging</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29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 of Gain</w:t>
            </w:r>
          </w:p>
        </w:tc>
        <w:tc>
          <w:tcPr>
            <w:tcW w:w="1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Location of</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 of Gain</w:t>
            </w:r>
          </w:p>
        </w:tc>
      </w:tr>
      <w:tr>
        <w:trPr>
          <w:trHeight w:val="149"/>
        </w:trPr>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r>
      <w:tr>
        <w:trPr>
          <w:trHeight w:val="149"/>
        </w:trPr>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r>
      <w:tr>
        <w:trPr>
          <w:trHeight w:val="149"/>
        </w:trPr>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6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From Accumulated</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Accumulated OCI</w:t>
            </w: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Income on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r>
      <w:tr>
        <w:trPr>
          <w:trHeight w:val="149"/>
        </w:trPr>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OCI on Derivative</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OCI into Income</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Into Income</w:t>
            </w:r>
          </w:p>
        </w:tc>
        <w:tc>
          <w:tcPr>
            <w:tcW w:w="16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r>
      <w:tr>
        <w:trPr>
          <w:trHeight w:val="161"/>
        </w:trPr>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(Effective Portion)</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1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(Ineffective Portion)</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(Ineffective Portion)</w:t>
            </w:r>
          </w:p>
        </w:tc>
      </w:tr>
      <w:tr>
        <w:trPr>
          <w:trHeight w:val="129"/>
        </w:trPr>
        <w:tc>
          <w:tcPr>
            <w:tcW w:w="11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Six months</w:t>
            </w:r>
          </w:p>
        </w:tc>
        <w:tc>
          <w:tcPr>
            <w:tcW w:w="1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Six months</w:t>
            </w:r>
          </w:p>
        </w:tc>
        <w:tc>
          <w:tcPr>
            <w:tcW w:w="1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Six months</w:t>
            </w:r>
          </w:p>
        </w:tc>
      </w:tr>
      <w:tr>
        <w:trPr>
          <w:trHeight w:val="161"/>
        </w:trPr>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ended January 31,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ended January 31,</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ended January 31,</w:t>
            </w:r>
          </w:p>
        </w:tc>
      </w:tr>
      <w:tr>
        <w:trPr>
          <w:trHeight w:val="140"/>
        </w:trPr>
        <w:tc>
          <w:tcPr>
            <w:tcW w:w="560" w:type="dxa"/>
            <w:vAlign w:val="bottom"/>
          </w:tcPr>
          <w:p>
            <w:pPr>
              <w:jc w:val="right"/>
              <w:ind w:right="112"/>
              <w:spacing w:after="0" w:line="140"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jc w:val="right"/>
              <w:ind w:right="52"/>
              <w:spacing w:after="0" w:line="140"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12"/>
              <w:spacing w:after="0" w:line="140"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jc w:val="right"/>
              <w:ind w:right="52"/>
              <w:spacing w:after="0" w:line="140"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0"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jc w:val="right"/>
              <w:ind w:right="92"/>
              <w:spacing w:after="0" w:line="140" w:lineRule="exact"/>
              <w:rPr>
                <w:sz w:val="20"/>
                <w:szCs w:val="20"/>
                <w:color w:val="auto"/>
              </w:rPr>
            </w:pPr>
            <w:r>
              <w:rPr>
                <w:rFonts w:ascii="Arial" w:cs="Arial" w:eastAsia="Arial" w:hAnsi="Arial"/>
                <w:sz w:val="14"/>
                <w:szCs w:val="14"/>
                <w:b w:val="1"/>
                <w:bCs w:val="1"/>
                <w:color w:val="auto"/>
              </w:rPr>
              <w:t>2011</w:t>
            </w:r>
          </w:p>
        </w:tc>
      </w:tr>
    </w:tbl>
    <w:p>
      <w:pPr>
        <w:spacing w:after="0" w:line="1" w:lineRule="exact"/>
        <w:rPr>
          <w:sz w:val="20"/>
          <w:szCs w:val="20"/>
          <w:color w:val="auto"/>
        </w:rPr>
      </w:pPr>
    </w:p>
    <w:p>
      <w:pPr>
        <w:sectPr>
          <w:pgSz w:w="11900" w:h="16838" w:orient="portrait"/>
          <w:cols w:equalWidth="0" w:num="2">
            <w:col w:w="4220" w:space="720"/>
            <w:col w:w="64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9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auto"/>
              </w:rPr>
              <w:t>Foreign exchange contracts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807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(1,296</w:t>
            </w:r>
          </w:p>
        </w:tc>
        <w:tc>
          <w:tcPr>
            <w:tcW w:w="18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CCEEFF"/>
            </w:tcBorders>
            <w:shd w:val="clear" w:color="auto" w:fill="CCEEFF"/>
          </w:tcPr>
          <w:p>
            <w:pPr>
              <w:ind w:left="120"/>
              <w:spacing w:after="0" w:line="144" w:lineRule="exact"/>
              <w:rPr>
                <w:sz w:val="20"/>
                <w:szCs w:val="20"/>
                <w:color w:val="auto"/>
              </w:rPr>
            </w:pPr>
            <w:r>
              <w:rPr>
                <w:rFonts w:ascii="Arial" w:cs="Arial" w:eastAsia="Arial" w:hAnsi="Arial"/>
                <w:sz w:val="14"/>
                <w:szCs w:val="14"/>
                <w:color w:val="auto"/>
                <w:w w:val="98"/>
              </w:rPr>
              <w:t>Cost of goods sold</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(635</w:t>
            </w:r>
          </w:p>
        </w:tc>
        <w:tc>
          <w:tcPr>
            <w:tcW w:w="16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(282</w:t>
            </w:r>
          </w:p>
        </w:tc>
        <w:tc>
          <w:tcPr>
            <w:tcW w:w="18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8"/>
                <w:szCs w:val="8"/>
                <w:color w:val="auto"/>
                <w:w w:val="73"/>
              </w:rPr>
              <w:t>)</w:t>
            </w:r>
          </w:p>
        </w:tc>
        <w:tc>
          <w:tcPr>
            <w:tcW w:w="1300" w:type="dxa"/>
            <w:vAlign w:val="bottom"/>
            <w:tcBorders>
              <w:top w:val="single" w:sz="8" w:color="CCEEFF"/>
            </w:tcBorders>
            <w:shd w:val="clear" w:color="auto" w:fill="CCEEFF"/>
          </w:tcPr>
          <w:p>
            <w:pPr>
              <w:ind w:left="140"/>
              <w:spacing w:after="0" w:line="144" w:lineRule="exact"/>
              <w:rPr>
                <w:sz w:val="20"/>
                <w:szCs w:val="20"/>
                <w:color w:val="auto"/>
              </w:rPr>
            </w:pPr>
            <w:r>
              <w:rPr>
                <w:rFonts w:ascii="Arial" w:cs="Arial" w:eastAsia="Arial" w:hAnsi="Arial"/>
                <w:sz w:val="14"/>
                <w:szCs w:val="14"/>
                <w:color w:val="auto"/>
                <w:w w:val="98"/>
              </w:rPr>
              <w:t>Cost of goods sold</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ind w:left="120"/>
              <w:spacing w:after="0" w:line="144"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56"/>
        </w:trPr>
        <w:tc>
          <w:tcPr>
            <w:tcW w:w="49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gridSpan w:val="2"/>
          </w:tcPr>
          <w:p>
            <w:pPr>
              <w:jc w:val="right"/>
              <w:ind w:right="97"/>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807</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1"/>
              <w:spacing w:after="0" w:line="155" w:lineRule="exact"/>
              <w:rPr>
                <w:sz w:val="20"/>
                <w:szCs w:val="20"/>
                <w:color w:val="auto"/>
              </w:rPr>
            </w:pPr>
            <w:r>
              <w:rPr>
                <w:rFonts w:ascii="Arial" w:cs="Arial" w:eastAsia="Arial" w:hAnsi="Arial"/>
                <w:sz w:val="14"/>
                <w:szCs w:val="14"/>
                <w:color w:val="auto"/>
                <w:w w:val="90"/>
              </w:rPr>
              <w:t>(1,296)</w:t>
            </w:r>
          </w:p>
        </w:tc>
        <w:tc>
          <w:tcPr>
            <w:tcW w:w="144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1"/>
              <w:spacing w:after="0" w:line="155" w:lineRule="exact"/>
              <w:rPr>
                <w:sz w:val="20"/>
                <w:szCs w:val="20"/>
                <w:color w:val="auto"/>
              </w:rPr>
            </w:pPr>
            <w:r>
              <w:rPr>
                <w:rFonts w:ascii="Arial" w:cs="Arial" w:eastAsia="Arial" w:hAnsi="Arial"/>
                <w:sz w:val="14"/>
                <w:szCs w:val="14"/>
                <w:color w:val="auto"/>
              </w:rPr>
              <w:t>(635)</w:t>
            </w: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1"/>
              <w:spacing w:after="0" w:line="155" w:lineRule="exact"/>
              <w:rPr>
                <w:sz w:val="20"/>
                <w:szCs w:val="20"/>
                <w:color w:val="auto"/>
              </w:rPr>
            </w:pPr>
            <w:r>
              <w:rPr>
                <w:rFonts w:ascii="Arial" w:cs="Arial" w:eastAsia="Arial" w:hAnsi="Arial"/>
                <w:sz w:val="14"/>
                <w:szCs w:val="14"/>
                <w:color w:val="auto"/>
              </w:rPr>
              <w:t>(282)</w:t>
            </w:r>
          </w:p>
        </w:tc>
        <w:tc>
          <w:tcPr>
            <w:tcW w:w="1480" w:type="dxa"/>
            <w:vAlign w:val="bottom"/>
            <w:gridSpan w:val="2"/>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pre-tax effects of derivative instruments designated as net investment hedges on the Condensed Consolidated Balance Sheet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89"/>
              </w:rPr>
              <w:t>Amount of Gain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Location of</w:t>
            </w:r>
          </w:p>
        </w:tc>
        <w:tc>
          <w:tcPr>
            <w:tcW w:w="20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Location of Gain or</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200" w:type="dxa"/>
            <w:vAlign w:val="bottom"/>
          </w:tcPr>
          <w:p>
            <w:pPr>
              <w:spacing w:after="0"/>
              <w:rPr>
                <w:sz w:val="12"/>
                <w:szCs w:val="12"/>
                <w:color w:val="auto"/>
              </w:rPr>
            </w:pPr>
          </w:p>
        </w:tc>
        <w:tc>
          <w:tcPr>
            <w:tcW w:w="1100" w:type="dxa"/>
            <w:vAlign w:val="bottom"/>
            <w:gridSpan w:val="3"/>
          </w:tcPr>
          <w:p>
            <w:pPr>
              <w:jc w:val="center"/>
              <w:ind w:left="353"/>
              <w:spacing w:after="0" w:line="149" w:lineRule="exact"/>
              <w:rPr>
                <w:sz w:val="20"/>
                <w:szCs w:val="20"/>
                <w:color w:val="auto"/>
              </w:rPr>
            </w:pPr>
            <w:r>
              <w:rPr>
                <w:rFonts w:ascii="Arial" w:cs="Arial" w:eastAsia="Arial" w:hAnsi="Arial"/>
                <w:sz w:val="14"/>
                <w:szCs w:val="14"/>
                <w:b w:val="1"/>
                <w:bCs w:val="1"/>
                <w:color w:val="auto"/>
                <w:w w:val="86"/>
              </w:rPr>
              <w:t>or (Loss)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Net</w:t>
            </w:r>
          </w:p>
        </w:tc>
        <w:tc>
          <w:tcPr>
            <w:tcW w:w="200" w:type="dxa"/>
            <w:vAlign w:val="bottom"/>
          </w:tcPr>
          <w:p>
            <w:pPr>
              <w:spacing w:after="0"/>
              <w:rPr>
                <w:sz w:val="12"/>
                <w:szCs w:val="12"/>
                <w:color w:val="auto"/>
              </w:rPr>
            </w:pPr>
          </w:p>
        </w:tc>
        <w:tc>
          <w:tcPr>
            <w:tcW w:w="1160" w:type="dxa"/>
            <w:vAlign w:val="bottom"/>
            <w:gridSpan w:val="3"/>
          </w:tcPr>
          <w:p>
            <w:pPr>
              <w:jc w:val="center"/>
              <w:ind w:left="313"/>
              <w:spacing w:after="0" w:line="149" w:lineRule="exact"/>
              <w:rPr>
                <w:sz w:val="20"/>
                <w:szCs w:val="20"/>
                <w:color w:val="auto"/>
              </w:rPr>
            </w:pPr>
            <w:r>
              <w:rPr>
                <w:rFonts w:ascii="Arial" w:cs="Arial" w:eastAsia="Arial" w:hAnsi="Arial"/>
                <w:sz w:val="14"/>
                <w:szCs w:val="14"/>
                <w:b w:val="1"/>
                <w:bCs w:val="1"/>
                <w:color w:val="auto"/>
                <w:w w:val="83"/>
              </w:rPr>
              <w:t>or (Loss)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00" w:type="dxa"/>
            <w:vAlign w:val="bottom"/>
          </w:tcPr>
          <w:p>
            <w:pPr>
              <w:spacing w:after="0"/>
              <w:rPr>
                <w:sz w:val="12"/>
                <w:szCs w:val="12"/>
                <w:color w:val="auto"/>
              </w:rPr>
            </w:pPr>
          </w:p>
        </w:tc>
        <w:tc>
          <w:tcPr>
            <w:tcW w:w="1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0" w:type="dxa"/>
            <w:vAlign w:val="bottom"/>
          </w:tcPr>
          <w:p>
            <w:pPr>
              <w:spacing w:after="0"/>
              <w:rPr>
                <w:sz w:val="1"/>
                <w:szCs w:val="1"/>
                <w:color w:val="auto"/>
              </w:rPr>
            </w:pPr>
          </w:p>
        </w:tc>
      </w:tr>
      <w:tr>
        <w:trPr>
          <w:trHeight w:val="148"/>
        </w:trPr>
        <w:tc>
          <w:tcPr>
            <w:tcW w:w="2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left="273"/>
              <w:spacing w:after="0" w:line="148" w:lineRule="exact"/>
              <w:rPr>
                <w:sz w:val="20"/>
                <w:szCs w:val="20"/>
                <w:color w:val="auto"/>
              </w:rPr>
            </w:pPr>
            <w:r>
              <w:rPr>
                <w:rFonts w:ascii="Arial" w:cs="Arial" w:eastAsia="Arial" w:hAnsi="Arial"/>
                <w:sz w:val="14"/>
                <w:szCs w:val="14"/>
                <w:b w:val="1"/>
                <w:bCs w:val="1"/>
                <w:color w:val="auto"/>
                <w:w w:val="86"/>
              </w:rPr>
              <w:t>Recognized in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From 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left="13"/>
              <w:spacing w:after="0" w:line="148" w:lineRule="exact"/>
              <w:rPr>
                <w:sz w:val="20"/>
                <w:szCs w:val="20"/>
                <w:color w:val="auto"/>
              </w:rPr>
            </w:pPr>
            <w:r>
              <w:rPr>
                <w:rFonts w:ascii="Arial" w:cs="Arial" w:eastAsia="Arial" w:hAnsi="Arial"/>
                <w:sz w:val="14"/>
                <w:szCs w:val="14"/>
                <w:b w:val="1"/>
                <w:bCs w:val="1"/>
                <w:color w:val="auto"/>
                <w:w w:val="90"/>
              </w:rPr>
              <w:t>Accumulated OCI</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Income on</w:t>
            </w:r>
          </w:p>
        </w:tc>
        <w:tc>
          <w:tcPr>
            <w:tcW w:w="200" w:type="dxa"/>
            <w:vAlign w:val="bottom"/>
          </w:tcPr>
          <w:p>
            <w:pPr>
              <w:spacing w:after="0"/>
              <w:rPr>
                <w:sz w:val="12"/>
                <w:szCs w:val="12"/>
                <w:color w:val="auto"/>
              </w:rPr>
            </w:pPr>
          </w:p>
        </w:tc>
        <w:tc>
          <w:tcPr>
            <w:tcW w:w="1100" w:type="dxa"/>
            <w:vAlign w:val="bottom"/>
            <w:gridSpan w:val="3"/>
          </w:tcPr>
          <w:p>
            <w:pPr>
              <w:jc w:val="center"/>
              <w:ind w:left="353"/>
              <w:spacing w:after="0" w:line="148" w:lineRule="exact"/>
              <w:rPr>
                <w:sz w:val="20"/>
                <w:szCs w:val="20"/>
                <w:color w:val="auto"/>
              </w:rPr>
            </w:pPr>
            <w:r>
              <w:rPr>
                <w:rFonts w:ascii="Arial" w:cs="Arial" w:eastAsia="Arial" w:hAnsi="Arial"/>
                <w:sz w:val="14"/>
                <w:szCs w:val="14"/>
                <w:b w:val="1"/>
                <w:bCs w:val="1"/>
                <w:color w:val="auto"/>
                <w:w w:val="85"/>
              </w:rPr>
              <w:t>Income 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Invesment Hedging</w:t>
            </w:r>
          </w:p>
        </w:tc>
        <w:tc>
          <w:tcPr>
            <w:tcW w:w="200" w:type="dxa"/>
            <w:vAlign w:val="bottom"/>
          </w:tcPr>
          <w:p>
            <w:pPr>
              <w:spacing w:after="0"/>
              <w:rPr>
                <w:sz w:val="12"/>
                <w:szCs w:val="12"/>
                <w:color w:val="auto"/>
              </w:rPr>
            </w:pPr>
          </w:p>
        </w:tc>
        <w:tc>
          <w:tcPr>
            <w:tcW w:w="18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OCI on Derivative</w:t>
            </w:r>
          </w:p>
        </w:tc>
        <w:tc>
          <w:tcPr>
            <w:tcW w:w="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OCI into Income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into Income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200" w:type="dxa"/>
            <w:vAlign w:val="bottom"/>
          </w:tcPr>
          <w:p>
            <w:pPr>
              <w:spacing w:after="0"/>
              <w:rPr>
                <w:sz w:val="12"/>
                <w:szCs w:val="12"/>
                <w:color w:val="auto"/>
              </w:rPr>
            </w:pPr>
          </w:p>
        </w:tc>
        <w:tc>
          <w:tcPr>
            <w:tcW w:w="1100" w:type="dxa"/>
            <w:vAlign w:val="bottom"/>
            <w:gridSpan w:val="3"/>
          </w:tcPr>
          <w:p>
            <w:pPr>
              <w:jc w:val="center"/>
              <w:ind w:left="353"/>
              <w:spacing w:after="0" w:line="149" w:lineRule="exact"/>
              <w:rPr>
                <w:sz w:val="20"/>
                <w:szCs w:val="20"/>
                <w:color w:val="auto"/>
              </w:rPr>
            </w:pPr>
            <w:r>
              <w:rPr>
                <w:rFonts w:ascii="Arial" w:cs="Arial" w:eastAsia="Arial" w:hAnsi="Arial"/>
                <w:sz w:val="14"/>
                <w:szCs w:val="14"/>
                <w:b w:val="1"/>
                <w:bCs w:val="1"/>
                <w:color w:val="auto"/>
                <w:w w:val="89"/>
              </w:rPr>
              <w:t>Derivative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0" w:type="dxa"/>
            <w:vAlign w:val="bottom"/>
          </w:tcPr>
          <w:p>
            <w:pPr>
              <w:spacing w:after="0"/>
              <w:rPr>
                <w:sz w:val="12"/>
                <w:szCs w:val="12"/>
                <w:color w:val="auto"/>
              </w:rPr>
            </w:pPr>
          </w:p>
        </w:tc>
        <w:tc>
          <w:tcPr>
            <w:tcW w:w="184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40" w:type="dxa"/>
            <w:vAlign w:val="bottom"/>
          </w:tcPr>
          <w:p>
            <w:pPr>
              <w:spacing w:after="0"/>
              <w:rPr>
                <w:sz w:val="12"/>
                <w:szCs w:val="12"/>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left="13"/>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(Ineffective Portion)</w:t>
            </w:r>
          </w:p>
        </w:tc>
        <w:tc>
          <w:tcPr>
            <w:tcW w:w="200" w:type="dxa"/>
            <w:vAlign w:val="bottom"/>
          </w:tcPr>
          <w:p>
            <w:pPr>
              <w:spacing w:after="0"/>
              <w:rPr>
                <w:sz w:val="12"/>
                <w:szCs w:val="12"/>
                <w:color w:val="auto"/>
              </w:rPr>
            </w:pPr>
          </w:p>
        </w:tc>
        <w:tc>
          <w:tcPr>
            <w:tcW w:w="1800" w:type="dxa"/>
            <w:vAlign w:val="bottom"/>
            <w:gridSpan w:val="5"/>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(Ineffective Portion)</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left="293"/>
              <w:spacing w:after="0" w:line="117" w:lineRule="exact"/>
              <w:rPr>
                <w:sz w:val="20"/>
                <w:szCs w:val="20"/>
                <w:color w:val="auto"/>
              </w:rPr>
            </w:pPr>
            <w:r>
              <w:rPr>
                <w:rFonts w:ascii="Arial" w:cs="Arial" w:eastAsia="Arial" w:hAnsi="Arial"/>
                <w:sz w:val="12"/>
                <w:szCs w:val="12"/>
                <w:b w:val="1"/>
                <w:bCs w:val="1"/>
                <w:color w:val="auto"/>
                <w:w w:val="98"/>
              </w:rPr>
              <w:t>Six months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tcPr>
          <w:p>
            <w:pPr>
              <w:jc w:val="center"/>
              <w:spacing w:after="0" w:line="117" w:lineRule="exact"/>
              <w:rPr>
                <w:sz w:val="20"/>
                <w:szCs w:val="20"/>
                <w:color w:val="auto"/>
              </w:rPr>
            </w:pPr>
            <w:r>
              <w:rPr>
                <w:rFonts w:ascii="Arial" w:cs="Arial" w:eastAsia="Arial" w:hAnsi="Arial"/>
                <w:sz w:val="12"/>
                <w:szCs w:val="12"/>
                <w:b w:val="1"/>
                <w:bCs w:val="1"/>
                <w:color w:val="auto"/>
                <w:w w:val="98"/>
              </w:rPr>
              <w:t>Six months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left="333"/>
              <w:spacing w:after="0" w:line="117" w:lineRule="exact"/>
              <w:rPr>
                <w:sz w:val="20"/>
                <w:szCs w:val="20"/>
                <w:color w:val="auto"/>
              </w:rPr>
            </w:pPr>
            <w:r>
              <w:rPr>
                <w:rFonts w:ascii="Arial" w:cs="Arial" w:eastAsia="Arial" w:hAnsi="Arial"/>
                <w:sz w:val="12"/>
                <w:szCs w:val="12"/>
                <w:b w:val="1"/>
                <w:bCs w:val="1"/>
                <w:color w:val="auto"/>
              </w:rPr>
              <w:t>Six months</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ended January 31,</w:t>
            </w: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86"/>
              </w:rPr>
              <w:t>ended January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ended January 31,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6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Foreign currency intercompany debt</w:t>
            </w: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CCEEFF"/>
            </w:tcBorders>
            <w:gridSpan w:val="2"/>
            <w:shd w:val="clear" w:color="auto" w:fill="CCEEFF"/>
          </w:tcPr>
          <w:p>
            <w:pPr>
              <w:ind w:left="40"/>
              <w:spacing w:after="0" w:line="118" w:lineRule="exact"/>
              <w:rPr>
                <w:sz w:val="20"/>
                <w:szCs w:val="20"/>
                <w:color w:val="auto"/>
              </w:rPr>
            </w:pPr>
            <w:r>
              <w:rPr>
                <w:rFonts w:ascii="Arial" w:cs="Arial" w:eastAsia="Arial" w:hAnsi="Arial"/>
                <w:sz w:val="12"/>
                <w:szCs w:val="12"/>
                <w:color w:val="auto"/>
                <w:w w:val="99"/>
              </w:rPr>
              <w:t>Investment and other</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CCEEFF"/>
            </w:tcBorders>
            <w:gridSpan w:val="3"/>
            <w:shd w:val="clear" w:color="auto" w:fill="CCEEFF"/>
          </w:tcPr>
          <w:p>
            <w:pPr>
              <w:ind w:left="120"/>
              <w:spacing w:after="0" w:line="118" w:lineRule="exact"/>
              <w:rPr>
                <w:sz w:val="20"/>
                <w:szCs w:val="20"/>
                <w:color w:val="auto"/>
              </w:rPr>
            </w:pPr>
            <w:r>
              <w:rPr>
                <w:rFonts w:ascii="Arial" w:cs="Arial" w:eastAsia="Arial" w:hAnsi="Arial"/>
                <w:sz w:val="12"/>
                <w:szCs w:val="12"/>
                <w:color w:val="auto"/>
              </w:rPr>
              <w:t>Investment and other</w:t>
            </w: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income — net</w:t>
            </w:r>
          </w:p>
        </w:tc>
        <w:tc>
          <w:tcPr>
            <w:tcW w:w="2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income — net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60" w:type="dxa"/>
            <w:vAlign w:val="bottom"/>
            <w:gridSpan w:val="2"/>
          </w:tcPr>
          <w:p>
            <w:pPr>
              <w:spacing w:after="0" w:line="138" w:lineRule="exact"/>
              <w:rPr>
                <w:sz w:val="20"/>
                <w:szCs w:val="20"/>
                <w:color w:val="auto"/>
              </w:rPr>
            </w:pPr>
            <w:r>
              <w:rPr>
                <w:rFonts w:ascii="Arial" w:cs="Arial" w:eastAsia="Arial" w:hAnsi="Arial"/>
                <w:sz w:val="14"/>
                <w:szCs w:val="14"/>
                <w:color w:val="auto"/>
              </w:rPr>
              <w:t>Foreign currency denominated debt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85"/>
              </w:rPr>
              <w:t>Investment and other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ind w:left="120"/>
              <w:spacing w:after="0" w:line="138" w:lineRule="exact"/>
              <w:rPr>
                <w:sz w:val="20"/>
                <w:szCs w:val="20"/>
                <w:color w:val="auto"/>
              </w:rPr>
            </w:pPr>
            <w:r>
              <w:rPr>
                <w:rFonts w:ascii="Arial" w:cs="Arial" w:eastAsia="Arial" w:hAnsi="Arial"/>
                <w:sz w:val="14"/>
                <w:szCs w:val="14"/>
                <w:color w:val="auto"/>
                <w:w w:val="91"/>
              </w:rPr>
              <w:t>Investment and 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8,843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(4,935)</w:t>
            </w:r>
          </w:p>
        </w:tc>
        <w:tc>
          <w:tcPr>
            <w:tcW w:w="11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income — net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ind w:left="6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income — net</w:t>
            </w:r>
          </w:p>
        </w:tc>
        <w:tc>
          <w:tcPr>
            <w:tcW w:w="20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85"/>
              </w:rPr>
              <w:t>Investment and other</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w w:val="91"/>
              </w:rPr>
              <w:t>Investment and other</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(1,013)</w:t>
            </w:r>
          </w:p>
        </w:tc>
        <w:tc>
          <w:tcPr>
            <w:tcW w:w="3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(5,082)</w:t>
            </w:r>
          </w:p>
        </w:tc>
        <w:tc>
          <w:tcPr>
            <w:tcW w:w="118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income — net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income — net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gridSpan w:val="2"/>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7,959</w:t>
            </w:r>
          </w:p>
        </w:tc>
        <w:tc>
          <w:tcPr>
            <w:tcW w:w="14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(10,017)</w:t>
            </w: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pre-tax effects of derivative instruments not designated as hedge instruments on the Condensed Consolidated Statements of Income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86"/>
              </w:rPr>
              <w:t>Amount of Gain or (Loss) Recognized in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Location of Gain or (Loss)</w:t>
            </w: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left="4"/>
              <w:spacing w:after="0"/>
              <w:rPr>
                <w:sz w:val="20"/>
                <w:szCs w:val="20"/>
                <w:color w:val="auto"/>
              </w:rPr>
            </w:pPr>
            <w:r>
              <w:rPr>
                <w:rFonts w:ascii="Arial" w:cs="Arial" w:eastAsia="Arial" w:hAnsi="Arial"/>
                <w:sz w:val="14"/>
                <w:szCs w:val="14"/>
                <w:b w:val="1"/>
                <w:bCs w:val="1"/>
                <w:color w:val="auto"/>
                <w:w w:val="88"/>
              </w:rPr>
              <w:t>Income on Derivative</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Not Designated as Hedging Instruments</w:t>
            </w:r>
          </w:p>
        </w:tc>
        <w:tc>
          <w:tcPr>
            <w:tcW w:w="3520" w:type="dxa"/>
            <w:vAlign w:val="bottom"/>
          </w:tcPr>
          <w:p>
            <w:pPr>
              <w:spacing w:after="0"/>
              <w:rPr>
                <w:sz w:val="12"/>
                <w:szCs w:val="12"/>
                <w:color w:val="auto"/>
              </w:rPr>
            </w:pP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200" w:type="dxa"/>
            <w:vAlign w:val="bottom"/>
          </w:tcPr>
          <w:p>
            <w:pPr>
              <w:spacing w:after="0"/>
              <w:rPr>
                <w:sz w:val="12"/>
                <w:szCs w:val="12"/>
                <w:color w:val="auto"/>
              </w:rPr>
            </w:pPr>
          </w:p>
        </w:tc>
        <w:tc>
          <w:tcPr>
            <w:tcW w:w="1180" w:type="dxa"/>
            <w:vAlign w:val="bottom"/>
          </w:tcPr>
          <w:p>
            <w:pPr>
              <w:jc w:val="right"/>
              <w:ind w:right="324"/>
              <w:spacing w:after="0" w:line="149" w:lineRule="exact"/>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12"/>
                <w:szCs w:val="12"/>
                <w:color w:val="auto"/>
              </w:rPr>
            </w:pPr>
          </w:p>
        </w:tc>
        <w:tc>
          <w:tcPr>
            <w:tcW w:w="1080" w:type="dxa"/>
            <w:vAlign w:val="bottom"/>
          </w:tcPr>
          <w:p>
            <w:pPr>
              <w:ind w:left="340"/>
              <w:spacing w:after="0" w:line="149" w:lineRule="exact"/>
              <w:rPr>
                <w:sz w:val="20"/>
                <w:szCs w:val="20"/>
                <w:color w:val="auto"/>
              </w:rPr>
            </w:pPr>
            <w:r>
              <w:rPr>
                <w:rFonts w:ascii="Arial" w:cs="Arial" w:eastAsia="Arial" w:hAnsi="Arial"/>
                <w:sz w:val="14"/>
                <w:szCs w:val="14"/>
                <w:b w:val="1"/>
                <w:bCs w:val="1"/>
                <w:color w:val="auto"/>
                <w:w w:val="95"/>
              </w:rPr>
              <w:t>Six 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tcBorders>
              <w:bottom w:val="single" w:sz="8" w:color="auto"/>
            </w:tcBorders>
            <w:vMerge w:val="continue"/>
          </w:tcPr>
          <w:p>
            <w:pPr>
              <w:spacing w:after="0"/>
              <w:rPr>
                <w:sz w:val="14"/>
                <w:szCs w:val="14"/>
                <w:color w:val="auto"/>
              </w:rPr>
            </w:pPr>
          </w:p>
        </w:tc>
        <w:tc>
          <w:tcPr>
            <w:tcW w:w="3520" w:type="dxa"/>
            <w:vAlign w:val="bottom"/>
          </w:tcPr>
          <w:p>
            <w:pPr>
              <w:spacing w:after="0"/>
              <w:rPr>
                <w:sz w:val="14"/>
                <w:szCs w:val="14"/>
                <w:color w:val="auto"/>
              </w:rPr>
            </w:pPr>
          </w:p>
        </w:tc>
        <w:tc>
          <w:tcPr>
            <w:tcW w:w="16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8"/>
              </w:rPr>
              <w:t>on Derivative</w:t>
            </w:r>
          </w:p>
        </w:tc>
        <w:tc>
          <w:tcPr>
            <w:tcW w:w="1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ended January 31, 2012</w:t>
            </w:r>
          </w:p>
        </w:tc>
        <w:tc>
          <w:tcPr>
            <w:tcW w:w="2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ended January 31, 2011</w:t>
            </w:r>
          </w:p>
        </w:tc>
        <w:tc>
          <w:tcPr>
            <w:tcW w:w="0" w:type="dxa"/>
            <w:vAlign w:val="bottom"/>
          </w:tcPr>
          <w:p>
            <w:pPr>
              <w:spacing w:after="0"/>
              <w:rPr>
                <w:sz w:val="1"/>
                <w:szCs w:val="1"/>
                <w:color w:val="auto"/>
              </w:rPr>
            </w:pPr>
          </w:p>
        </w:tc>
      </w:tr>
      <w:tr>
        <w:trPr>
          <w:trHeight w:val="195"/>
        </w:trPr>
        <w:tc>
          <w:tcPr>
            <w:tcW w:w="31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Foreign exchange contracts</w:t>
            </w:r>
          </w:p>
        </w:tc>
        <w:tc>
          <w:tcPr>
            <w:tcW w:w="35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Other income</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4"/>
              </w:rPr>
              <w:t>(expense)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L — Acquisitions and Divestitures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comparability of the operating results for the three and six months ended January 31, 2012, to the three and six months ended January 31, 2011, have been impacted by the prior year acquisition of ID Warehouse. In November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 Pacific segment.</w:t>
      </w:r>
    </w:p>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comparability of the operating results for the three and six months ended January 31, 2012, to the three and six months ended January 31, 2011, have been impacted by the prior year divestiture of Teklynx. In December 2010, the Company sold its Teklynx business, a barcode software company. The Teklynx business had operations primarily in the Company’s Americas and Europe segments. The Company received proceeds of $12,979, net of cash retained in the business. The transaction resulted in a pre-tax gain of $4,394, which was accounted for in “Selling, general, and administrative expenses” (“SG&amp;A”) on the Condensed Consolidated Statement of Income for the three and six month periods ended January 31, 2011. The divestiture of Teklynx was part of the Company’s continued long-term growth strategy to focus the Company’s energies and resources on growth of the Company’s core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revolving credit agreement with a group of six banks that replaced and terminated the Company’s previous $200 million revolving credit agreement that had been entered into on October 5, 2006 and amended on March 18,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The new credit agreement is guaranteed by the Company’s domestic subsidiaries and contains various financial covenants, including a debt-to-EBITDA ratio of 3.25-to-1.0 and an interest coverage ratio of 3.0-to-1.0. The Company intends to use the flexibility provided by the new credit agreement to fund future acquisitions, for general corporate purposes, and to refinance existing debt.</w:t>
      </w:r>
    </w:p>
    <w:p>
      <w:pPr>
        <w:spacing w:after="0" w:line="1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February 15, 2012, the Board of Directors declared a quarterly cash dividend to shareholders of the Company’s Class A and Class B Common Stock of $0.185 per share payable on April 30, 2012, to shareholders of record at the close of business on April 10, 2012.</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60"/>
        <w:spacing w:after="0" w:line="407"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jc w:val="both"/>
        <w:ind w:firstLine="456"/>
        <w:spacing w:after="0" w:line="286" w:lineRule="auto"/>
        <w:rPr>
          <w:sz w:val="20"/>
          <w:szCs w:val="20"/>
          <w:color w:val="auto"/>
        </w:rPr>
      </w:pPr>
      <w:r>
        <w:rPr>
          <w:rFonts w:ascii="Arial" w:cs="Arial" w:eastAsia="Arial" w:hAnsi="Arial"/>
          <w:sz w:val="16"/>
          <w:szCs w:val="16"/>
          <w:color w:val="auto"/>
        </w:rPr>
        <w:t>Brady, a Wisconsin corporation founded in 1914, is an international manufacturer and marketer of identification solutions and specialty materials that identify and protect premises, products, and people. Its products include facility identification products; safety and complementary products; wire and cable identification products; sorbent materials; people identification products; regulatory publishing products; high-performance identification products for product identification and work-in-process identification; and bar-code labels and precision die-cut components for mobile telecommunications devices, hard disk drives, medical devices and supplies, and automotive and other electronics.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 The Company manufactures and sells products domestically and internationally through multiple channels including distributors, resellers, business-to-business direct marketing, direct sales and e-commerce capabilities. 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Vietnam, Central Europe, the Middle East, Africa and South America.</w:t>
      </w:r>
    </w:p>
    <w:p>
      <w:pPr>
        <w:spacing w:after="0" w:line="9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Sales for the quarter ended January 31, 2012 decreased 2.6% to $320.6 million, compared to $329.0 million in the same period of fiscal 2011. Organic sales decreased 1.8%, divestitures net of acquisitions reduced sales 0.4%, and the effects of fluctuations in the exchange rates used to translate financial results into the United States dollar reduced sales 0.4%. The net loss for the quarter ended January 31, 2012, was $90.0 million or $1.72 per diluted Class A Nonvoting Common Share, down from net income of $24.2 million, or $0.46 per diluted Class A Nonvoting Common Share reported in the second quarter of last fiscal year. The net loss was a result of a $115.7 million non-cash goodwill impairment charge recorded during the quarter ended January 31, 2012, related to the North/South Asia reporting unit within the Asia-Pacific reporting segment. Refer to Note B, “Goodwill and Intangible Assets” in the Notes to the Condensed Consolidated Financial Statements for further discussion regarding the goodwill impairment charge.</w:t>
      </w:r>
    </w:p>
    <w:p>
      <w:pPr>
        <w:spacing w:after="0" w:line="9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Sales for the six months ended January 31, 2012 increased 1.7% to $670.1 million, compared to $658.6 million in the same period of fiscal 2011. Organic sales increased 0.9%, divestitures net of acquisitions reduced sales 0.3%, and the effects of fluctuations in the exchange rates used to translate financial results into the United States dollar increased sales 1.1%. The net loss for the six months ended January 31, 2012 was $57.2 million or $1.09 per diluted Class A Nonvoting Common Share, down from net income of $50.5 million, or $0.95 per diluted Class A Nonvoting Common Share reported in the same period of the prior fiscal year. The net loss was a result of a $115.7 million non-cash goodwill impairment charge recorded during the quarter ended January 31, 2012, related to the North/South Asia reporting unit within the Asia-Pacific reporting segment. Refer to Note B, “Goodwill and Intangible Assets” in the Notes to the Condensed Consolidated Financial Statements for further discussion regarding the goodwill impairment charge.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comparability of the operating results for the three and six months ended January 31, 2012, to the three and six months ended January 31, 2011, have been impacted by the following acquisition and divestiture completed in fiscal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Segment</w:t>
            </w:r>
          </w:p>
        </w:tc>
        <w:tc>
          <w:tcPr>
            <w:tcW w:w="4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Date Completed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Acquisition</w:t>
            </w:r>
          </w:p>
        </w:tc>
        <w:tc>
          <w:tcPr>
            <w:tcW w:w="3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ID Warehouse</w:t>
            </w:r>
          </w:p>
        </w:tc>
        <w:tc>
          <w:tcPr>
            <w:tcW w:w="5060" w:type="dxa"/>
            <w:vAlign w:val="bottom"/>
            <w:gridSpan w:val="2"/>
          </w:tcPr>
          <w:p>
            <w:pPr>
              <w:ind w:left="3680"/>
              <w:spacing w:after="0"/>
              <w:rPr>
                <w:sz w:val="20"/>
                <w:szCs w:val="20"/>
                <w:color w:val="auto"/>
              </w:rPr>
            </w:pPr>
            <w:r>
              <w:rPr>
                <w:rFonts w:ascii="Arial" w:cs="Arial" w:eastAsia="Arial" w:hAnsi="Arial"/>
                <w:sz w:val="18"/>
                <w:szCs w:val="18"/>
                <w:color w:val="auto"/>
              </w:rPr>
              <w:t>Asia Pacific</w:t>
            </w: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w w:val="95"/>
              </w:rPr>
              <w:t>November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Divestiture</w:t>
            </w:r>
          </w:p>
        </w:tc>
        <w:tc>
          <w:tcPr>
            <w:tcW w:w="3840" w:type="dxa"/>
            <w:vAlign w:val="bottom"/>
            <w:tcBorders>
              <w:bottom w:val="single" w:sz="8" w:color="CCEEFF"/>
            </w:tcBorders>
            <w:gridSpan w:val="2"/>
            <w:shd w:val="clear" w:color="auto" w:fill="CCEEFF"/>
          </w:tcPr>
          <w:p>
            <w:pPr>
              <w:spacing w:after="0"/>
              <w:rPr>
                <w:sz w:val="17"/>
                <w:szCs w:val="17"/>
                <w:color w:val="auto"/>
              </w:rPr>
            </w:pPr>
          </w:p>
        </w:tc>
        <w:tc>
          <w:tcPr>
            <w:tcW w:w="36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Teklynx</w:t>
            </w:r>
          </w:p>
        </w:tc>
        <w:tc>
          <w:tcPr>
            <w:tcW w:w="5060" w:type="dxa"/>
            <w:vAlign w:val="bottom"/>
            <w:gridSpan w:val="2"/>
          </w:tcPr>
          <w:p>
            <w:pPr>
              <w:ind w:left="3680"/>
              <w:spacing w:after="0"/>
              <w:rPr>
                <w:sz w:val="20"/>
                <w:szCs w:val="20"/>
                <w:color w:val="auto"/>
              </w:rPr>
            </w:pPr>
            <w:r>
              <w:rPr>
                <w:rFonts w:ascii="Arial" w:cs="Arial" w:eastAsia="Arial" w:hAnsi="Arial"/>
                <w:sz w:val="18"/>
                <w:szCs w:val="18"/>
                <w:color w:val="auto"/>
                <w:w w:val="98"/>
              </w:rPr>
              <w:t>Americas Europe</w:t>
            </w: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w w:val="95"/>
              </w:rPr>
              <w:t>December 2010</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Gross margin as a percentage of sales decreased to 47.8% from 48.3% for the quarter and decreased to 47.9% from 49.1% for the six months ended January 31, 2012, compared to the same periods of the previous year. This decrease in gross margin percentage was primarily due to the Asia-Pacific region compared to the prior year.</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Research and development (“R&amp;D”) expenses decreased 15.0% to $10.0 million for the three months ended January 31, 2012, compared to $11.7 million for the same period in the prior year, and decreased 8.7% to $19.8 million for the six months ended January 31, 2012, compared to $21.7 million for the same period in the prior year. As a percentage of sales, R&amp;D expenses decreased to 3.1% from 3.6% for the quarter and decreased to 3.0% from 3.3% for the six months ended January 31, 2012, compared to the same periods of the previous year, respectively. The moderate decline in R&amp;D expenses was primarily due to the timing of R&amp;D project expenditures.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Selling, general and administrative (“SG&amp;A”) expenses decreased 3.0% to $104.8 million for the three months ended January 31, 2012, compared to $108.1 million for the same period in the prior year, and decreased 1.7% to $213.8 million for the six months ended January 31, 2012, compared to $217.4 million for the same period in the prior year. As a percentage of sales, SG&amp;A expenses decreased to 32.7% from 32.8% for the second quarter, and decreased to 31.9% from 33.0% for the six months ended January 31, 2012, compared to the same periods in the prior year. The Company has continued to focus on reducing its SG&amp;A expenses as a percentage of sales through ongoing productivity initiatives, which was achieved during both the three and six months ended January 31, 2012, despite the $4.4 million pre-tax gain on the divestiture of Teklynx recognized during the three months ended January 31, 2011.</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Restructuring charges were $2.1 million and $5.8 million for the three and six months ended January 31, 2011, respectively.</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income decreased slightly to $0.8 million from $1.2 million for the three months ended January 31, 2012, compared to the same period in the prior year, and decreased to $0.6 million from $1.5 million for the six months ended January 31, 2012 compared to the same period in the prior year. The decrease was primarily due to foreign exchange losses, partially offset by an increase in interest income.</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Interest expense decreased to $4.9 million from $5.9 million for the quarter and to $10.0 million from $11.5 million for the six months ended January 31, 2012, compared to the same periods in the prior year. The decrease was due to the Company’s lower principal balance under its outstanding debt agreements.</w:t>
      </w:r>
    </w:p>
    <w:p>
      <w:pPr>
        <w:spacing w:after="0" w:line="5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effective tax rate decreased to (10.6%) from 25.3% for the quarter and to (52.7%) from 26.4% for the six months ended January 31, 2012, compared to the same periods in the prior year. The effective tax rate was significantly impacted by the non-deductible North/South Asia goodwill impairment charge of $115.7 million recognized during the three months ended January 31, 2012. Refer to Note B, “Goodwill and Intangible Assets” in the Notes to the Condensed Consolidated Financial Statements for further discussion. Excluding the goodwill impairment charge, the effective tax rate was 25.1% for the quarter and 25.2% for the six months ended January 31, 2012. The Company expects the full year income tax rate for fiscal 2012 to be in the mid 20% range.</w:t>
      </w:r>
    </w:p>
    <w:p>
      <w:pPr>
        <w:spacing w:after="0" w:line="8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net loss was $90.0 million for the quarter and $57.2 million for the six months ended January 31, 2012, compared to net income of $24.2 million for the quarter and $50.5 million for the six months ended January 31, 2011. The net loss is a result of the goodwill impairment charge of $115.7 million recorded during the three months ended January 31, 2012. Refer to Note B, “Goodwill and Intangible Assets” in the Notes to the Condensed Consolidated Financial Statements for further discussion. Net income before the current period impairment charge was $25.7 million for the quarter and $58.5 million for the six months ended January 31, 2012. Net income before restructuring-related expenses was $25.7 million for the quarter and $54.6 million for the six months ended January 31,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segment information for the three and six months ended January 31, 2012 and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220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Asia-</w:t>
            </w:r>
          </w:p>
        </w:tc>
        <w:tc>
          <w:tcPr>
            <w:tcW w:w="16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Americas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4"/>
                <w:szCs w:val="14"/>
                <w:color w:val="auto"/>
              </w:rPr>
            </w:pPr>
          </w:p>
        </w:tc>
        <w:tc>
          <w:tcPr>
            <w:tcW w:w="108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Pacific</w:t>
            </w:r>
          </w:p>
        </w:tc>
        <w:tc>
          <w:tcPr>
            <w:tcW w:w="160" w:type="dxa"/>
            <w:vAlign w:val="bottom"/>
          </w:tcPr>
          <w:p>
            <w:pPr>
              <w:spacing w:after="0"/>
              <w:rPr>
                <w:sz w:val="14"/>
                <w:szCs w:val="14"/>
                <w:color w:val="auto"/>
              </w:rPr>
            </w:pPr>
          </w:p>
        </w:tc>
        <w:tc>
          <w:tcPr>
            <w:tcW w:w="11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79"/>
              </w:rPr>
              <w:t>Regions</w:t>
            </w:r>
          </w:p>
        </w:tc>
        <w:tc>
          <w:tcPr>
            <w:tcW w:w="80" w:type="dxa"/>
            <w:vAlign w:val="bottom"/>
          </w:tcPr>
          <w:p>
            <w:pPr>
              <w:spacing w:after="0"/>
              <w:rPr>
                <w:sz w:val="14"/>
                <w:szCs w:val="14"/>
                <w:color w:val="auto"/>
              </w:rPr>
            </w:pPr>
          </w:p>
        </w:tc>
        <w:tc>
          <w:tcPr>
            <w:tcW w:w="84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January 31, 2012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320,584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January 31, 2011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136,011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104,041</w:t>
            </w:r>
          </w:p>
        </w:tc>
        <w:tc>
          <w:tcPr>
            <w:tcW w:w="3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88,957</w:t>
            </w:r>
          </w:p>
        </w:tc>
        <w:tc>
          <w:tcPr>
            <w:tcW w:w="3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329,009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329,009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January 31, 2012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292,267</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192,949</w:t>
            </w:r>
          </w:p>
        </w:tc>
        <w:tc>
          <w:tcPr>
            <w:tcW w:w="3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184,876</w:t>
            </w:r>
          </w:p>
        </w:tc>
        <w:tc>
          <w:tcPr>
            <w:tcW w:w="3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670,092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670,092</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January 31, 2011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281,999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180,507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658,597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SALES INFORMATION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2012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Organic</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Acquisitions/Divestitures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Six months ended January 31, 2012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Organic</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Currency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Acquisitions/Divestitures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Three months ended: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 31, 2012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7,733(1)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(2,359)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67,734</w:t>
            </w: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January 31, 2011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31,015</w:t>
            </w:r>
          </w:p>
        </w:tc>
        <w:tc>
          <w:tcPr>
            <w:tcW w:w="2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29,165</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11,524</w:t>
            </w:r>
          </w:p>
        </w:tc>
        <w:tc>
          <w:tcPr>
            <w:tcW w:w="3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71,704</w:t>
            </w:r>
          </w:p>
        </w:tc>
        <w:tc>
          <w:tcPr>
            <w:tcW w:w="3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(5,088)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Six months ended: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 31, 2012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21,037(1)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(5,622)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147,304</w:t>
            </w: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January 31, 2011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70,374</w:t>
            </w:r>
          </w:p>
        </w:tc>
        <w:tc>
          <w:tcPr>
            <w:tcW w:w="2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53,226</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28,353</w:t>
            </w:r>
          </w:p>
        </w:tc>
        <w:tc>
          <w:tcPr>
            <w:tcW w:w="3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151,953</w:t>
            </w:r>
          </w:p>
        </w:tc>
        <w:tc>
          <w:tcPr>
            <w:tcW w:w="3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(8,525)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143,428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46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recognized a goodwill impairment charge of $115.7 million during the quarter ended January 31, 2012, related to the North/South Asia reporting unit within the Asia-Pacific reporting segment, which is excluded from segment profit as presented in the table above. Refer to Note B, “Goodwill and Intangible Assets” in the Notes to the Condensed Consolidated Financial Statements for further discussion.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RECONCILIATION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70,093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71,704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152,926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151,953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(2,359)</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Administrative costs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(29,244)</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(27,402)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(59,724)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Impairment charge</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(115,688)</w:t>
            </w: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(115,688)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and other income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(4,933)</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(81,319)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(8,635)</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(19,744)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(89,954)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(57,222)</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evaluates short-tem segment performance based on segment profit or loss and customer sales. Segment profit or loss does not include certain administrative costs, such as the cost of finance, information technology and human resources, which are managed as global functions. Restructuring charges, impairment charges, stock options, interest, investment and other income and income taxes are also excluded when evaluating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Americas sales increased 1.8% to $138.4 million for the quarter and 3.7% to $292.3 million for the six months ended January 31, 2012, compared to $136.0 million and $282.0 million for the same periods in the prior year. Organic sales increased 2.9% and 4.4% during the quarter and year-to-date, respectively, as compared to the same periods in the prior year. Fluctuations in the exchange rates used to translate financial results into the United States dollar resulted in a negative impact on sales of 0.7% in the quarter, and 0.2% in the six-month period. The decrease in sales resulting from the fiscal year 2011 divestiture of Teklynx was 0.4% in the quarter and 0.5% in the six-month period.</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increases in organic sales of 2.9% for the quarter and 4.4% for the six-month period were driven primarily by the Brady business through new product launches, price increases, and strong demand for custom OEM products in Brazil. In addition, the direct marketing business demonstrated modest growth, mainly driven by regulatory publishing products.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Segment profit increased 15.4% to $35.8 million from $31.0 million for the quarter and increased 12.3% to $79.0 million from $70.4 million for the six months ended January 31, 2012, compared to the same periods in the prior year. As a percentage of sales, segment profit increased to 25.9% from 22.8% for the quarter and increased to 27.0% from 25.0% for the six months ended January 31, 2012, compared to the same periods in the prior year.</w:t>
      </w:r>
    </w:p>
    <w:p>
      <w:pPr>
        <w:spacing w:after="0" w:line="8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profit improvement for the quarter and six-month periods was mainly driven by the Brady business, which experienced double digit percentage profit improvement for the quarter and six months ended January 31, 2012, compared to the same periods in the prior year. The profit improvement was due to increased volumes, price increases implemented at the beginning of fiscal year 2012, and leveraging the Company’s sales structure. In the direct marketing business, the profit improvement for the quarter ended January 31, 2012, was partially offset by investments in initiatives to drive customer growth.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Europe sales decreased 8.1% to $95.6 million for the quarter and 1.6% to $192.9 million for the six months ended January 31, 2012, compared to $104.0 million and $196.1 million for the same periods in the prior year. Organic sales decreased 5.7% and 1.3% for the quarter and six-month period, respectively, compared to the same periods in the prior year. Fluctuations in the exchange rates used to translate financial results into the United States dollar resulted in a negative impact on sales of 1.5% in the quarter, and a positive impact on sales of 1.0% in the six-month period. The decrease in sales resulting from the fiscal year 2011 divestiture of Teklynx was 0.9% in the quarter, and 1.3% in the six-month period.</w:t>
      </w:r>
    </w:p>
    <w:p>
      <w:pPr>
        <w:spacing w:after="0" w:line="8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decrease in organic sales of 5.7% in the quarter was primarily due to the difficult comparable to the quarter ended January 31, 2011, which included $5.0 million of winter product sales within the direct marketing business attributable to the unusually harsh winter in Western Europe. During the quarter ended January 31, 2012, sales decline between the Brady and direct marketing businesses were similar. The Brady business experienced a mid-single digit percentage decline in organic sales, which was primarily driven by the depressed economic conditions within the region, specifically southern Europe and the Sweden die-cut business. Excluding the strong winter product sales within the direct marketing business for the prior year’s quarter ended January 31, 2011, the Company would have experienced a mid-single digit percentage increase in organic sales growth within southern Europe and Germany, the Company’s two largest direct marketing businesses. The decrease in organic sales of 1.3% for the six months ended January 31, 2012 was a result of strong growth within all businesses for the first quarter ended October 31, 2011, and a moderate decline in organic sales for the second quarter ended January 31, 2012. Organic sales growth for the first quarter ended October 31, 2011 was 3.7%, and the organic sales decline for the second quarter ended January 31, 2012 was 5.7%, as discussed above.</w:t>
      </w:r>
    </w:p>
    <w:p>
      <w:pPr>
        <w:spacing w:after="0" w:line="9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Segment profit decreased 8.9% to $26.6 million from $29.2 million for the quarter, and decreased 0.7% to $52.9 million from $53.2 million for the six months ended January 31, 2012, compared to the same periods in the prior year. As a percentage of sales, segment profit decreased to 27.8% from 28.0% for the quarter and increased to 27.4% from 27.1% for the six months ended January 31, 2012, compared to the same periods in the prior year.</w:t>
      </w:r>
    </w:p>
    <w:p>
      <w:pPr>
        <w:spacing w:after="0" w:line="8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decrease in segment profit for the quarter was primarily attributable to the difficult comparable to the quarter ended January 31, 2011, which included an incremental $5.0 million of winter product sales in the direct marketing business, as discussed above. Within the Brady business, the level of segment profit as a percentage of sales for the quarter ended January 31, 2012, was consistent with the same period in the prior year, because the sales decline was partially offset by the benefits from the prior year reorganization.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Asia-Pacific sales decreased 2.7% to $86.6 million from $89.0 million for the quarter, and increased 2.4% to $184.9 million from $180.5 million for the six months ended January 31, 2012, compared to the same periods in the prior year. Organic sales decreased 4.4% in the quarter and decreased 2.3% for the six-month period, compared to the same periods in the prior year. Fluctuations in the exchange rates used to translate financial results into the U.S. dollar increased sales within the segment by 1.7% for the quarter and 3.6% for the six-month period ended January 31, 2012. Segment sales increased 1.1% during the six months ended January 31, 2012, due to the fiscal 2011 acquisition of ID Warehouse, which had no effect on sales for the quarter ended January 31,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decrease in organic sales for both the quarter and six-month period ended January 31, 2012 was primarily a result of the flooding in Thailand, which caused a significant disruption to the hard disk drive supply chain, as well as the impact from the typically slow period associated with the Chinese New Year, which occurred in the second quarter this year. These sales declines were partially offset by increased sales within the mobile handset market.</w:t>
      </w:r>
    </w:p>
    <w:p>
      <w:pPr>
        <w:spacing w:after="0" w:line="8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Segment profit decreased 32.9% to $7.7 million from $11.5 million for the quarter, and decreased 25.8% to $21.0 million from $28.4 million for the six months ended January 31, 2012, compared to the same periods in the prior year. As a percentage of sales, segment profit decreased to 8.9% from 13.0% in the quarter and decreased to 11.4% from 15.7% for the six-month period, compared to the same periods in the prior year.</w:t>
      </w:r>
    </w:p>
    <w:p>
      <w:pPr>
        <w:spacing w:after="0" w:line="8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decrease in segment profit for the quarter and six-month periods ended January 31, 2012, was primarily due to a lower margin sales mix within the mobile handset and other computing devices markets. The primary contributing factor to the lower margin sales mix was the loss of market share by one of the Company’s largest mobile handset customers. In an effort to refill plant capacity, the Company aggressively pursued other opportunities and while the Company continues to capture similar dollar value sales, it has been unable to capture opportunities at the same margin level as those sales that were lost. The reasons for this are as follows: increased competition from local companies who are driving down unit prices; the increased complexity of the product which results in longer run times and higher labor costs; and decreased product lifecycle which results in a shorter period to recoup tooling investments. The Company continues to focus on cost reduction and material procurement strategies to reduce cost of goods sold to mitigate the impact on profitability. These decreases were partially offset by margin improvement and mix impact from the growing and more profitable Australia businesses.</w:t>
      </w:r>
    </w:p>
    <w:p>
      <w:pPr>
        <w:spacing w:after="0" w:line="9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the factors described above, the quarter ended January 31, 2012, was negatively impacted by the Thailand flood, which resulted in lower absorption of fixed costs within this business. The Thailand flood reduced earnings per share on a diluted basis by approximately $0.04 in the quarter ended January 31, 2012. Losses caused by the flooding are expected to be partially covered by property and business interruption insurance. The timing of the insurance recoveries could fall into subsequent periods beyond fiscal year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were $380.3 million at January 31, 2012 and $390.0 million at July 31, 2011, a decline of $9.6 million as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788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7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flow provided by (used in):</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43,301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(28,894)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(9,640)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47,462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cash provided by operating activities was $43.3 million for the six months ended January 31, 2012, a decrease of $14.3 million from cash provided by operating activities of $57.6 million for the six months ended January 31, 2011. Cash flows from operating activities are generated primarily from operating income and managing the components of working capital. The decrease in cash flows from operating activities during the six months ended January 31, 2012 compared to the same period of the prior year was primarily due to an unfavorable change in trade accounts payable and accrued liabilities.</w:t>
      </w:r>
    </w:p>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Net cash used in investing activities was $14.6 million for the six months ended January 31, 2012, an increase of $9.1 million from cash used in investing activities of $5.5 million for the six months ended January 31, 2011. The increase in cash used in investing activities for the six months ended January 31, 2012, was primarily a result of the cash received from the divestiture of Teklynx business during the six months ended January 31, 2011. Capital expenditures were $11.1 million for the six months ended January 31, 2012, compared to $9.0 million in the same period last year and $20.5 million during the twelve months ended July 31, 2011. The Company expects capital expenditures of approximately $25.0 million for the year ending July 31, 2012.</w:t>
      </w:r>
    </w:p>
    <w:p>
      <w:pPr>
        <w:spacing w:after="0" w:line="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used in financing activities was $28.9 million for the six months ended January 31, 2012, an increase of $15.2 million from cash used in financing activities of $13.7 million during the six months ended January 31, 2011. The change was primarily due to $12.3 million used to repurchase common shares during the six months ended January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October 26, 2011,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9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9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which was replaced on February 1, 2012 by the new credit facility described below. At the Company’s option, and subject to certain conditions, the available amount under the previous credit facility was able to be increased from $200 million up to $300 million. Under the previous credit agreement, the Company had the option to select either a base interest rate (based upon the higher of the federal funds rate plus one-half of 1% or the prime rate of Bank of America) or a Eurocurrency interest rate (at the LIBOR rate plus a margin based on the Company’s consolidated leverage ratio). The previous credit agreement restricted the amount of certain types of payments, including dividends, which could be made annually to $50 million plus an amount equal to 75% of consolidated net income for the prior fiscal year of the Company. On March 18, 2008, the Company entered into an amendment to the revolving loan agreement which extended the maturity date from October 5, 2011 to March 18, 2013. All other terms of the revolving loan agreement remained the same.</w:t>
      </w:r>
    </w:p>
    <w:p>
      <w:pPr>
        <w:spacing w:after="0" w:line="9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 As of January 31, 2012, there were no outstanding borrowings under the previous revolving credit agreement. No borrowings have occurred under the new credit facility dated February 1, 2012.</w:t>
      </w:r>
    </w:p>
    <w:p>
      <w:pPr>
        <w:spacing w:after="0" w:line="118"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January 31, 2012, the Company was in compliance with the financial covenant of these debt agreements, with the ratio of debt to EBITDA, as defined by the agreements, equal to 1.7 to 1.0. As previously noted, the Company’s October 2006 revolving loan agreement was terminated effective February 1, 2012 and replaced with a new revolving loan agreement. The new agreement requires the Company to maintain a ratio of debt to trailing twelve months EBITDA, as defined by the debt agreement, of not more than a 3.25 to 1.0 ratio. The new revolving loan agreement requires the Company’s trailing twelve months earnings before interest and taxes (“EBIT”) to interest expense of not less than a 3.0 to 1.0 ratio (interest expense coverage). Due to the replacement of the Company’s previous credit agreement on February 1, 2012, the financial ratios in the previous credit agreement were not applicable to the Company with respect to financial results for the quarter ended January 31, 2012. The Company has computed and was in compliance with the financial covenants of the new credit facility dated February 1, 2012 with respect to financial results for the quarter ended January 31, 2012.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Long-term obligations, less current obligations, as a percentage of long-term obligations, less current obligations, plus stockholders’ investment were 23.6% at January 31, 2012, and 22.3% at July 31, 2011. Long-term obligations decreased by $8.8 million from July 31, 2011 to January 31, 2012 due to the impact of foreign currency translation on the Company’s Euro-denominated debt, while stockholders’ investment decreased as a result of the goodwill impairment charge recorded during the quarter ended January 31, 2012.</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Stockholders’ investment decreased $109.2 million during the six months ended January 31, 2012 as a result of the Company’s net loss of $57.2 million, as well as the decrease in accumulated other comprehensive income of $28.6 million due to the impact of foreign currency translation, and the payment of dividends on Class A and Class B Common Stock of $18.2 million and $1.3 million, respectively.</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cash balances are generated and held in numerous locations throughout the world. At January 31, 2012 and July 31, 2011, approximately 60% and 69% of the Company’s cash and cash equivalents was held outside the United States, respectively.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revolving credit agreement with a group of six banks that replaced and terminated the Company’s previous $200 million revolving credit agreement that had been entered into on October 5, 2006, and amended on March 18, 2008.</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Under the new credit agreement, which has a final maturity date of February 1, 2017, the Corporation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The new credit agreement is guaranteed by the Corporation’s domestic subsidiaries and contains various financial covenants, including a debt-to-EBITDA ratio of 3.25-to-1.0 and an interest coverage ratio of 3.0-to-1.0. A commitment fee is payable on the unused amount of the credit facility. The Corporation intends to use the flexibility provided by the new credit agreement to fund future acquisitions, for general corporate purposes, and to refinance existing debt.</w:t>
      </w:r>
    </w:p>
    <w:p>
      <w:pPr>
        <w:spacing w:after="0" w:line="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February 15, 2012, the Board of Directors declared a quarterly cash dividend to shareholders of the Company’s Class A and Class B Common Stock of $0.185 per share payable on April 30, 2012, to shareholders of record at the close of business on April 10,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8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space, computer equipment and Company vehicles.</w:t>
      </w:r>
    </w:p>
    <w:p>
      <w:pPr>
        <w:spacing w:after="0" w:line="10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0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Related-Party Transactions — The Company evaluated its related party transactions for the period ended January 31, 2012. Based on the evaluation the Company does not have material related party transactions that affect the results of operations, cash flow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4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the Company’s most recently filed Form 10-K for the year ended July 31, 2011. These uncertainties may cause Brady’s actual future results to be materially different than those expressed in its forward-looking statements. Brady does not undertake to update its forward-looking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Japanese Yen, and the Swiss Franc. As of January 31, 2012, the notional amount of outstanding forward contracts designated as cash flow hedges was $18.5 million. The Company also hedged portions of its net investments in its foreign operations using forward foreign exchange currency contracts of $10.0 million, intercompany foreign currency denominated debt instruments of $6.1 million and Euro-denominated debt of $99.1 million designated as a hedge instrument.</w:t>
      </w:r>
    </w:p>
    <w:p>
      <w:pPr>
        <w:spacing w:after="0" w:line="9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2012, the Company had no interest rate derivatives.</w:t>
      </w:r>
    </w:p>
    <w:p>
      <w:pPr>
        <w:spacing w:after="0" w:line="8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for the three and six months ended January 31, 2012, were $11.7 million and $30.8 million unfavorable, respectively. The Company’s currency translation adjustments recorded for the three and six months ended January 31, 2011, were $0.3 million unfavorable and $29.8 million favorable, respectively. As of January 31, 2012 and 2011, the Company’s foreign subsidiaries had net current assets (defined as current assets less current liabilities) subject to foreign currency translation risk of $415.8 million and $367.1 million, respectively. These amounts were offset by net investment hedges of $115.2 million as of January 31, 2012, and $202.7 million as of January 31, 2011. The potential increase in the net current assets as of January 31, 2012, from a hypothetical 10 percent adverse change in quoted foreign currency exchange rates would be $41.6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5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SIGNATURES</w:t>
            </w:r>
          </w:p>
        </w:tc>
        <w:tc>
          <w:tcPr>
            <w:tcW w:w="254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365"/>
        </w:trPr>
        <w:tc>
          <w:tcPr>
            <w:tcW w:w="3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BRADY CORPORATION</w:t>
            </w:r>
          </w:p>
        </w:tc>
      </w:tr>
      <w:tr>
        <w:trPr>
          <w:trHeight w:val="393"/>
        </w:trPr>
        <w:tc>
          <w:tcPr>
            <w:tcW w:w="3540" w:type="dxa"/>
            <w:vAlign w:val="bottom"/>
          </w:tcPr>
          <w:p>
            <w:pPr>
              <w:spacing w:after="0"/>
              <w:rPr>
                <w:sz w:val="20"/>
                <w:szCs w:val="20"/>
                <w:color w:val="auto"/>
              </w:rPr>
            </w:pPr>
            <w:r>
              <w:rPr>
                <w:rFonts w:ascii="Arial" w:cs="Arial" w:eastAsia="Arial" w:hAnsi="Arial"/>
                <w:sz w:val="18"/>
                <w:szCs w:val="18"/>
                <w:color w:val="auto"/>
              </w:rPr>
              <w:t>Date: March 8, 2012</w:t>
            </w:r>
          </w:p>
        </w:tc>
        <w:tc>
          <w:tcPr>
            <w:tcW w:w="254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Frank M. Jaehnert</w:t>
            </w:r>
          </w:p>
        </w:tc>
      </w:tr>
      <w:tr>
        <w:trPr>
          <w:trHeight w:val="202"/>
        </w:trPr>
        <w:tc>
          <w:tcPr>
            <w:tcW w:w="3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Frank M. Jaehnert</w:t>
            </w:r>
          </w:p>
        </w:tc>
      </w:tr>
      <w:tr>
        <w:trPr>
          <w:trHeight w:val="222"/>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r>
      <w:tr>
        <w:trPr>
          <w:trHeight w:val="393"/>
        </w:trPr>
        <w:tc>
          <w:tcPr>
            <w:tcW w:w="3540" w:type="dxa"/>
            <w:vAlign w:val="bottom"/>
          </w:tcPr>
          <w:p>
            <w:pPr>
              <w:spacing w:after="0"/>
              <w:rPr>
                <w:sz w:val="20"/>
                <w:szCs w:val="20"/>
                <w:color w:val="auto"/>
              </w:rPr>
            </w:pPr>
            <w:r>
              <w:rPr>
                <w:rFonts w:ascii="Arial" w:cs="Arial" w:eastAsia="Arial" w:hAnsi="Arial"/>
                <w:sz w:val="18"/>
                <w:szCs w:val="18"/>
                <w:color w:val="auto"/>
              </w:rPr>
              <w:t>Date: March 8, 2012</w:t>
            </w:r>
          </w:p>
        </w:tc>
        <w:tc>
          <w:tcPr>
            <w:tcW w:w="254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J. Felmer</w:t>
            </w:r>
          </w:p>
        </w:tc>
      </w:tr>
      <w:tr>
        <w:trPr>
          <w:trHeight w:val="202"/>
        </w:trPr>
        <w:tc>
          <w:tcPr>
            <w:tcW w:w="3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J. Felmer</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&amp; Chief Financial Officer</w:t>
            </w:r>
          </w:p>
        </w:tc>
      </w:tr>
      <w:tr>
        <w:trPr>
          <w:trHeight w:val="222"/>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378"/>
        </w:trPr>
        <w:tc>
          <w:tcPr>
            <w:tcW w:w="3540" w:type="dxa"/>
            <w:vAlign w:val="bottom"/>
          </w:tcPr>
          <w:p>
            <w:pPr>
              <w:spacing w:after="0"/>
              <w:rPr>
                <w:sz w:val="24"/>
                <w:szCs w:val="24"/>
                <w:color w:val="auto"/>
              </w:rPr>
            </w:pPr>
          </w:p>
        </w:tc>
        <w:tc>
          <w:tcPr>
            <w:tcW w:w="254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44"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44" w:lineRule="exact"/>
        <w:rPr>
          <w:rFonts w:ascii="Arial" w:cs="Arial" w:eastAsia="Arial" w:hAnsi="Arial"/>
          <w:sz w:val="18"/>
          <w:szCs w:val="18"/>
          <w:color w:val="auto"/>
        </w:rPr>
      </w:pPr>
    </w:p>
    <w:p>
      <w:pPr>
        <w:ind w:right="500" w:firstLine="464"/>
        <w:spacing w:after="0" w:line="370" w:lineRule="auto"/>
        <w:tabs>
          <w:tab w:leader="none" w:pos="705"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right="460" w:firstLine="464"/>
        <w:spacing w:after="0" w:line="33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6"/>
          <w:szCs w:val="16"/>
          <w:color w:val="auto"/>
        </w:rPr>
      </w:pPr>
    </w:p>
    <w:p>
      <w:pPr>
        <w:ind w:right="280" w:firstLine="464"/>
        <w:spacing w:after="0" w:line="259" w:lineRule="auto"/>
        <w:tabs>
          <w:tab w:leader="none" w:pos="70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sz w:val="20"/>
          <w:szCs w:val="20"/>
          <w:color w:val="auto"/>
        </w:rPr>
      </w:pPr>
    </w:p>
    <w:p>
      <w:pPr>
        <w:ind w:firstLine="464"/>
        <w:spacing w:after="0" w:line="259" w:lineRule="auto"/>
        <w:tabs>
          <w:tab w:leader="none" w:pos="637"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right="100" w:firstLine="464"/>
        <w:spacing w:after="0" w:line="259"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sz w:val="20"/>
          <w:szCs w:val="20"/>
          <w:color w:val="auto"/>
        </w:rPr>
      </w:pPr>
    </w:p>
    <w:p>
      <w:pPr>
        <w:ind w:right="380" w:firstLine="464"/>
        <w:spacing w:after="0" w:line="332" w:lineRule="auto"/>
        <w:tabs>
          <w:tab w:leader="none" w:pos="70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sz w:val="20"/>
          <w:szCs w:val="20"/>
          <w:color w:val="auto"/>
        </w:rPr>
      </w:pPr>
    </w:p>
    <w:p>
      <w:pPr>
        <w:ind w:right="100" w:firstLine="464"/>
        <w:spacing w:after="0" w:line="268" w:lineRule="auto"/>
        <w:tabs>
          <w:tab w:leader="none" w:pos="637"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44"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44" w:lineRule="exact"/>
        <w:rPr>
          <w:rFonts w:ascii="Arial" w:cs="Arial" w:eastAsia="Arial" w:hAnsi="Arial"/>
          <w:sz w:val="18"/>
          <w:szCs w:val="18"/>
          <w:color w:val="auto"/>
        </w:rPr>
      </w:pPr>
    </w:p>
    <w:p>
      <w:pPr>
        <w:ind w:right="500" w:firstLine="464"/>
        <w:spacing w:after="0" w:line="370" w:lineRule="auto"/>
        <w:tabs>
          <w:tab w:leader="none" w:pos="7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right="460"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6"/>
          <w:szCs w:val="16"/>
          <w:color w:val="auto"/>
        </w:rPr>
      </w:pPr>
    </w:p>
    <w:p>
      <w:pPr>
        <w:ind w:right="280" w:firstLine="464"/>
        <w:spacing w:after="0" w:line="259"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sz w:val="20"/>
          <w:szCs w:val="20"/>
          <w:color w:val="auto"/>
        </w:rPr>
      </w:pPr>
    </w:p>
    <w:p>
      <w:pPr>
        <w:ind w:firstLine="464"/>
        <w:spacing w:after="0" w:line="259"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right="100" w:firstLine="464"/>
        <w:spacing w:after="0" w:line="259"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sz w:val="20"/>
          <w:szCs w:val="20"/>
          <w:color w:val="auto"/>
        </w:rPr>
      </w:pPr>
    </w:p>
    <w:p>
      <w:pPr>
        <w:ind w:right="380" w:firstLine="464"/>
        <w:spacing w:after="0" w:line="332" w:lineRule="auto"/>
        <w:tabs>
          <w:tab w:leader="none" w:pos="7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sz w:val="20"/>
          <w:szCs w:val="20"/>
          <w:color w:val="auto"/>
        </w:rPr>
      </w:pPr>
    </w:p>
    <w:p>
      <w:pPr>
        <w:ind w:right="100" w:firstLine="464"/>
        <w:spacing w:after="0" w:line="268" w:lineRule="auto"/>
        <w:tabs>
          <w:tab w:leader="none" w:pos="6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5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05" w:lineRule="exact"/>
        <w:rPr>
          <w:sz w:val="20"/>
          <w:szCs w:val="20"/>
          <w:color w:val="auto"/>
        </w:rPr>
      </w:pPr>
    </w:p>
    <w:p>
      <w:pPr>
        <w:ind w:right="76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2012 fully complies with the requirements of Section 13(a) or 15(d) of the Securities Exchange Act of 1934; and</w:t>
      </w:r>
    </w:p>
    <w:p>
      <w:pPr>
        <w:spacing w:after="0" w:line="104" w:lineRule="exact"/>
        <w:rPr>
          <w:rFonts w:ascii="Arial" w:cs="Arial" w:eastAsia="Arial" w:hAnsi="Arial"/>
          <w:sz w:val="18"/>
          <w:szCs w:val="18"/>
          <w:color w:val="auto"/>
        </w:rPr>
      </w:pPr>
    </w:p>
    <w:p>
      <w:pPr>
        <w:ind w:right="100" w:firstLine="464"/>
        <w:spacing w:after="0" w:line="414"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March 8,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5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05" w:lineRule="exact"/>
        <w:rPr>
          <w:sz w:val="20"/>
          <w:szCs w:val="20"/>
          <w:color w:val="auto"/>
        </w:rPr>
      </w:pPr>
    </w:p>
    <w:p>
      <w:pPr>
        <w:ind w:right="76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2012 fully complies with the requirements of Section 13(a) or 15(d) of the Securities Exchange Act of 1934; and</w:t>
      </w:r>
    </w:p>
    <w:p>
      <w:pPr>
        <w:spacing w:after="0" w:line="104" w:lineRule="exact"/>
        <w:rPr>
          <w:rFonts w:ascii="Arial" w:cs="Arial" w:eastAsia="Arial" w:hAnsi="Arial"/>
          <w:sz w:val="18"/>
          <w:szCs w:val="18"/>
          <w:color w:val="auto"/>
        </w:rPr>
      </w:pPr>
    </w:p>
    <w:p>
      <w:pPr>
        <w:ind w:right="100" w:firstLine="464"/>
        <w:spacing w:after="0" w:line="41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March 8,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2019-12-09T08:47:01Z</dcterms:created>
  <dcterms:modified xsi:type="dcterms:W3CDTF">2019-12-09T08:47:01Z</dcterms:modified>
</cp:coreProperties>
</file>