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8, 2007</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Commission File Number 1-14959</w:t>
      </w:r>
    </w:p>
    <w:p>
      <w:pPr>
        <w:sectPr>
          <w:pgSz w:w="11900" w:h="16838" w:orient="portrait"/>
          <w:cols w:equalWidth="0" w:num="1">
            <w:col w:w="11300"/>
          </w:cols>
          <w:pgMar w:left="240" w:top="927" w:right="359" w:bottom="1440" w:gutter="0" w:footer="0" w:header="0"/>
        </w:sectPr>
      </w:pPr>
    </w:p>
    <w:p>
      <w:pPr>
        <w:spacing w:after="0" w:line="225" w:lineRule="exact"/>
        <w:rPr>
          <w:sz w:val="20"/>
          <w:szCs w:val="20"/>
          <w:color w:val="auto"/>
        </w:rPr>
      </w:pPr>
    </w:p>
    <w:p>
      <w:pPr>
        <w:jc w:val="center"/>
        <w:ind w:right="1320"/>
        <w:spacing w:after="0"/>
        <w:rPr>
          <w:sz w:val="20"/>
          <w:szCs w:val="20"/>
          <w:color w:val="auto"/>
        </w:rPr>
      </w:pPr>
      <w:r>
        <w:rPr>
          <w:rFonts w:ascii="Arial" w:cs="Arial" w:eastAsia="Arial" w:hAnsi="Arial"/>
          <w:sz w:val="18"/>
          <w:szCs w:val="18"/>
          <w:color w:val="auto"/>
        </w:rPr>
        <w:t>Wisconsin</w:t>
      </w:r>
    </w:p>
    <w:p>
      <w:pPr>
        <w:spacing w:after="0" w:line="23" w:lineRule="exact"/>
        <w:rPr>
          <w:sz w:val="20"/>
          <w:szCs w:val="20"/>
          <w:color w:val="auto"/>
        </w:rPr>
      </w:pPr>
    </w:p>
    <w:p>
      <w:pPr>
        <w:jc w:val="center"/>
        <w:ind w:right="1320"/>
        <w:spacing w:after="0"/>
        <w:rPr>
          <w:sz w:val="20"/>
          <w:szCs w:val="20"/>
          <w:color w:val="auto"/>
        </w:rPr>
      </w:pPr>
      <w:r>
        <w:rPr>
          <w:rFonts w:ascii="Arial" w:cs="Arial" w:eastAsia="Arial" w:hAnsi="Arial"/>
          <w:sz w:val="16"/>
          <w:szCs w:val="16"/>
          <w:color w:val="auto"/>
        </w:rPr>
        <w:t>(State of Incorporation)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360"/>
        <w:spacing w:after="0"/>
        <w:rPr>
          <w:sz w:val="20"/>
          <w:szCs w:val="20"/>
          <w:color w:val="auto"/>
        </w:rPr>
      </w:pPr>
      <w:r>
        <w:rPr>
          <w:rFonts w:ascii="Arial" w:cs="Arial" w:eastAsia="Arial" w:hAnsi="Arial"/>
          <w:sz w:val="18"/>
          <w:szCs w:val="18"/>
          <w:color w:val="auto"/>
        </w:rPr>
        <w:t>39-0971239</w:t>
      </w:r>
    </w:p>
    <w:p>
      <w:pPr>
        <w:spacing w:after="0" w:line="23" w:lineRule="exact"/>
        <w:rPr>
          <w:sz w:val="20"/>
          <w:szCs w:val="20"/>
          <w:color w:val="auto"/>
        </w:rPr>
      </w:pPr>
    </w:p>
    <w:p>
      <w:pPr>
        <w:jc w:val="center"/>
        <w:ind w:right="136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740" w:space="720"/>
            <w:col w:w="3840"/>
          </w:cols>
          <w:pgMar w:left="240" w:top="927" w:right="359" w:bottom="1440" w:gutter="0" w:footer="0" w:header="0"/>
          <w:type w:val="continuous"/>
        </w:sectPr>
      </w:pPr>
    </w:p>
    <w:p>
      <w:pPr>
        <w:spacing w:after="0" w:line="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6555 West Good Hope Road</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Milwaukee, Wisconsin 53223</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(Address of Principal Executive Offices and Zip Code)</w:t>
      </w:r>
    </w:p>
    <w:p>
      <w:pPr>
        <w:sectPr>
          <w:pgSz w:w="11900" w:h="16838" w:orient="portrait"/>
          <w:cols w:equalWidth="0" w:num="1">
            <w:col w:w="11300"/>
          </w:cols>
          <w:pgMar w:left="240" w:top="927" w:right="359" w:bottom="1440" w:gutter="0" w:footer="0" w:header="0"/>
          <w:type w:val="continuous"/>
        </w:sectPr>
      </w:pPr>
    </w:p>
    <w:p>
      <w:pPr>
        <w:spacing w:after="0" w:line="234" w:lineRule="exact"/>
        <w:rPr>
          <w:sz w:val="20"/>
          <w:szCs w:val="20"/>
          <w:color w:val="auto"/>
        </w:rPr>
      </w:pPr>
    </w:p>
    <w:p>
      <w:pPr>
        <w:ind w:left="5580" w:hanging="428"/>
        <w:spacing w:after="0"/>
        <w:tabs>
          <w:tab w:leader="none" w:pos="5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358-6600</w:t>
      </w:r>
    </w:p>
    <w:p>
      <w:pPr>
        <w:spacing w:after="0" w:line="23" w:lineRule="exact"/>
        <w:rPr>
          <w:rFonts w:ascii="Arial" w:cs="Arial" w:eastAsia="Arial" w:hAnsi="Arial"/>
          <w:sz w:val="18"/>
          <w:szCs w:val="18"/>
          <w:color w:val="auto"/>
        </w:rPr>
      </w:pPr>
    </w:p>
    <w:p>
      <w:pPr>
        <w:ind w:left="4520"/>
        <w:spacing w:after="0"/>
        <w:rPr>
          <w:rFonts w:ascii="Arial" w:cs="Arial" w:eastAsia="Arial" w:hAnsi="Arial"/>
          <w:sz w:val="18"/>
          <w:szCs w:val="18"/>
          <w:color w:val="auto"/>
        </w:rPr>
      </w:pPr>
      <w:r>
        <w:rPr>
          <w:rFonts w:ascii="Arial" w:cs="Arial" w:eastAsia="Arial" w:hAnsi="Arial"/>
          <w:sz w:val="18"/>
          <w:szCs w:val="18"/>
          <w:color w:val="auto"/>
        </w:rPr>
        <w:t>(Registrant’s Telephone Number)</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27"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1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On February 8, 2007, Brady Corporation (the “Corporation”) issued a press release announcing preliminary financial results for the Corporation for its fiscal 2007 second quarter and revised guidance for its fiscal year 2007. A copy of the press release is attached hereto as Exhibit 99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Item 8.01 OTHER EVENTS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the information contained in Item 2.02 above, which is incorporated by reference in this item.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are filed as Exhibits to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Exhibit No.</w:t>
            </w:r>
          </w:p>
        </w:tc>
        <w:tc>
          <w:tcPr>
            <w:tcW w:w="1040" w:type="dxa"/>
            <w:vAlign w:val="bottom"/>
          </w:tcPr>
          <w:p>
            <w:pPr>
              <w:spacing w:after="0"/>
              <w:rPr>
                <w:sz w:val="14"/>
                <w:szCs w:val="14"/>
                <w:color w:val="auto"/>
              </w:rPr>
            </w:pPr>
          </w:p>
        </w:tc>
        <w:tc>
          <w:tcPr>
            <w:tcW w:w="4700" w:type="dxa"/>
            <w:vAlign w:val="bottom"/>
            <w:tcBorders>
              <w:bottom w:val="single" w:sz="8" w:color="auto"/>
            </w:tcBorders>
          </w:tcPr>
          <w:p>
            <w:pPr>
              <w:ind w:left="1700"/>
              <w:spacing w:after="0"/>
              <w:rPr>
                <w:sz w:val="20"/>
                <w:szCs w:val="20"/>
                <w:color w:val="auto"/>
              </w:rPr>
            </w:pPr>
            <w:r>
              <w:rPr>
                <w:rFonts w:ascii="Arial" w:cs="Arial" w:eastAsia="Arial" w:hAnsi="Arial"/>
                <w:sz w:val="14"/>
                <w:szCs w:val="14"/>
                <w:color w:val="auto"/>
              </w:rPr>
              <w:t>Description of Exhibit</w:t>
            </w:r>
          </w:p>
        </w:tc>
        <w:tc>
          <w:tcPr>
            <w:tcW w:w="4920" w:type="dxa"/>
            <w:vAlign w:val="bottom"/>
          </w:tcPr>
          <w:p>
            <w:pPr>
              <w:spacing w:after="0"/>
              <w:rPr>
                <w:sz w:val="14"/>
                <w:szCs w:val="14"/>
                <w:color w:val="auto"/>
              </w:rPr>
            </w:pPr>
          </w:p>
        </w:tc>
      </w:tr>
      <w:tr>
        <w:trPr>
          <w:trHeight w:val="426"/>
        </w:trPr>
        <w:tc>
          <w:tcPr>
            <w:tcW w:w="760" w:type="dxa"/>
            <w:vAlign w:val="bottom"/>
          </w:tcPr>
          <w:p>
            <w:pPr>
              <w:jc w:val="right"/>
              <w:ind w:right="219"/>
              <w:spacing w:after="0"/>
              <w:rPr>
                <w:sz w:val="20"/>
                <w:szCs w:val="20"/>
                <w:color w:val="auto"/>
              </w:rPr>
            </w:pPr>
            <w:r>
              <w:rPr>
                <w:rFonts w:ascii="Arial" w:cs="Arial" w:eastAsia="Arial" w:hAnsi="Arial"/>
                <w:sz w:val="18"/>
                <w:szCs w:val="18"/>
                <w:color w:val="auto"/>
              </w:rPr>
              <w:t>99</w:t>
            </w:r>
          </w:p>
        </w:tc>
        <w:tc>
          <w:tcPr>
            <w:tcW w:w="1040" w:type="dxa"/>
            <w:vAlign w:val="bottom"/>
          </w:tcPr>
          <w:p>
            <w:pPr>
              <w:spacing w:after="0"/>
              <w:rPr>
                <w:sz w:val="24"/>
                <w:szCs w:val="24"/>
                <w:color w:val="auto"/>
              </w:rPr>
            </w:pPr>
          </w:p>
        </w:tc>
        <w:tc>
          <w:tcPr>
            <w:tcW w:w="9620" w:type="dxa"/>
            <w:vAlign w:val="bottom"/>
            <w:gridSpan w:val="2"/>
          </w:tcPr>
          <w:p>
            <w:pPr>
              <w:ind w:left="320"/>
              <w:spacing w:after="0"/>
              <w:rPr>
                <w:sz w:val="20"/>
                <w:szCs w:val="20"/>
                <w:color w:val="auto"/>
              </w:rPr>
            </w:pPr>
            <w:r>
              <w:rPr>
                <w:rFonts w:ascii="Arial" w:cs="Arial" w:eastAsia="Arial" w:hAnsi="Arial"/>
                <w:sz w:val="18"/>
                <w:szCs w:val="18"/>
                <w:color w:val="auto"/>
              </w:rPr>
              <w:t>Press Release of Brady Corporation, dated February 8, 2007.</w:t>
            </w:r>
          </w:p>
        </w:tc>
      </w:tr>
      <w:tr>
        <w:trPr>
          <w:trHeight w:val="632"/>
        </w:trPr>
        <w:tc>
          <w:tcPr>
            <w:tcW w:w="7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470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BRADY CORPORATION</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February 9, 2007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Mathieson</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David Mathieson</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&amp; Chief Financial Officer</w:t>
            </w:r>
          </w:p>
        </w:tc>
        <w:tc>
          <w:tcPr>
            <w:tcW w:w="1700" w:type="dxa"/>
            <w:vAlign w:val="bottom"/>
          </w:tcPr>
          <w:p>
            <w:pPr>
              <w:spacing w:after="0"/>
              <w:rPr>
                <w:sz w:val="20"/>
                <w:szCs w:val="20"/>
                <w:color w:val="auto"/>
              </w:rPr>
            </w:pPr>
          </w:p>
        </w:tc>
      </w:tr>
      <w:tr>
        <w:trPr>
          <w:trHeight w:val="848"/>
        </w:trPr>
        <w:tc>
          <w:tcPr>
            <w:tcW w:w="550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740" w:type="dxa"/>
            <w:vAlign w:val="bottom"/>
          </w:tcPr>
          <w:p>
            <w:pPr>
              <w:ind w:left="3300"/>
              <w:spacing w:after="0"/>
              <w:rPr>
                <w:sz w:val="20"/>
                <w:szCs w:val="20"/>
                <w:color w:val="auto"/>
              </w:rPr>
            </w:pPr>
            <w:r>
              <w:rPr>
                <w:rFonts w:ascii="Arial" w:cs="Arial" w:eastAsia="Arial" w:hAnsi="Arial"/>
                <w:sz w:val="18"/>
                <w:szCs w:val="18"/>
                <w:color w:val="auto"/>
              </w:rPr>
              <w:t>EXHIBIT INDEX</w:t>
            </w:r>
          </w:p>
        </w:tc>
      </w:tr>
      <w:tr>
        <w:trPr>
          <w:trHeight w:val="346"/>
        </w:trPr>
        <w:tc>
          <w:tcPr>
            <w:tcW w:w="720" w:type="dxa"/>
            <w:vAlign w:val="bottom"/>
          </w:tcPr>
          <w:p>
            <w:pPr>
              <w:spacing w:after="0"/>
              <w:rPr>
                <w:sz w:val="20"/>
                <w:szCs w:val="20"/>
                <w:color w:val="auto"/>
              </w:rPr>
            </w:pPr>
            <w:r>
              <w:rPr>
                <w:rFonts w:ascii="Arial" w:cs="Arial" w:eastAsia="Arial" w:hAnsi="Arial"/>
                <w:sz w:val="14"/>
                <w:szCs w:val="14"/>
                <w:color w:val="auto"/>
              </w:rPr>
              <w:t>EXHIBIT</w:t>
            </w:r>
          </w:p>
        </w:tc>
        <w:tc>
          <w:tcPr>
            <w:tcW w:w="104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167"/>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NUMBER</w:t>
            </w:r>
          </w:p>
        </w:tc>
        <w:tc>
          <w:tcPr>
            <w:tcW w:w="1040" w:type="dxa"/>
            <w:vAlign w:val="bottom"/>
          </w:tcPr>
          <w:p>
            <w:pPr>
              <w:spacing w:after="0"/>
              <w:rPr>
                <w:sz w:val="14"/>
                <w:szCs w:val="14"/>
                <w:color w:val="auto"/>
              </w:rPr>
            </w:pPr>
          </w:p>
        </w:tc>
        <w:tc>
          <w:tcPr>
            <w:tcW w:w="4740" w:type="dxa"/>
            <w:vAlign w:val="bottom"/>
            <w:tcBorders>
              <w:bottom w:val="single" w:sz="8" w:color="auto"/>
            </w:tcBorders>
          </w:tcPr>
          <w:p>
            <w:pPr>
              <w:ind w:left="1900"/>
              <w:spacing w:after="0"/>
              <w:rPr>
                <w:sz w:val="20"/>
                <w:szCs w:val="20"/>
                <w:color w:val="auto"/>
              </w:rPr>
            </w:pPr>
            <w:r>
              <w:rPr>
                <w:rFonts w:ascii="Arial" w:cs="Arial" w:eastAsia="Arial" w:hAnsi="Arial"/>
                <w:sz w:val="14"/>
                <w:szCs w:val="14"/>
                <w:color w:val="auto"/>
              </w:rPr>
              <w:t>DESCRIPTION</w:t>
            </w:r>
          </w:p>
        </w:tc>
      </w:tr>
      <w:tr>
        <w:trPr>
          <w:trHeight w:val="426"/>
        </w:trPr>
        <w:tc>
          <w:tcPr>
            <w:tcW w:w="720" w:type="dxa"/>
            <w:vAlign w:val="bottom"/>
          </w:tcPr>
          <w:p>
            <w:pPr>
              <w:jc w:val="right"/>
              <w:ind w:right="202"/>
              <w:spacing w:after="0"/>
              <w:rPr>
                <w:sz w:val="20"/>
                <w:szCs w:val="20"/>
                <w:color w:val="auto"/>
              </w:rPr>
            </w:pPr>
            <w:r>
              <w:rPr>
                <w:rFonts w:ascii="Arial" w:cs="Arial" w:eastAsia="Arial" w:hAnsi="Arial"/>
                <w:sz w:val="18"/>
                <w:szCs w:val="18"/>
                <w:color w:val="auto"/>
              </w:rPr>
              <w:t>99</w:t>
            </w:r>
          </w:p>
        </w:tc>
        <w:tc>
          <w:tcPr>
            <w:tcW w:w="1040" w:type="dxa"/>
            <w:vAlign w:val="bottom"/>
          </w:tcPr>
          <w:p>
            <w:pPr>
              <w:spacing w:after="0"/>
              <w:rPr>
                <w:sz w:val="24"/>
                <w:szCs w:val="24"/>
                <w:color w:val="auto"/>
              </w:rPr>
            </w:pPr>
          </w:p>
        </w:tc>
        <w:tc>
          <w:tcPr>
            <w:tcW w:w="4740" w:type="dxa"/>
            <w:vAlign w:val="bottom"/>
          </w:tcPr>
          <w:p>
            <w:pPr>
              <w:ind w:left="360"/>
              <w:spacing w:after="0"/>
              <w:rPr>
                <w:sz w:val="20"/>
                <w:szCs w:val="20"/>
                <w:color w:val="auto"/>
              </w:rPr>
            </w:pPr>
            <w:r>
              <w:rPr>
                <w:rFonts w:ascii="Arial" w:cs="Arial" w:eastAsia="Arial" w:hAnsi="Arial"/>
                <w:sz w:val="18"/>
                <w:szCs w:val="18"/>
                <w:color w:val="auto"/>
                <w:w w:val="88"/>
              </w:rPr>
              <w:t>Press Release of Brady Corporation, dated February 8, 2007.</w:t>
            </w:r>
          </w:p>
        </w:tc>
      </w:tr>
    </w:tbl>
    <w:p>
      <w:pPr>
        <w:sectPr>
          <w:pgSz w:w="11900" w:h="16838" w:orient="portrait"/>
          <w:cols w:equalWidth="0" w:num="1">
            <w:col w:w="10219"/>
          </w:cols>
          <w:pgMar w:left="240" w:top="962"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For more information</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Barbara Bolens 414-438-6940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preliminary results for second quarter ended January 31, 2007</w:t>
      </w:r>
    </w:p>
    <w:p>
      <w:pPr>
        <w:spacing w:after="0" w:line="121"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MILWAUKEE (February 8, 2007)—Brady Corporation (NYSE:BRC) announced today that diluted earnings per share is estimated to be in the range of $0.33 to $0.36 for the second fiscal quarter ended January 31, 2007, compared to $0.43 per share in the second fiscal quarter last year. Sales are expected to be approximately $321 million for the quarter.</w:t>
      </w:r>
    </w:p>
    <w:p>
      <w:pPr>
        <w:spacing w:after="0" w:line="73"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“Our OEM electronics business softened in the quarter, driven primarily by the mobile handset and hard disk drive businesses; we have actions underway to address this softening. The rest of our business in the Americas and Europe remains solid,” said Frank Jaehnert, Brady’s president and chief executive officer.</w:t>
      </w:r>
    </w:p>
    <w:p>
      <w:pPr>
        <w:spacing w:after="0" w:line="73"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“For the full fiscal year 2007, we now expect sales of between $1.35 and $1.37 billion, up from our previous guidance of $1.25 to $1.275 billion; net income of between $113 and $118 million, down from $122 to $126 million; and diluted earnings per share of between $2.06 and $2.15, down from $2.22 to $2.29,” said David Mathieson, Brady’s chief financial officer.</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 webcast regarding this announcement will be available at www.investor.bradycorp.com beginning at 7:30 a.m. Central Time tomorrow, February 9.</w:t>
      </w:r>
    </w:p>
    <w:p>
      <w:pPr>
        <w:spacing w:after="0" w:line="12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Brady expects to report the actual results for the quarter and year to date on February 21, 2007. A webcast regarding fiscal 2007 second quarter results will be available at www.investor.bradycorp.com beginning at 9.30 a.m. Central Standard Time Wednesday February 21.</w:t>
      </w:r>
    </w:p>
    <w:p>
      <w:pPr>
        <w:spacing w:after="0" w:line="62"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500,000 customers in electronics, telecommunications, manufacturing, electrical, construction, education, medical and a variety of other industries. Brady is headquartered in Milwaukee and employs more than 9,000 people at operations in the Americas, Europe and Asia/Pacific. Brady’s fiscal 2006 sales were approximately $1.018 billion.</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More information is available on the Internet at </w:t>
      </w:r>
      <w:r>
        <w:rPr>
          <w:rFonts w:ascii="Arial" w:cs="Arial" w:eastAsia="Arial" w:hAnsi="Arial"/>
          <w:sz w:val="18"/>
          <w:szCs w:val="18"/>
          <w:u w:val="single" w:color="auto"/>
          <w:color w:val="auto"/>
        </w:rPr>
        <w:t>www.bradycorp.com</w:t>
      </w:r>
      <w:r>
        <w:rPr>
          <w:rFonts w:ascii="Arial" w:cs="Arial" w:eastAsia="Arial" w:hAnsi="Arial"/>
          <w:sz w:val="18"/>
          <w:szCs w:val="18"/>
          <w:color w:val="auto"/>
        </w:rPr>
        <w:t>.</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6" w:name="page7"/>
    <w:bookmarkEnd w:id="6"/>
    <w:p>
      <w:pPr>
        <w:spacing w:after="0" w:line="267" w:lineRule="auto"/>
        <w:rPr>
          <w:sz w:val="20"/>
          <w:szCs w:val="20"/>
          <w:color w:val="auto"/>
        </w:rPr>
      </w:pPr>
      <w:r>
        <w:rPr>
          <w:rFonts w:ascii="Arial" w:cs="Arial" w:eastAsia="Arial" w:hAnsi="Arial"/>
          <w:sz w:val="17"/>
          <w:szCs w:val="17"/>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retain significant contracts and customers; future competition; Brady’s ability to develop and successfully market new products; changes in the supply of, or price for, parts and components; increased price pressure from suppliers and customers; interruptions to sources of supply; environmental, health and safety compliance costs and liabilities; Brady’s ability to realize cost savings from operating initiatives; Brady’s ability to attract and retain key talent; difficulties associated with exports; risks associated with international operations; fluctuations in currency rates versus the US dollar; technology changes; potential write-offs of Brady’s substantial intangible assets; risks associated with obtaining governmental approvals and maintaining regulatory compliance for new and existing products; business interruptions due to implementing business systems;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II of Brady’s Annual Report on Form 10-K for the period ended July 31, 2006. These uncertainties may cause Brady’s actual future results to be materially different than those expressed in its forward-looking statements. Brady does not undertake to update its forward-looking statements.</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sectPr>
      <w:pgSz w:w="11900" w:h="16838" w:orient="portrait"/>
      <w:cols w:equalWidth="0" w:num="1">
        <w:col w:w="11380"/>
      </w:cols>
      <w:pgMar w:left="240" w:top="93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4"/>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2019-12-11T19:43:02Z</dcterms:created>
  <dcterms:modified xsi:type="dcterms:W3CDTF">2019-12-11T19:43:02Z</dcterms:modified>
</cp:coreProperties>
</file>