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1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303"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160" w:type="dxa"/>
            <w:vAlign w:val="bottom"/>
          </w:tcPr>
          <w:p>
            <w:pPr>
              <w:spacing w:after="0"/>
              <w:rPr>
                <w:sz w:val="20"/>
                <w:szCs w:val="20"/>
                <w:color w:val="auto"/>
              </w:rPr>
            </w:pPr>
          </w:p>
        </w:tc>
      </w:tr>
      <w:tr>
        <w:trPr>
          <w:trHeight w:val="396"/>
        </w:trPr>
        <w:tc>
          <w:tcPr>
            <w:tcW w:w="632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1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88"/>
        </w:trPr>
        <w:tc>
          <w:tcPr>
            <w:tcW w:w="6320" w:type="dxa"/>
            <w:vAlign w:val="bottom"/>
            <w:gridSpan w:val="3"/>
          </w:tcPr>
          <w:p>
            <w:pPr>
              <w:jc w:val="center"/>
              <w:ind w:right="2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160" w:type="dxa"/>
            <w:vAlign w:val="bottom"/>
          </w:tcPr>
          <w:p>
            <w:pPr>
              <w:jc w:val="center"/>
              <w:ind w:left="9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06"/>
        </w:trPr>
        <w:tc>
          <w:tcPr>
            <w:tcW w:w="332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16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160" w:type="dxa"/>
            <w:vAlign w:val="bottom"/>
          </w:tcPr>
          <w:p>
            <w:pPr>
              <w:spacing w:after="0"/>
              <w:rPr>
                <w:sz w:val="18"/>
                <w:szCs w:val="18"/>
                <w:color w:val="auto"/>
              </w:rPr>
            </w:pPr>
          </w:p>
        </w:tc>
      </w:tr>
      <w:tr>
        <w:trPr>
          <w:trHeight w:val="188"/>
        </w:trPr>
        <w:tc>
          <w:tcPr>
            <w:tcW w:w="6320" w:type="dxa"/>
            <w:vAlign w:val="bottom"/>
            <w:gridSpan w:val="3"/>
          </w:tcPr>
          <w:p>
            <w:pPr>
              <w:jc w:val="center"/>
              <w:ind w:left="2777"/>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160" w:type="dxa"/>
            <w:vAlign w:val="bottom"/>
          </w:tcPr>
          <w:p>
            <w:pPr>
              <w:spacing w:after="0"/>
              <w:rPr>
                <w:sz w:val="16"/>
                <w:szCs w:val="16"/>
                <w:color w:val="auto"/>
              </w:rPr>
            </w:pPr>
          </w:p>
        </w:tc>
      </w:tr>
      <w:tr>
        <w:trPr>
          <w:trHeight w:val="365"/>
        </w:trPr>
        <w:tc>
          <w:tcPr>
            <w:tcW w:w="5820" w:type="dxa"/>
            <w:vAlign w:val="bottom"/>
            <w:gridSpan w:val="2"/>
          </w:tcPr>
          <w:p>
            <w:pPr>
              <w:jc w:val="center"/>
              <w:ind w:left="325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8"/>
        </w:trPr>
        <w:tc>
          <w:tcPr>
            <w:tcW w:w="332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(Registrant’s Telephone Number)</w:t>
            </w:r>
          </w:p>
        </w:tc>
        <w:tc>
          <w:tcPr>
            <w:tcW w:w="2160" w:type="dxa"/>
            <w:vAlign w:val="bottom"/>
          </w:tcPr>
          <w:p>
            <w:pPr>
              <w:spacing w:after="0"/>
              <w:rPr>
                <w:sz w:val="16"/>
                <w:szCs w:val="16"/>
                <w:color w:val="auto"/>
              </w:rPr>
            </w:pPr>
          </w:p>
        </w:tc>
      </w:tr>
      <w:tr>
        <w:trPr>
          <w:trHeight w:val="91"/>
        </w:trPr>
        <w:tc>
          <w:tcPr>
            <w:tcW w:w="332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160" w:type="dxa"/>
            <w:vAlign w:val="bottom"/>
          </w:tcPr>
          <w:p>
            <w:pPr>
              <w:spacing w:after="0"/>
              <w:rPr>
                <w:sz w:val="7"/>
                <w:szCs w:val="7"/>
                <w:color w:val="auto"/>
              </w:rPr>
            </w:pPr>
          </w:p>
        </w:tc>
      </w:tr>
    </w:tbl>
    <w:p>
      <w:pPr>
        <w:spacing w:after="0" w:line="23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21" w:lineRule="exact"/>
        <w:rPr>
          <w:sz w:val="24"/>
          <w:szCs w:val="24"/>
          <w:color w:val="auto"/>
        </w:rPr>
      </w:pPr>
    </w:p>
    <w:p>
      <w:pPr>
        <w:jc w:val="both"/>
        <w:ind w:right="2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516890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7" w:right="319" w:bottom="1440" w:gutter="0" w:footer="0" w:header="0"/>
        </w:sectPr>
      </w:pPr>
    </w:p>
    <w:bookmarkStart w:id="1" w:name="page2"/>
    <w:bookmarkEnd w:id="1"/>
    <w:p>
      <w:pPr>
        <w:ind w:left="20"/>
        <w:spacing w:after="0"/>
        <w:tabs>
          <w:tab w:leader="none" w:pos="1380" w:val="left"/>
        </w:tabs>
        <w:rPr>
          <w:sz w:val="20"/>
          <w:szCs w:val="20"/>
          <w:color w:val="auto"/>
        </w:rPr>
      </w:pPr>
      <w:r>
        <w:rPr>
          <w:rFonts w:ascii="Times New Roman" w:cs="Times New Roman" w:eastAsia="Times New Roman" w:hAnsi="Times New Roman"/>
          <w:sz w:val="18"/>
          <w:szCs w:val="18"/>
          <w:color w:val="auto"/>
        </w:rPr>
        <w:t>Item 1.01</w:t>
      </w:r>
      <w:r>
        <w:rPr>
          <w:sz w:val="20"/>
          <w:szCs w:val="20"/>
          <w:color w:val="auto"/>
        </w:rPr>
        <w:tab/>
      </w:r>
      <w:r>
        <w:rPr>
          <w:rFonts w:ascii="Times New Roman" w:cs="Times New Roman" w:eastAsia="Times New Roman" w:hAnsi="Times New Roman"/>
          <w:sz w:val="17"/>
          <w:szCs w:val="17"/>
          <w:color w:val="auto"/>
        </w:rPr>
        <w:t>ENTRY INTO A MATERIAL DEFINITIVE AGREEMENT</w:t>
      </w:r>
    </w:p>
    <w:p>
      <w:pPr>
        <w:spacing w:after="0" w:line="3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15, 2024, Braton Europe S.A.R.L., a wholly-owned subsidiary of Brady Corporation (the “Company”), entered into a Put Option Letter (the “Put Option Letter”) with MML Capital Europe VI II S.A. and other institutional and individual holders (collectively, the “Sellers”), which own directly or indirectly 100% of the securities issued by Gravotech Holding (“Gravotech”), a French limited liability company (société par actions simplifiée). Under the terms of the Put Option Letter, the Company has irrevocably and unconditionally agreed to acquire 100% of the share capital and voting rights of Gravotech (the “Acquisition”) on the terms and conditions set forth in the form of a draft sale and purchase agreement attached to the Put Option Letter as Schedule 1 (the “SPA”), subject only to the sending by the Sellers on or prior to the Expiry Date (as defined below), of a notice setting forth the Sellers’ decision to sell 100% of the securities issued by Gravotech to the Company in accordance with the terms and conditions of the draft SPA (the “Put Option”).</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Put Option Letter, before the Sellers can decide whether to exercise the Put Option and enter into the draft SPA, the Gravotech Marking, a wholly-owned subsidiary of Gravotech, employees’ representative bodies in France (“Works’ Council”) must be informed of and consulted on the contemplated sale of Gravotech to the Company, and the Works’ Council must have delivered, or be deemed to have delivered, a final (non-binding) opinion on such transaction (the “Consultation Process”). The Sellers have agreed under the Put Option Letter to (i) initiate or cause the Consultation Process to be initiated promptly from March 15, 2024, and in any case no later than ten (10) business days following the date thereof, and (ii) to use their best efforts to obtain an opinion (whether favorable or not) from the Works’ Council in relation to such proposed transaction promptly following the date on which the Consultation Process has been launched.</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before the Sellers can decide whether to exercise the Put Option and enter into the draft SPA, all Gravotech employees in France must be informed of the proposed transaction, in accordance with the applicable provisions of the French Commercial Code (the “Employees Information”).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Until November 15, 2024, the Sellers have agreed that they will not, directly or indirectly, pursue, initiate or follow up any discussions or negotiations, or enter into any contract, agreement or understanding, or solicit or encourage any person with a view to sell or transfer all or part of the share capital, voting rights or securities or any of Gravotech and/or all or part of their assets, or to proceed with the merger, spin-off, contribution, business combination, recapitalization, or any similar transaction involving any Gravotech company with any person other than the Company and/or its Affiliates.</w:t>
      </w:r>
    </w:p>
    <w:p>
      <w:pPr>
        <w:spacing w:after="0" w:line="203"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The Put Option Letter is valid and binding on Sellers until the earlier of (i)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calendar day following the completion of the Consultation Process and (ii) four (4) months after the date of the Put Option Letter (the “Expiry Date”).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draft SPA, the Company will agree to acquire Gravotech for approximately EUR 123 million (approximately USD 133 million), subject to a working capital adjustment provision. The Company plans to finance the Acquisition by using cash on hand and borrowings under its existing credit agreement. The draft SPA provides that closing of the Acquisition is subject to the satisfaction or waiver of certain conditions, notably regulatory clearances and notices. The Company expects to close the transaction by the end of its fiscal year ended July 31, 2024.</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After the draft SPA is signed, it may be terminated, and the Acquisition may be abandoned prior to the closing, as follows: (i) by mutual consent of the Company and Sellers; (ii) by either the Company or Sellers if the conditions set forth in the SPA have not been fulfilled on or before July 31, 2024 (the “Longstop Date”); or (iii) by Sellers if the Company fails to comply with its obligation to make certain closing date deliveries, or by the Company if Sellers fail to comply with their obligation to make certain closing date deliveries. If the conditions set forth in the SPA have not been fulfilled by the Longstop Date, the Sellers, with prior notification to the Company and agreement between the Sellers and the Company, may reset the Longstop Date to another date which shall be no later than September 30, 2024.</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issued a press release on March 15, 2024 regarding the transaction, which is attached hereto as 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report,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including any statements regarding the potential timing of or completion of the acquisition of Gravotech, and any financial impacts of that transaction. For Brady, uncertainties arise from: the occurrence of any event, change or other circumstances that could give rise to the termination of the offer to acquire Gravotech; the expected timing and likelihood of completion of the proposed transaction with Gravotech, including the timing, receipt and terms and conditions of any required governmental and regulatory approvals of the offer that could reduce anticipated benefits or cause the parties to abandon the transaction; the risk that the proposed offer and its announcement could have an adverse effect on the ability of Brady and Gravotech to retain customers and retain and hire key personnel and maintain relationships with their suppliers and customers and on their operating results and businesses generally;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 regional epidemics or global pandemics; foreign currency fluctuations; potential write-offs of goodwill and other intangible assets; changes in tax legislation and tax rates;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9.01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 AND EXHIBITS</w:t>
            </w:r>
          </w:p>
        </w:tc>
      </w:tr>
      <w:tr>
        <w:trPr>
          <w:trHeight w:val="55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8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80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6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Brady Corporation, dated March 15, 2024, announcing its plans to acquire Gravotech Holding.</w:t>
            </w:r>
          </w:p>
        </w:tc>
        <w:tc>
          <w:tcPr>
            <w:tcW w:w="1780" w:type="dxa"/>
            <w:vAlign w:val="bottom"/>
          </w:tcPr>
          <w:p>
            <w:pPr>
              <w:spacing w:after="0"/>
              <w:rPr>
                <w:sz w:val="22"/>
                <w:szCs w:val="22"/>
                <w:color w:val="auto"/>
              </w:rPr>
            </w:pPr>
          </w:p>
        </w:tc>
      </w:tr>
      <w:tr>
        <w:trPr>
          <w:trHeight w:val="45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29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17145</wp:posOffset>
            </wp:positionV>
            <wp:extent cx="2408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Ann E. Thornton</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Chief Accounting Officer</w:t>
      </w:r>
    </w:p>
    <w:p>
      <w:pPr>
        <w:ind w:left="746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89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99.1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 More Information: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contact: Ann Thornton 414-438-6887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contact: Kate Venne 414-358-5176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Brady Corporation Plans to Acquire Gravotech Holding</w:t>
      </w:r>
    </w:p>
    <w:p>
      <w:pPr>
        <w:spacing w:after="0" w:line="274"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20"/>
          <w:szCs w:val="20"/>
          <w:color w:val="auto"/>
        </w:rPr>
        <w:t>MILWAUKEE (March 15, 2024) -- Brady Corporation (NYSE: BRC) (“Brady”) announced today that it has entered into exclusive negotiations to acquire Gravotech Holding (“Gravotech”) for approximately EUR 123 million (approximately USD 133 million). Brady expects to fund the transaction with cash on hand as well as with borrowings on its existing credit agreement, and expects to close the transaction by the end of its fiscal year ending July 31, 2024, subject to prior completion of the information-consultation processes under French law and closing conditions, including regulatory clearances.</w:t>
      </w:r>
    </w:p>
    <w:p>
      <w:pPr>
        <w:spacing w:after="0" w:line="3" w:lineRule="exact"/>
        <w:rPr>
          <w:sz w:val="20"/>
          <w:szCs w:val="20"/>
          <w:color w:val="auto"/>
        </w:rPr>
      </w:pPr>
    </w:p>
    <w:p>
      <w:pPr>
        <w:jc w:val="both"/>
        <w:ind w:firstLine="648"/>
        <w:spacing w:after="0" w:line="326" w:lineRule="auto"/>
        <w:rPr>
          <w:sz w:val="20"/>
          <w:szCs w:val="20"/>
          <w:color w:val="auto"/>
        </w:rPr>
      </w:pPr>
      <w:r>
        <w:rPr>
          <w:rFonts w:ascii="Times New Roman" w:cs="Times New Roman" w:eastAsia="Times New Roman" w:hAnsi="Times New Roman"/>
          <w:sz w:val="20"/>
          <w:szCs w:val="20"/>
          <w:color w:val="auto"/>
        </w:rPr>
        <w:t>Gravotech, with sales of EUR 112 million (approximately USD 121 million) in the year ending December 31, 2023, is a leader in specialized marking and engraving solutions intended for a variety of industries and applications. Gravotech was founded in 1938 and is headquartered in Lyon, France. Gravotech is a leader in the design, manufacture and distribution of innovative solutions for specialized engraving, marking and cutting, offering laser, mechanical engraving, scribing and dot peen capabilities. It manufactures machines and consumables and develops CAD software, and has an international presence in the U.S., Latin America, Europe and Asia-Pacific. Brady is a leader in high-performance industrial printers and adhesive materials, and the acquisition of Gravotech will add specialized direct part marking and engraving capabilities to Brady’s extensive product identification offering.</w:t>
      </w:r>
    </w:p>
    <w:p>
      <w:pPr>
        <w:jc w:val="both"/>
        <w:ind w:firstLine="648"/>
        <w:spacing w:after="0" w:line="324" w:lineRule="auto"/>
        <w:rPr>
          <w:sz w:val="20"/>
          <w:szCs w:val="20"/>
          <w:color w:val="auto"/>
        </w:rPr>
      </w:pPr>
      <w:r>
        <w:rPr>
          <w:rFonts w:ascii="Times New Roman" w:cs="Times New Roman" w:eastAsia="Times New Roman" w:hAnsi="Times New Roman"/>
          <w:sz w:val="20"/>
          <w:szCs w:val="20"/>
          <w:color w:val="auto"/>
        </w:rPr>
        <w:t>“Gravotech is a highly regarded France-based company that is well-known globally for its innovative and differentiated solutions,” said Brady’s President and Chief Executive Officer, Russell R. Shaller. “The planned acquisition of Gravotech expands our product offering into precision direct part marking and engraving, with a product offering complementary to Brady’s. We would intend to grow Gravotech’s addressable market through Brady’s global footprint throughout Europe, Asia and the Americas.”</w:t>
      </w:r>
    </w:p>
    <w:p>
      <w:pPr>
        <w:jc w:val="both"/>
        <w:ind w:right="20" w:firstLine="648"/>
        <w:spacing w:after="0" w:line="339" w:lineRule="auto"/>
        <w:rPr>
          <w:sz w:val="20"/>
          <w:szCs w:val="20"/>
          <w:color w:val="auto"/>
        </w:rPr>
      </w:pPr>
      <w:r>
        <w:rPr>
          <w:rFonts w:ascii="Times New Roman" w:cs="Times New Roman" w:eastAsia="Times New Roman" w:hAnsi="Times New Roman"/>
          <w:sz w:val="20"/>
          <w:szCs w:val="20"/>
          <w:color w:val="auto"/>
        </w:rPr>
        <w:t>Excluding acquisition-related costs, Brady expects this acquisition to be immaterial to earnings per diluted share for the remainder of the fiscal year ending July 31, 2024.</w:t>
      </w:r>
    </w:p>
    <w:p>
      <w:pPr>
        <w:spacing w:after="0" w:line="187" w:lineRule="exact"/>
        <w:rPr>
          <w:sz w:val="20"/>
          <w:szCs w:val="20"/>
          <w:color w:val="auto"/>
        </w:rPr>
      </w:pPr>
    </w:p>
    <w:p>
      <w:pPr>
        <w:jc w:val="both"/>
        <w:ind w:firstLine="648"/>
        <w:spacing w:after="0" w:line="338" w:lineRule="auto"/>
        <w:rPr>
          <w:sz w:val="20"/>
          <w:szCs w:val="20"/>
          <w:color w:val="auto"/>
        </w:rPr>
      </w:pPr>
      <w:r>
        <w:rPr>
          <w:rFonts w:ascii="Times New Roman" w:cs="Times New Roman" w:eastAsia="Times New Roman" w:hAnsi="Times New Roman"/>
          <w:sz w:val="20"/>
          <w:szCs w:val="20"/>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Brady has a diverse customer base in electronics, telecommunications, manufacturing, electrical, construction, medical, aerospace and a variety of other industries. Brady is headquartered in Milwaukee, Wisconsin and as of July 31, 2023, employed approximately 5,600 people in its worldwide businesses. Brady’s fiscal 2023 sales were approximately $1.33 billion. Brady stock trades on the New York Stock Exchange under the symbol BRC. More information is available on the Internet at </w:t>
      </w:r>
      <w:r>
        <w:rPr>
          <w:rFonts w:ascii="Times New Roman" w:cs="Times New Roman" w:eastAsia="Times New Roman" w:hAnsi="Times New Roman"/>
          <w:sz w:val="20"/>
          <w:szCs w:val="20"/>
          <w:u w:val="single" w:color="auto"/>
          <w:color w:val="0000FF"/>
        </w:rPr>
        <w:t>www.bradyid.com</w:t>
      </w:r>
      <w:r>
        <w:rPr>
          <w:rFonts w:ascii="Times New Roman" w:cs="Times New Roman" w:eastAsia="Times New Roman" w:hAnsi="Times New Roman"/>
          <w:sz w:val="20"/>
          <w:szCs w:val="20"/>
          <w:color w:val="000000"/>
        </w:rPr>
        <w:t>.</w:t>
      </w:r>
    </w:p>
    <w:p>
      <w:pPr>
        <w:sectPr>
          <w:pgSz w:w="11900" w:h="16838" w:orient="portrait"/>
          <w:cols w:equalWidth="0" w:num="1">
            <w:col w:w="11240"/>
          </w:cols>
          <w:pgMar w:left="320" w:top="88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3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21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use of words such as “may,” “will,” “expect,” “intend,” “estimate,” “anticipate,” “believe,” “should,” “project,”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including any statements regarding the potential timing of or completion of the acquisition of Gravotech, and any financial impacts of that transaction. For Brady, uncertainties arise from: the occurrence of any event, change or other circumstances that could give rise to the termination of the offer to acquire Gravotech; the expected timing and likelihood of completion of the proposed transaction with Gravotech, including the timing, receipt and terms and conditions of any required governmental and regulatory approvals of the offer that could reduce anticipated benefits or cause the parties to abandon the transaction; the risk that the proposed offer and its announcement could have an adverse effect on the ability of Brady and Gravotech to retain customers and retain and hire key personnel and maintain relationships with their suppliers and customers and on their operating results and businesses generally; increased cost of raw materials and labor as well as material shortages and supply chain disruptions; decreased demand for our products; our ability to compete effectively or to successfully execute our strategy; our ability to develop technologically advanced products that meet customer demands; difficulties in protecting our websites, networks, and systems against security breaches; Brady’s ability to identify, integrate, and grow acquired companies, and to manage contingent liabilities from divested businesses; risks associated with the loss of key employees; extensive regulations by U.S. and non-U.S. governmental and self-regulatory entities; litigation, including product liability claims; adverse impacts of regional epidemics or global pandemics; foreign currency fluctuations; potential write-offs of goodwill and other intangible assets; changes in tax legislation and tax rates; differing interests of voting and non-voting shareholders and changes in the regulatory and business environment around dual-class voting structures; 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2023.</w:t>
      </w:r>
    </w:p>
    <w:p>
      <w:pPr>
        <w:spacing w:after="0" w:line="2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2024-03-15T06:24:35Z</dcterms:created>
  <dcterms:modified xsi:type="dcterms:W3CDTF">2024-03-15T06:24:35Z</dcterms:modified>
</cp:coreProperties>
</file>