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42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Meyer Paul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Director, Tax &amp; Treasury</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09/20/2013</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814</w:t>
            </w:r>
            <w:r>
              <w:rPr>
                <w:rFonts w:ascii="Arial" w:cs="Arial" w:eastAsia="Arial" w:hAnsi="Arial"/>
                <w:sz w:val="22"/>
                <w:szCs w:val="22"/>
                <w:color w:val="008000"/>
                <w:w w:val="79"/>
                <w:vertAlign w:val="superscript"/>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30.72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814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2,605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31.07</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09/20/2013</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2,605</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9"/>
              </w:rPr>
              <w:t>09/20/2023</w:t>
            </w:r>
          </w:p>
        </w:tc>
        <w:tc>
          <w:tcPr>
            <w:tcW w:w="66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w w:val="91"/>
              </w:rPr>
              <w:t>2,605</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restricted stock units which vest one third each year for the three years subsequent to the grant date. Upon vesting, each restricted stock unit is equivalent to one share of Class A Common Stock.</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09/24/2013</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73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2019-12-16T04:19:25Z</dcterms:created>
  <dcterms:modified xsi:type="dcterms:W3CDTF">2019-12-16T04:19:25Z</dcterms:modified>
</cp:coreProperties>
</file>