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67" w:lineRule="exact"/>
        <w:rPr>
          <w:sz w:val="24"/>
          <w:szCs w:val="24"/>
          <w:color w:val="auto"/>
        </w:rPr>
      </w:pPr>
    </w:p>
    <w:p>
      <w:pPr>
        <w:ind w:left="720" w:right="3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8"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July 31, 2013</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2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64"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jc w:val="center"/>
        <w:ind w:right="40"/>
        <w:spacing w:after="0"/>
        <w:rPr>
          <w:sz w:val="20"/>
          <w:szCs w:val="20"/>
          <w:color w:val="auto"/>
        </w:rPr>
      </w:pPr>
      <w:r>
        <w:rPr>
          <w:rFonts w:ascii="Arial" w:cs="Arial" w:eastAsia="Arial" w:hAnsi="Arial"/>
          <w:sz w:val="18"/>
          <w:szCs w:val="18"/>
          <w:b w:val="1"/>
          <w:bCs w:val="1"/>
          <w:color w:val="auto"/>
        </w:rPr>
        <w:t>Commission file number 1-14959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charter)</w:t>
      </w:r>
    </w:p>
    <w:p>
      <w:pPr>
        <w:sectPr>
          <w:pgSz w:w="11900" w:h="16838" w:orient="portrait"/>
          <w:cols w:equalWidth="0" w:num="1">
            <w:col w:w="11420"/>
          </w:cols>
          <w:pgMar w:left="240" w:top="229" w:right="239" w:bottom="1440" w:gutter="0" w:footer="0" w:header="0"/>
          <w:type w:val="continuous"/>
        </w:sectPr>
      </w:pPr>
    </w:p>
    <w:p>
      <w:pPr>
        <w:spacing w:after="0" w:line="390"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6960" w:space="720"/>
            <w:col w:w="3740"/>
          </w:cols>
          <w:pgMar w:left="240" w:top="229" w:right="239" w:bottom="1440" w:gutter="0" w:footer="0" w:header="0"/>
          <w:type w:val="continuous"/>
        </w:sect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6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7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740"/>
        <w:spacing w:after="0"/>
        <w:rPr>
          <w:sz w:val="20"/>
          <w:szCs w:val="20"/>
          <w:color w:val="auto"/>
        </w:rPr>
      </w:pPr>
      <w:r>
        <w:rPr>
          <w:rFonts w:ascii="Arial" w:cs="Arial" w:eastAsia="Arial" w:hAnsi="Arial"/>
          <w:sz w:val="13"/>
          <w:szCs w:val="13"/>
          <w:b w:val="1"/>
          <w:bCs w:val="1"/>
          <w:color w:val="auto"/>
        </w:rPr>
        <w:t>Identification No.)</w:t>
      </w:r>
    </w:p>
    <w:p>
      <w:pPr>
        <w:spacing w:after="0" w:line="41" w:lineRule="exact"/>
        <w:rPr>
          <w:sz w:val="24"/>
          <w:szCs w:val="24"/>
          <w:color w:val="auto"/>
        </w:rPr>
      </w:pPr>
    </w:p>
    <w:p>
      <w:pPr>
        <w:sectPr>
          <w:pgSz w:w="11900" w:h="16838" w:orient="portrait"/>
          <w:cols w:equalWidth="0" w:num="2">
            <w:col w:w="6820" w:space="720"/>
            <w:col w:w="3880"/>
          </w:cols>
          <w:pgMar w:left="240" w:top="229" w:right="239" w:bottom="1440" w:gutter="0" w:footer="0" w:header="0"/>
          <w:type w:val="continuous"/>
        </w:sectPr>
      </w:pPr>
    </w:p>
    <w:p>
      <w:pPr>
        <w:jc w:val="center"/>
        <w:ind w:right="1920"/>
        <w:spacing w:after="0"/>
        <w:rPr>
          <w:sz w:val="20"/>
          <w:szCs w:val="20"/>
          <w:color w:val="auto"/>
        </w:rPr>
      </w:pPr>
      <w:r>
        <w:rPr>
          <w:rFonts w:ascii="Arial" w:cs="Arial" w:eastAsia="Arial" w:hAnsi="Arial"/>
          <w:sz w:val="16"/>
          <w:szCs w:val="16"/>
          <w:b w:val="1"/>
          <w:bCs w:val="1"/>
          <w:color w:val="auto"/>
        </w:rPr>
        <w:t>6555 West Good Hope Road,</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Milwaukee, WI</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53223</w:t>
      </w:r>
    </w:p>
    <w:p>
      <w:pPr>
        <w:spacing w:after="0" w:line="81" w:lineRule="exact"/>
        <w:rPr>
          <w:sz w:val="24"/>
          <w:szCs w:val="24"/>
          <w:color w:val="auto"/>
        </w:rPr>
      </w:pPr>
    </w:p>
    <w:p>
      <w:pPr>
        <w:sectPr>
          <w:pgSz w:w="11900" w:h="16838" w:orient="portrait"/>
          <w:cols w:equalWidth="0" w:num="2">
            <w:col w:w="7160" w:space="720"/>
            <w:col w:w="3540"/>
          </w:cols>
          <w:pgMar w:left="240" w:top="229" w:right="239" w:bottom="1440" w:gutter="0" w:footer="0" w:header="0"/>
          <w:type w:val="continuous"/>
        </w:sectPr>
      </w:pPr>
    </w:p>
    <w:p>
      <w:pPr>
        <w:ind w:left="14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7060" w:space="720"/>
            <w:col w:w="3640"/>
          </w:cols>
          <w:pgMar w:left="240" w:top="22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420"/>
          </w:cols>
          <w:pgMar w:left="240" w:top="229" w:right="239" w:bottom="1440" w:gutter="0" w:footer="0" w:header="0"/>
          <w:type w:val="continuous"/>
        </w:sectPr>
      </w:pP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29" w:right="239" w:bottom="1440" w:gutter="0" w:footer="0" w:header="0"/>
          <w:type w:val="continuous"/>
        </w:sectPr>
      </w:pPr>
    </w:p>
    <w:p>
      <w:pPr>
        <w:spacing w:after="0" w:line="190" w:lineRule="exact"/>
        <w:rPr>
          <w:sz w:val="24"/>
          <w:szCs w:val="24"/>
          <w:color w:val="auto"/>
        </w:rPr>
      </w:pPr>
    </w:p>
    <w:p>
      <w:pPr>
        <w:ind w:left="20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2">
            <w:col w:w="6060" w:space="720"/>
            <w:col w:w="4640"/>
          </w:cols>
          <w:pgMar w:left="240" w:top="229" w:right="239" w:bottom="1440" w:gutter="0" w:footer="0" w:header="0"/>
          <w:type w:val="continuous"/>
        </w:sectPr>
      </w:pPr>
    </w:p>
    <w:p>
      <w:pPr>
        <w:jc w:val="center"/>
        <w:ind w:right="1140"/>
        <w:spacing w:after="0"/>
        <w:rPr>
          <w:sz w:val="20"/>
          <w:szCs w:val="20"/>
          <w:color w:val="auto"/>
        </w:rPr>
      </w:pPr>
      <w:r>
        <w:rPr>
          <w:rFonts w:ascii="Arial" w:cs="Arial" w:eastAsia="Arial" w:hAnsi="Arial"/>
          <w:sz w:val="16"/>
          <w:szCs w:val="16"/>
          <w:b w:val="1"/>
          <w:bCs w:val="1"/>
          <w:color w:val="auto"/>
        </w:rPr>
        <w:t>Class A Nonvoting Common Stock, Par</w:t>
      </w:r>
    </w:p>
    <w:p>
      <w:pPr>
        <w:spacing w:after="0" w:line="50"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356" w:lineRule="exact"/>
        <w:rPr>
          <w:sz w:val="24"/>
          <w:szCs w:val="24"/>
          <w:color w:val="auto"/>
        </w:rPr>
      </w:pPr>
    </w:p>
    <w:p>
      <w:pPr>
        <w:sectPr>
          <w:pgSz w:w="11900" w:h="16838" w:orient="portrait"/>
          <w:cols w:equalWidth="0" w:num="2">
            <w:col w:w="6380" w:space="720"/>
            <w:col w:w="432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229" w:right="239" w:bottom="1440" w:gutter="0" w:footer="0" w:header="0"/>
          <w:type w:val="continuous"/>
        </w:sectPr>
      </w:pPr>
    </w:p>
    <w:p>
      <w:pPr>
        <w:spacing w:after="0" w:line="71"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5">
            <w:col w:w="7200" w:space="140"/>
            <w:col w:w="200" w:space="80"/>
            <w:col w:w="120" w:space="160"/>
            <w:col w:w="180" w:space="60"/>
            <w:col w:w="3280"/>
          </w:cols>
          <w:pgMar w:left="240" w:top="229" w:right="239" w:bottom="1440" w:gutter="0" w:footer="0" w:header="0"/>
          <w:type w:val="continuous"/>
        </w:sectPr>
      </w:pPr>
    </w:p>
    <w:p>
      <w:pPr>
        <w:spacing w:after="0" w:line="27"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7320" w:space="140"/>
            <w:col w:w="220" w:space="60"/>
            <w:col w:w="140" w:space="140"/>
            <w:col w:w="180" w:space="80"/>
            <w:col w:w="3140"/>
          </w:cols>
          <w:pgMar w:left="240" w:top="229" w:right="239" w:bottom="1440" w:gutter="0" w:footer="0" w:header="0"/>
          <w:type w:val="continuous"/>
        </w:sectPr>
      </w:pPr>
    </w:p>
    <w:p>
      <w:pPr>
        <w:jc w:val="both"/>
        <w:ind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40" w:type="dxa"/>
            <w:vAlign w:val="bottom"/>
          </w:tcPr>
          <w:p>
            <w:pPr>
              <w:ind w:left="220"/>
              <w:spacing w:after="0"/>
              <w:rPr>
                <w:sz w:val="20"/>
                <w:szCs w:val="20"/>
                <w:color w:val="auto"/>
              </w:rPr>
            </w:pPr>
            <w:r>
              <w:rPr>
                <w:rFonts w:ascii="Arial" w:cs="Arial" w:eastAsia="Arial" w:hAnsi="Arial"/>
                <w:sz w:val="14"/>
                <w:szCs w:val="14"/>
                <w:color w:val="auto"/>
              </w:rPr>
              <w:t>x</w:t>
            </w:r>
          </w:p>
        </w:tc>
        <w:tc>
          <w:tcPr>
            <w:tcW w:w="4100" w:type="dxa"/>
            <w:vAlign w:val="bottom"/>
          </w:tcPr>
          <w:p>
            <w:pPr>
              <w:ind w:left="84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4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00" w:type="dxa"/>
            <w:vAlign w:val="bottom"/>
          </w:tcPr>
          <w:p>
            <w:pPr>
              <w:ind w:left="840"/>
              <w:spacing w:after="0"/>
              <w:rPr>
                <w:sz w:val="20"/>
                <w:szCs w:val="20"/>
                <w:color w:val="auto"/>
              </w:rPr>
            </w:pPr>
            <w:r>
              <w:rPr>
                <w:rFonts w:ascii="Arial" w:cs="Arial" w:eastAsia="Arial" w:hAnsi="Arial"/>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ind w:left="440"/>
        <w:spacing w:after="0" w:line="161" w:lineRule="exact"/>
        <w:tabs>
          <w:tab w:leader="none" w:pos="6500" w:val="left"/>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jc w:val="both"/>
        <w:ind w:firstLine="432"/>
        <w:spacing w:after="0" w:line="286"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2013, was approximately $1,441,914,982 based on closing sale price of $34.89 per share on that date as reported for the New York Stock Exchange. As of September 24, 2013, there were 48,561,004 outstanding shares of Class A Nonvoting Common Stock (the “Class A Common Stock”), and 3,538,628 shares of Class B Common Stock. The Class B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PART I</w:t>
            </w:r>
          </w:p>
        </w:tc>
        <w:tc>
          <w:tcPr>
            <w:tcW w:w="4660" w:type="dxa"/>
            <w:vAlign w:val="bottom"/>
            <w:gridSpan w:val="11"/>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1280" w:type="dxa"/>
            <w:vAlign w:val="bottom"/>
            <w:gridSpan w:val="5"/>
            <w:vMerge w:val="restart"/>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Item.1 Business</w:t>
              </w:r>
            </w:hyperlink>
          </w:p>
        </w:tc>
        <w:tc>
          <w:tcPr>
            <w:tcW w:w="8620" w:type="dxa"/>
            <w:vAlign w:val="bottom"/>
            <w:gridSpan w:val="47"/>
            <w:vMerge w:val="restart"/>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0000FF"/>
            </w:tcBorders>
            <w:gridSpan w:val="5"/>
            <w:vMerge w:val="continue"/>
          </w:tcPr>
          <w:p>
            <w:pPr>
              <w:spacing w:after="0"/>
              <w:rPr>
                <w:sz w:val="16"/>
                <w:szCs w:val="16"/>
                <w:color w:val="auto"/>
              </w:rPr>
            </w:pPr>
          </w:p>
        </w:tc>
        <w:tc>
          <w:tcPr>
            <w:tcW w:w="8620" w:type="dxa"/>
            <w:vAlign w:val="bottom"/>
            <w:gridSpan w:val="47"/>
            <w:vMerge w:val="continue"/>
          </w:tcPr>
          <w:p>
            <w:pPr>
              <w:spacing w:after="0"/>
              <w:rPr>
                <w:sz w:val="16"/>
                <w:szCs w:val="16"/>
                <w:color w:val="auto"/>
              </w:rPr>
            </w:pPr>
          </w:p>
        </w:tc>
        <w:tc>
          <w:tcPr>
            <w:tcW w:w="136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General Development of Business</w:t>
              </w:r>
            </w:hyperlink>
          </w:p>
        </w:tc>
        <w:tc>
          <w:tcPr>
            <w:tcW w:w="7080" w:type="dxa"/>
            <w:vAlign w:val="bottom"/>
            <w:gridSpan w:val="31"/>
          </w:tcPr>
          <w:p>
            <w:pPr>
              <w:spacing w:after="0"/>
              <w:rPr>
                <w:sz w:val="22"/>
                <w:szCs w:val="22"/>
                <w:color w:val="auto"/>
              </w:rPr>
            </w:pPr>
          </w:p>
        </w:tc>
        <w:tc>
          <w:tcPr>
            <w:tcW w:w="1360" w:type="dxa"/>
            <w:vAlign w:val="bottom"/>
            <w:gridSpan w:val="3"/>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80" w:type="dxa"/>
            <w:vAlign w:val="bottom"/>
            <w:tcBorders>
              <w:bottom w:val="single" w:sz="8" w:color="0000FF"/>
            </w:tcBorders>
            <w:gridSpan w:val="27"/>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Financial Information About Industry Segments</w:t>
              </w:r>
            </w:hyperlink>
          </w:p>
        </w:tc>
        <w:tc>
          <w:tcPr>
            <w:tcW w:w="6080" w:type="dxa"/>
            <w:vAlign w:val="bottom"/>
            <w:gridSpan w:val="24"/>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6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Narrative Description of Business</w:t>
              </w:r>
            </w:hyperlink>
          </w:p>
        </w:tc>
        <w:tc>
          <w:tcPr>
            <w:tcW w:w="7100" w:type="dxa"/>
            <w:vAlign w:val="bottom"/>
            <w:gridSpan w:val="32"/>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Overview</w:t>
              </w:r>
            </w:hyperlink>
          </w:p>
        </w:tc>
        <w:tc>
          <w:tcPr>
            <w:tcW w:w="8520" w:type="dxa"/>
            <w:vAlign w:val="bottom"/>
            <w:gridSpan w:val="46"/>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Research and Development</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Operations</w:t>
              </w:r>
            </w:hyperlink>
          </w:p>
        </w:tc>
        <w:tc>
          <w:tcPr>
            <w:tcW w:w="1180" w:type="dxa"/>
            <w:vAlign w:val="bottom"/>
            <w:tcBorders>
              <w:top w:val="single" w:sz="8" w:color="0000FF"/>
            </w:tcBorders>
            <w:gridSpan w:val="11"/>
          </w:tcPr>
          <w:p>
            <w:pPr>
              <w:spacing w:after="0"/>
              <w:rPr>
                <w:sz w:val="21"/>
                <w:szCs w:val="21"/>
                <w:color w:val="auto"/>
              </w:rPr>
            </w:pPr>
          </w:p>
        </w:tc>
        <w:tc>
          <w:tcPr>
            <w:tcW w:w="7260" w:type="dxa"/>
            <w:vAlign w:val="bottom"/>
            <w:gridSpan w:val="34"/>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Environment</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6">
              <w:r>
                <w:rPr>
                  <w:rFonts w:ascii="Arial" w:cs="Arial" w:eastAsia="Arial" w:hAnsi="Arial"/>
                  <w:sz w:val="18"/>
                  <w:szCs w:val="18"/>
                  <w:color w:val="0000FF"/>
                  <w:w w:val="87"/>
                </w:rPr>
                <w:t>Employees</w:t>
              </w:r>
            </w:hyperlink>
          </w:p>
        </w:tc>
        <w:tc>
          <w:tcPr>
            <w:tcW w:w="120" w:type="dxa"/>
            <w:vAlign w:val="bottom"/>
            <w:tcBorders>
              <w:top w:val="single" w:sz="8" w:color="0000FF"/>
            </w:tcBorders>
            <w:gridSpan w:val="2"/>
          </w:tcPr>
          <w:p>
            <w:pPr>
              <w:spacing w:after="0"/>
              <w:rPr>
                <w:sz w:val="21"/>
                <w:szCs w:val="21"/>
                <w:color w:val="auto"/>
              </w:rPr>
            </w:pPr>
          </w:p>
        </w:tc>
        <w:tc>
          <w:tcPr>
            <w:tcW w:w="8300" w:type="dxa"/>
            <w:vAlign w:val="bottom"/>
            <w:gridSpan w:val="42"/>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20" w:type="dxa"/>
            <w:vAlign w:val="bottom"/>
            <w:tcBorders>
              <w:bottom w:val="single" w:sz="8" w:color="0000FF"/>
            </w:tcBorders>
            <w:gridSpan w:val="45"/>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Financial Information About Foreign and Domestic Operations and Export Sales</w:t>
              </w:r>
            </w:hyperlink>
          </w:p>
        </w:tc>
        <w:tc>
          <w:tcPr>
            <w:tcW w:w="3740" w:type="dxa"/>
            <w:vAlign w:val="bottom"/>
            <w:gridSpan w:val="6"/>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700" w:type="dxa"/>
            <w:vAlign w:val="bottom"/>
            <w:tcBorders>
              <w:bottom w:val="single" w:sz="8" w:color="0000FF"/>
            </w:tcBorders>
            <w:gridSpan w:val="22"/>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Information Available on the Internet</w:t>
              </w:r>
            </w:hyperlink>
          </w:p>
        </w:tc>
        <w:tc>
          <w:tcPr>
            <w:tcW w:w="6860" w:type="dxa"/>
            <w:vAlign w:val="bottom"/>
            <w:gridSpan w:val="29"/>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Item 1A. Risk Factors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19"/>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Item 1B. Unresolved Staff Comments</w:t>
              </w:r>
            </w:hyperlink>
          </w:p>
        </w:tc>
        <w:tc>
          <w:tcPr>
            <w:tcW w:w="7180" w:type="dxa"/>
            <w:vAlign w:val="bottom"/>
            <w:gridSpan w:val="3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Item 2. Properties</w:t>
              </w:r>
            </w:hyperlink>
          </w:p>
        </w:tc>
        <w:tc>
          <w:tcPr>
            <w:tcW w:w="1440" w:type="dxa"/>
            <w:vAlign w:val="bottom"/>
            <w:gridSpan w:val="14"/>
          </w:tcPr>
          <w:p>
            <w:pPr>
              <w:spacing w:after="0"/>
              <w:rPr>
                <w:sz w:val="21"/>
                <w:szCs w:val="21"/>
                <w:color w:val="auto"/>
              </w:rPr>
            </w:pPr>
          </w:p>
        </w:tc>
        <w:tc>
          <w:tcPr>
            <w:tcW w:w="7180" w:type="dxa"/>
            <w:vAlign w:val="bottom"/>
            <w:gridSpan w:val="3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Item 3. Legal Proceedings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12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Item 4. Mine Safety Disclosures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6"/>
          </w:tcPr>
          <w:p>
            <w:pPr>
              <w:jc w:val="center"/>
              <w:ind w:right="4640"/>
              <w:spacing w:after="0"/>
              <w:rPr>
                <w:sz w:val="20"/>
                <w:szCs w:val="20"/>
                <w:color w:val="auto"/>
              </w:rPr>
            </w:pPr>
            <w:r>
              <w:rPr>
                <w:rFonts w:ascii="Arial" w:cs="Arial" w:eastAsia="Arial" w:hAnsi="Arial"/>
                <w:sz w:val="18"/>
                <w:szCs w:val="18"/>
                <w:b w:val="1"/>
                <w:bCs w:val="1"/>
                <w:color w:val="auto"/>
                <w:w w:val="99"/>
              </w:rPr>
              <w:t>PART II</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51"/>
          </w:tcPr>
          <w:p>
            <w:pPr>
              <w:spacing w:after="0"/>
              <w:rPr>
                <w:rFonts w:ascii="Arial" w:cs="Arial" w:eastAsia="Arial" w:hAnsi="Arial"/>
                <w:sz w:val="18"/>
                <w:szCs w:val="18"/>
                <w:color w:val="0000FF"/>
                <w:w w:val="91"/>
              </w:rPr>
            </w:pPr>
            <w:hyperlink w:anchor="page13">
              <w:r>
                <w:rPr>
                  <w:rFonts w:ascii="Arial" w:cs="Arial" w:eastAsia="Arial" w:hAnsi="Arial"/>
                  <w:sz w:val="18"/>
                  <w:szCs w:val="18"/>
                  <w:color w:val="0000FF"/>
                  <w:w w:val="91"/>
                </w:rPr>
                <w:t>Item 5. Market for Registrant’s Common Equity, Related Stockholder Matters and Issuer Purchases of Equity Securities</w:t>
              </w:r>
            </w:hyperlink>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Item 6. Selected Financial Data</w:t>
              </w:r>
            </w:hyperlink>
          </w:p>
        </w:tc>
        <w:tc>
          <w:tcPr>
            <w:tcW w:w="6420" w:type="dxa"/>
            <w:vAlign w:val="bottom"/>
            <w:gridSpan w:val="38"/>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gridSpan w:val="47"/>
          </w:tcPr>
          <w:p>
            <w:pPr>
              <w:spacing w:after="0"/>
              <w:rPr>
                <w:rFonts w:ascii="Arial" w:cs="Arial" w:eastAsia="Arial" w:hAnsi="Arial"/>
                <w:sz w:val="18"/>
                <w:szCs w:val="18"/>
                <w:color w:val="0000FF"/>
                <w:w w:val="91"/>
              </w:rPr>
            </w:pPr>
            <w:hyperlink w:anchor="page16">
              <w:r>
                <w:rPr>
                  <w:rFonts w:ascii="Arial" w:cs="Arial" w:eastAsia="Arial" w:hAnsi="Arial"/>
                  <w:sz w:val="18"/>
                  <w:szCs w:val="18"/>
                  <w:color w:val="0000FF"/>
                  <w:w w:val="91"/>
                </w:rPr>
                <w:t>Item 7. 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9"/>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7A. Quantitative and Qualitative Disclosures About Market Risk</w:t>
              </w:r>
            </w:hyperlink>
          </w:p>
        </w:tc>
        <w:tc>
          <w:tcPr>
            <w:tcW w:w="2020" w:type="dxa"/>
            <w:vAlign w:val="bottom"/>
            <w:gridSpan w:val="8"/>
          </w:tcPr>
          <w:p>
            <w:pPr>
              <w:spacing w:after="0"/>
              <w:rPr>
                <w:sz w:val="21"/>
                <w:szCs w:val="21"/>
                <w:color w:val="auto"/>
              </w:rPr>
            </w:pPr>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29"/>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Item 8. Financial Statements and Supplementary Data</w:t>
              </w:r>
            </w:hyperlink>
          </w:p>
        </w:tc>
        <w:tc>
          <w:tcPr>
            <w:tcW w:w="1160" w:type="dxa"/>
            <w:vAlign w:val="bottom"/>
            <w:gridSpan w:val="10"/>
          </w:tcPr>
          <w:p>
            <w:pPr>
              <w:spacing w:after="0"/>
              <w:rPr>
                <w:sz w:val="21"/>
                <w:szCs w:val="21"/>
                <w:color w:val="auto"/>
              </w:rPr>
            </w:pPr>
          </w:p>
        </w:tc>
        <w:tc>
          <w:tcPr>
            <w:tcW w:w="4860" w:type="dxa"/>
            <w:vAlign w:val="bottom"/>
            <w:gridSpan w:val="1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Item 9. Changes in and Disagreements With Accountants on Accounting and Financial Disclosure</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0000FF"/>
                <w:w w:val="88"/>
              </w:rPr>
            </w:pPr>
            <w:hyperlink w:anchor="page72">
              <w:r>
                <w:rPr>
                  <w:rFonts w:ascii="Arial" w:cs="Arial" w:eastAsia="Arial" w:hAnsi="Arial"/>
                  <w:sz w:val="18"/>
                  <w:szCs w:val="18"/>
                  <w:color w:val="0000FF"/>
                  <w:w w:val="88"/>
                </w:rPr>
                <w:t>Item 9A. Controls and Procedures</w:t>
              </w:r>
            </w:hyperlink>
          </w:p>
        </w:tc>
        <w:tc>
          <w:tcPr>
            <w:tcW w:w="4660" w:type="dxa"/>
            <w:vAlign w:val="bottom"/>
            <w:gridSpan w:val="32"/>
          </w:tcPr>
          <w:p>
            <w:pPr>
              <w:spacing w:after="0"/>
              <w:rPr>
                <w:sz w:val="21"/>
                <w:szCs w:val="21"/>
                <w:color w:val="auto"/>
              </w:rPr>
            </w:pPr>
          </w:p>
        </w:tc>
        <w:tc>
          <w:tcPr>
            <w:tcW w:w="28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9B. Other Information</w:t>
              </w:r>
            </w:hyperlink>
          </w:p>
        </w:tc>
        <w:tc>
          <w:tcPr>
            <w:tcW w:w="7460" w:type="dxa"/>
            <w:vAlign w:val="bottom"/>
            <w:gridSpan w:val="36"/>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0" w:type="dxa"/>
            <w:vAlign w:val="bottom"/>
            <w:gridSpan w:val="19"/>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60" w:type="dxa"/>
            <w:vAlign w:val="bottom"/>
            <w:gridSpan w:val="32"/>
          </w:tcPr>
          <w:p>
            <w:pPr>
              <w:spacing w:after="0"/>
              <w:rPr>
                <w:rFonts w:ascii="Arial" w:cs="Arial" w:eastAsia="Arial" w:hAnsi="Arial"/>
                <w:sz w:val="18"/>
                <w:szCs w:val="18"/>
                <w:color w:val="0000FF"/>
                <w:w w:val="91"/>
              </w:rPr>
            </w:pPr>
            <w:hyperlink w:anchor="page75">
              <w:r>
                <w:rPr>
                  <w:rFonts w:ascii="Arial" w:cs="Arial" w:eastAsia="Arial" w:hAnsi="Arial"/>
                  <w:sz w:val="18"/>
                  <w:szCs w:val="18"/>
                  <w:color w:val="0000FF"/>
                  <w:w w:val="91"/>
                </w:rPr>
                <w:t>Item 10. Directors and Executive Officers of the Registrant</w:t>
              </w:r>
            </w:hyperlink>
          </w:p>
        </w:tc>
        <w:tc>
          <w:tcPr>
            <w:tcW w:w="320" w:type="dxa"/>
            <w:vAlign w:val="bottom"/>
            <w:gridSpan w:val="2"/>
          </w:tcPr>
          <w:p>
            <w:pPr>
              <w:spacing w:after="0"/>
              <w:rPr>
                <w:sz w:val="21"/>
                <w:szCs w:val="21"/>
                <w:color w:val="auto"/>
              </w:rPr>
            </w:pPr>
          </w:p>
        </w:tc>
        <w:tc>
          <w:tcPr>
            <w:tcW w:w="740" w:type="dxa"/>
            <w:vAlign w:val="bottom"/>
            <w:tcBorders>
              <w:top w:val="single" w:sz="8" w:color="auto"/>
            </w:tcBorders>
            <w:gridSpan w:val="10"/>
          </w:tcPr>
          <w:p>
            <w:pPr>
              <w:spacing w:after="0"/>
              <w:rPr>
                <w:sz w:val="21"/>
                <w:szCs w:val="21"/>
                <w:color w:val="auto"/>
              </w:rPr>
            </w:pPr>
          </w:p>
        </w:tc>
        <w:tc>
          <w:tcPr>
            <w:tcW w:w="4580" w:type="dxa"/>
            <w:vAlign w:val="bottom"/>
            <w:gridSpan w:val="8"/>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Item 11. Executive Compensation</w:t>
              </w:r>
            </w:hyperlink>
          </w:p>
        </w:tc>
        <w:tc>
          <w:tcPr>
            <w:tcW w:w="1820" w:type="dxa"/>
            <w:vAlign w:val="bottom"/>
            <w:gridSpan w:val="16"/>
          </w:tcPr>
          <w:p>
            <w:pPr>
              <w:spacing w:after="0"/>
              <w:rPr>
                <w:sz w:val="21"/>
                <w:szCs w:val="21"/>
                <w:color w:val="auto"/>
              </w:rPr>
            </w:pPr>
          </w:p>
        </w:tc>
        <w:tc>
          <w:tcPr>
            <w:tcW w:w="5640" w:type="dxa"/>
            <w:vAlign w:val="bottom"/>
            <w:gridSpan w:val="2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Compensation Discussion and Analysis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780" w:type="dxa"/>
            <w:vAlign w:val="bottom"/>
            <w:gridSpan w:val="48"/>
          </w:tcPr>
          <w:p>
            <w:pPr>
              <w:spacing w:after="0"/>
              <w:rPr>
                <w:rFonts w:ascii="Arial" w:cs="Arial" w:eastAsia="Arial" w:hAnsi="Arial"/>
                <w:sz w:val="18"/>
                <w:szCs w:val="18"/>
                <w:color w:val="0000FF"/>
                <w:w w:val="90"/>
              </w:rPr>
            </w:pPr>
            <w:hyperlink w:anchor="page91">
              <w:r>
                <w:rPr>
                  <w:rFonts w:ascii="Arial" w:cs="Arial" w:eastAsia="Arial" w:hAnsi="Arial"/>
                  <w:sz w:val="18"/>
                  <w:szCs w:val="18"/>
                  <w:color w:val="0000FF"/>
                  <w:w w:val="90"/>
                </w:rPr>
                <w:t>Management Development and Compensation Committee Interlocks and Insider Participation</w:t>
              </w:r>
            </w:hyperlink>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9"/>
          </w:tcPr>
          <w:p>
            <w:pPr>
              <w:spacing w:after="0"/>
              <w:rPr>
                <w:rFonts w:ascii="Arial" w:cs="Arial" w:eastAsia="Arial" w:hAnsi="Arial"/>
                <w:sz w:val="18"/>
                <w:szCs w:val="18"/>
                <w:color w:val="0000FF"/>
                <w:w w:val="90"/>
              </w:rPr>
            </w:pPr>
            <w:hyperlink w:anchor="page91">
              <w:r>
                <w:rPr>
                  <w:rFonts w:ascii="Arial" w:cs="Arial" w:eastAsia="Arial" w:hAnsi="Arial"/>
                  <w:sz w:val="18"/>
                  <w:szCs w:val="18"/>
                  <w:color w:val="0000FF"/>
                  <w:w w:val="90"/>
                </w:rPr>
                <w:t>Management Development and Compensation Committee Report</w:t>
              </w:r>
            </w:hyperlink>
          </w:p>
        </w:tc>
        <w:tc>
          <w:tcPr>
            <w:tcW w:w="2040" w:type="dxa"/>
            <w:vAlign w:val="bottom"/>
            <w:gridSpan w:val="9"/>
          </w:tcPr>
          <w:p>
            <w:pPr>
              <w:spacing w:after="0"/>
              <w:rPr>
                <w:sz w:val="21"/>
                <w:szCs w:val="21"/>
                <w:color w:val="auto"/>
              </w:rPr>
            </w:pPr>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9"/>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Compensation Policies and Practices</w:t>
              </w:r>
            </w:hyperlink>
          </w:p>
        </w:tc>
        <w:tc>
          <w:tcPr>
            <w:tcW w:w="4820" w:type="dxa"/>
            <w:vAlign w:val="bottom"/>
            <w:gridSpan w:val="1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Summary Compensation Table</w:t>
              </w:r>
            </w:hyperlink>
          </w:p>
        </w:tc>
        <w:tc>
          <w:tcPr>
            <w:tcW w:w="420" w:type="dxa"/>
            <w:vAlign w:val="bottom"/>
            <w:gridSpan w:val="5"/>
          </w:tcPr>
          <w:p>
            <w:pPr>
              <w:spacing w:after="0"/>
              <w:rPr>
                <w:sz w:val="21"/>
                <w:szCs w:val="21"/>
                <w:color w:val="auto"/>
              </w:rPr>
            </w:pPr>
          </w:p>
        </w:tc>
        <w:tc>
          <w:tcPr>
            <w:tcW w:w="6900" w:type="dxa"/>
            <w:vAlign w:val="bottom"/>
            <w:gridSpan w:val="3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gridSpan w:val="23"/>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Grants of Plan-Based Awards for 2013</w:t>
              </w:r>
            </w:hyperlink>
          </w:p>
        </w:tc>
        <w:tc>
          <w:tcPr>
            <w:tcW w:w="6760" w:type="dxa"/>
            <w:vAlign w:val="bottom"/>
            <w:gridSpan w:val="28"/>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840" w:type="dxa"/>
            <w:vAlign w:val="bottom"/>
            <w:gridSpan w:val="10"/>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Outstanding Equity Awards at 2013 Fiscal Year End</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20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60" w:type="dxa"/>
            <w:vAlign w:val="bottom"/>
            <w:gridSpan w:val="30"/>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Option Exercises and Stock Vested for Fiscal 2013</w:t>
              </w:r>
            </w:hyperlink>
          </w:p>
        </w:tc>
        <w:tc>
          <w:tcPr>
            <w:tcW w:w="5800" w:type="dxa"/>
            <w:vAlign w:val="bottom"/>
            <w:gridSpan w:val="21"/>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20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Non-Qualified Deferred Compensation for Fiscal 2013</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20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Potential Payments Upon Termination or Change in Control</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20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gridSpan w:val="8"/>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60" w:type="dxa"/>
            <w:vAlign w:val="bottom"/>
            <w:gridSpan w:val="13"/>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Compensation of Directors</w:t>
              </w:r>
            </w:hyperlink>
          </w:p>
        </w:tc>
        <w:tc>
          <w:tcPr>
            <w:tcW w:w="2360" w:type="dxa"/>
            <w:vAlign w:val="bottom"/>
            <w:gridSpan w:val="24"/>
          </w:tcPr>
          <w:p>
            <w:pPr>
              <w:spacing w:after="0"/>
              <w:rPr>
                <w:sz w:val="21"/>
                <w:szCs w:val="21"/>
                <w:color w:val="auto"/>
              </w:rPr>
            </w:pPr>
          </w:p>
        </w:tc>
        <w:tc>
          <w:tcPr>
            <w:tcW w:w="5240" w:type="dxa"/>
            <w:vAlign w:val="bottom"/>
            <w:gridSpan w:val="1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100">
              <w:r>
                <w:rPr>
                  <w:rFonts w:ascii="Arial" w:cs="Arial" w:eastAsia="Arial" w:hAnsi="Arial"/>
                  <w:sz w:val="18"/>
                  <w:szCs w:val="18"/>
                  <w:color w:val="0000FF"/>
                </w:rPr>
                <w:t>99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4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Director Compensation Table — Fiscal 2013</w:t>
              </w:r>
            </w:hyperlink>
          </w:p>
        </w:tc>
        <w:tc>
          <w:tcPr>
            <w:tcW w:w="6320" w:type="dxa"/>
            <w:vAlign w:val="bottom"/>
            <w:gridSpan w:val="26"/>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1">
              <w:r>
                <w:rPr>
                  <w:rFonts w:ascii="Arial" w:cs="Arial" w:eastAsia="Arial" w:hAnsi="Arial"/>
                  <w:sz w:val="18"/>
                  <w:szCs w:val="18"/>
                  <w:color w:val="0000FF"/>
                  <w:w w:val="86"/>
                </w:rPr>
                <w:t>100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0000FF"/>
            </w:tcBorders>
            <w:gridSpan w:val="50"/>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1">
              <w:r>
                <w:rPr>
                  <w:rFonts w:ascii="Arial" w:cs="Arial" w:eastAsia="Arial" w:hAnsi="Arial"/>
                  <w:sz w:val="18"/>
                  <w:szCs w:val="18"/>
                  <w:color w:val="0000FF"/>
                  <w:w w:val="86"/>
                </w:rPr>
                <w:t>101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0000FF"/>
            </w:tcBorders>
            <w:gridSpan w:val="45"/>
          </w:tcPr>
          <w:p>
            <w:pP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Item 13. Certain Relationships, Related Transactions, and Director Independence</w:t>
              </w:r>
            </w:hyperlink>
          </w:p>
        </w:tc>
        <w:tc>
          <w:tcPr>
            <w:tcW w:w="4060" w:type="dxa"/>
            <w:vAlign w:val="bottom"/>
            <w:gridSpan w:val="7"/>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103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Item 14. Principal Accounting Fees and Services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104">
              <w:r>
                <w:rPr>
                  <w:rFonts w:ascii="Arial" w:cs="Arial" w:eastAsia="Arial" w:hAnsi="Arial"/>
                  <w:sz w:val="18"/>
                  <w:szCs w:val="18"/>
                  <w:color w:val="0000FF"/>
                </w:rPr>
                <w:t>103</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18"/>
          </w:tcPr>
          <w:p>
            <w:pPr>
              <w:jc w:val="center"/>
              <w:ind w:right="4600"/>
              <w:spacing w:after="0"/>
              <w:rPr>
                <w:sz w:val="20"/>
                <w:szCs w:val="20"/>
                <w:color w:val="auto"/>
              </w:rPr>
            </w:pPr>
            <w:r>
              <w:rPr>
                <w:rFonts w:ascii="Arial" w:cs="Arial" w:eastAsia="Arial" w:hAnsi="Arial"/>
                <w:sz w:val="18"/>
                <w:szCs w:val="18"/>
                <w:b w:val="1"/>
                <w:bCs w:val="1"/>
                <w:color w:val="auto"/>
              </w:rPr>
              <w:t>PART IV</w:t>
            </w:r>
          </w:p>
        </w:tc>
        <w:tc>
          <w:tcPr>
            <w:tcW w:w="11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0000FF"/>
            </w:tcBorders>
            <w:gridSpan w:val="27"/>
          </w:tcPr>
          <w:p>
            <w:pPr>
              <w:spacing w:after="0"/>
              <w:rPr>
                <w:rFonts w:ascii="Arial" w:cs="Arial" w:eastAsia="Arial" w:hAnsi="Arial"/>
                <w:sz w:val="18"/>
                <w:szCs w:val="18"/>
                <w:color w:val="0000FF"/>
                <w:w w:val="89"/>
              </w:rPr>
            </w:pPr>
            <w:hyperlink w:anchor="page105">
              <w:r>
                <w:rPr>
                  <w:rFonts w:ascii="Arial" w:cs="Arial" w:eastAsia="Arial" w:hAnsi="Arial"/>
                  <w:sz w:val="18"/>
                  <w:szCs w:val="18"/>
                  <w:color w:val="0000FF"/>
                  <w:w w:val="89"/>
                </w:rPr>
                <w:t>Item 15. Exhibits and Financial Statement Schedules</w:t>
              </w:r>
            </w:hyperlink>
          </w:p>
        </w:tc>
        <w:tc>
          <w:tcPr>
            <w:tcW w:w="800" w:type="dxa"/>
            <w:vAlign w:val="bottom"/>
            <w:gridSpan w:val="8"/>
          </w:tcPr>
          <w:p>
            <w:pPr>
              <w:spacing w:after="0"/>
              <w:rPr>
                <w:sz w:val="21"/>
                <w:szCs w:val="21"/>
                <w:color w:val="auto"/>
              </w:rPr>
            </w:pPr>
          </w:p>
        </w:tc>
        <w:tc>
          <w:tcPr>
            <w:tcW w:w="700" w:type="dxa"/>
            <w:vAlign w:val="bottom"/>
            <w:tcBorders>
              <w:top w:val="single" w:sz="8" w:color="auto"/>
            </w:tcBorders>
            <w:gridSpan w:val="8"/>
          </w:tcPr>
          <w:p>
            <w:pPr>
              <w:spacing w:after="0"/>
              <w:rPr>
                <w:sz w:val="21"/>
                <w:szCs w:val="21"/>
                <w:color w:val="auto"/>
              </w:rPr>
            </w:pPr>
          </w:p>
        </w:tc>
        <w:tc>
          <w:tcPr>
            <w:tcW w:w="4600" w:type="dxa"/>
            <w:vAlign w:val="bottom"/>
            <w:gridSpan w:val="9"/>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109">
              <w:r>
                <w:rPr>
                  <w:rFonts w:ascii="Arial" w:cs="Arial" w:eastAsia="Arial" w:hAnsi="Arial"/>
                  <w:sz w:val="18"/>
                  <w:szCs w:val="18"/>
                  <w:color w:val="0000FF"/>
                  <w:w w:val="85"/>
                </w:rPr>
                <w:t>Signatures</w:t>
              </w:r>
            </w:hyperlink>
          </w:p>
        </w:tc>
        <w:tc>
          <w:tcPr>
            <w:tcW w:w="9140" w:type="dxa"/>
            <w:vAlign w:val="bottom"/>
            <w:gridSpan w:val="49"/>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Development of Business</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color w:val="auto"/>
        </w:rPr>
        <w:t>The Company’s primary objective is to build upon its leading market position and increase shareholder value by leveraging competitive strengths including:</w:t>
      </w:r>
    </w:p>
    <w:p>
      <w:pPr>
        <w:spacing w:after="0" w:line="1"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Innovation advantage — Internally developed products drive growth and sustain gross profit margins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business simplification and process transformation</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service — Focus on the customer and understanding customer needs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Workplace Safety ("WPS") compliance expertise</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fiscal 2013, we made significant portfolio changes to better align the Company for growth in the future. These changes were a meaningful shift from the more volatile and less profitable consumer electronics die-cut business, to an expansion of our core Identification Solutions (“ID Solutions" or "IDS”) business to focus on markets with long-term growth trends. In our WPS business, our strategy to return to growth includes a focus on workplace safety critical industries in addition to increased investment in e-commerce expertise.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Key initiatives supporting the strategy in fiscal 2013 included:</w:t>
      </w:r>
    </w:p>
    <w:p>
      <w:pPr>
        <w:spacing w:after="0" w:line="23" w:lineRule="exact"/>
        <w:rPr>
          <w:sz w:val="20"/>
          <w:szCs w:val="20"/>
          <w:color w:val="auto"/>
        </w:rPr>
      </w:pP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acquisition of Precision Dynamics Corporation (“PDC”) in the healthcare sector</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business simplification process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Realignment of business structure from regional to two global product-based platforms: IDS and WPS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Divestiture of non-strategic businesses including Precision Converting (“Brady Medical”) and Varitronics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Announcement of management's intent to divest the Company's Asia Die-Cut and Europe businesses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Decision to increase investment in the WPS platform and expand e-commerce capabilities</w:t>
      </w:r>
    </w:p>
    <w:p>
      <w:pPr>
        <w:spacing w:after="0" w:line="21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the third quarter of fiscal 2013, the Company announced its plan to divest its Asia Die-Cut business. This is a part of the Company's ongoing efforts to shift its portfolio of businesses to less volatile industries that are supported by positive macro-economic trends. The Asia Die-Cut business platform primarily consists of the sale of high performance products such as gaskets, meshes, heat dissipation materials, antennae, dampers, filters, and similar products sold in the electronics industries, including the mobile handset and hard-disk drive industries. The Company included its Europe-based Die-Cut business, Balkhausen, into the Asia Die-Cut disposal group in the fourth quarter of fiscal 2013. The Balkhausen business consists of the sale of traditional die-cut parts and thermal management products mainly used in the automotive electronics and telecommunications markets. The criteria for classifying the assets and liabilities as held for sale was met in the third quarter of fiscal 2013 for the Asia Die-cut business and the fourth quarter of fiscal 2013 for the Balkhausen business. The assets and liabilities of these businesses are classified as held for sale in the consolidated balance sheet as of July 31, 2013.</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operating results of the Asia Die-Cut and Balkhausen businesses were reflected as discontinued operations in the consolidated statements of earnings for the years ended July 31, 2013, 2012 and 2011. In addition, the following previously divested businesses were reported within discontinued operations: Brady Medical and Varitronics (divested in fiscal 2013), Etimark (divested in fiscal 2012) and Teklynx (divested in fiscal 2011). These divested businesses were part of the IDS business platform.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Information About Industry Segments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 The financial information contained in Note 7 has been restated to reflect the realignment of the Company's reportable segments implemented in the fourth quarter of fiscal 2013.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660" w:firstLine="8"/>
        <w:spacing w:after="0" w:line="344" w:lineRule="auto"/>
        <w:tabs>
          <w:tab w:leader="none" w:pos="24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Narrative Description of Business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May 1, 2013, the Company is organized and managed on a global basis within two business platforms: Identification Solutions and Workplace Safety, which are the reportable segments. Prior to May 1, 2013, the Company was organized and managed on a geographic basis within three regions: Americas, EMEA (Europe, the Middle East and Africa), and Asia-Pacific. As such, all segment-related data has been conformed to the new reportable segments.</w:t>
      </w:r>
    </w:p>
    <w:p>
      <w:pPr>
        <w:spacing w:after="0" w:line="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IDS segment consists of high-performance and innovative identification and healthcare products that are manufactured internally under the Brady brand, and are primarily sold through distribution to a broad range of MRO and OEM customers.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WPS segment consists of workplace safety and compliance products, which are sold under multiple brand names through catalog and e-business to a broad range of MRO customers. Approximately half of the business is resale product and half is manufactured internally.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sales by reportable segments for the fiscal years ended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17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2011</w:t>
            </w:r>
          </w:p>
        </w:tc>
      </w:tr>
      <w:tr>
        <w:trPr>
          <w:trHeight w:val="33"/>
        </w:trPr>
        <w:tc>
          <w:tcPr>
            <w:tcW w:w="6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WPS</w:t>
            </w: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6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Within the ID Solutions platform, the primary product categories include:</w:t>
      </w:r>
    </w:p>
    <w:p>
      <w:pPr>
        <w:spacing w:after="0" w:line="23" w:lineRule="exact"/>
        <w:rPr>
          <w:sz w:val="20"/>
          <w:szCs w:val="20"/>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identification, which includes safety signs, pipe markers, labeling systems, spill control products, and lockout/tagout devices</w:t>
      </w:r>
    </w:p>
    <w:p>
      <w:pPr>
        <w:spacing w:after="0" w:line="9"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identification, which includes materials and printing systems for product identification, brand protection labeling, work in process labeling, and finished product identification</w:t>
      </w: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 identification, which includes self-expiring name tags, badges, lanyards, and access control software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identification, which includes wristbands and labels used in hospitals for tracking and safety of patients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wristbands used in the leisure and entertainment industry such as theme parks, concerts and festivals</w:t>
      </w:r>
    </w:p>
    <w:p>
      <w:pPr>
        <w:spacing w:after="0" w:line="1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More than 75% of ID Solutions products are sold under the Brady brand. In the United States, identification products for the utility industry are marketed under the Electromark brand; spill-control products are marketed under the SPC brand; security and identification badges and systems are marketed in the B.I.G., Identicard/Identicam, STOPware, PromoVision, and Brady People ID brands; and wire identification products are marketed under the Modernotecnica brand in Italy. Lockout/tagout products are offered under the Scafftag brand in the U.K. Custom labels and nameplates are available under the Stickolor brand in Brazil; and identification and patient safety products in the healthcare industry and custom wristbands for the leisure and entertainment industry are available under the PDC Innovative brand.</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 Solutions platform offers high quality innovative products with rapid response and superior service to provide solutions to customers. The business markets and sells products through multiple channels including distributors, direct sales, catalog marketing, and the Internet. The businesses' sales force partners with end-users and distributors by providing technical application and product expertise.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ID Solutions serves OEM and MRO customers in many industries, which include industrial manufacturing, electronic manufacturing, healthcare, chemical, oil, gas, food and beverage, aerospace, defense, mass transit, electrical contractors, leisure and entertainment and telecommunications, among others.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ID Solutions platform manufactures differentiated, proprietary products, most of which have been internally developed. These internally developed products include materials, printing systems, and software. IDS competes for business principally on the basis of production capabilities, engineering, research and development capabilities, materials expertise, global account management where needed, customer service, product quality and price. Competition is highly fragmented, ranging from smaller companies offering minimal product variety, to some of the world's largest major adhesive and electrical product companies offering competing products as part of their overall product lines.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Safety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Within the Workplace Safety business platform, the primary product categories are workplace safety and compliance products, which include informational signs, tags, security, safety and traffic compliance related products, first aid supplies, material handling, asset identification, safety and facility identification, and workplace regulatory products.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Products within the Workplace Safety platform are sold under a variety of brands including: safety and facility identification products offered under the Seton, Emedco, Signals, Personnel Concepts, Safety Signs Service and Pervaco brands; first aid supplies under the Accidental Health and Safety, Trafalgar, and Securimed brands; industrial, office equipment under the Runelandhs brand; and wire identification products marketed under the Carroll brand.</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Workplace Safety markets and sells products through multiple channels, including catalog, telemarketing and e-commerce. The business serves customers in many industries, including process industries, manufacturers, government, education, construction, and utilities.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Workplace Safety platform manufactures a broad range of stock and custom identification products, and also sells a broad range of related resale products. Historically, both the Company and many of our competitors focused their businesses on direct marketing, often with varying product niches. However, the competitive landscape is changing with the evolution of e-commerce channels. Many of our competitors extensively utilize e-commerce to promote the sale of their products. A consequence of this shift is price transparency, as prices on non-proprietary products can be easily compared. Dynamic pricing capabilities and an enhanced customer experience are critical to convert customers from traditional catalog channels to the Internet.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announced its plan to divest its Asia Die-Cut business during the three months ended April 30, 2013, and incorporated its Balkhausen business into that plan during the three months ended July 31, 2013. As such, the assets and liabilities of these businesses were classified as held for sale in the consolidated balance sheet as of July 31, 2013. The operating results of the Asia Die-Cut and Balkhausen businesses were reflected as discontinued operations in the consolidated statements of earnings for the years ended July 31, 2013, 2012 and 2011. In addition, the following previously divested businesses were reported within discontinued operations: Brady Medical and Varitronics (divested in fiscal 2013), Etimark (divested in fiscal 2012) and Teklynx (divested in fiscal 2011). These divested businesses were part of the IDS business platform.</w:t>
      </w:r>
    </w:p>
    <w:p>
      <w:pPr>
        <w:spacing w:after="0" w:line="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Die-Cut business produces customized precision die-cut products used to seal, dissipate heat, insulate, protect, shield, or provide other mechanical performance properties. Products within the Die-Cut business are sold primarily under the Brady brand, with some European business marketed as Balkhausen products. The business sells through a technical direct sales force and is supported by global strategic account management. The Die-Cut business serves customers in many industries, including mobile handset, hard disk drive, consumer electronics, and other computing devices, as well as products for the automotive and medical equipment industries.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focuses its research and development ("R&amp;D") efforts on pressure sensitive materials, printing systems and software, and it mainly supports the IDS segment.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In addition, the research and development team supports production and marketing efforts by providing application and technical expertise, which creates a competitive advantage through new product innovation for the Company that enables long-term organic sales growth and strong gross margin improvement.</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that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3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spent approximately $33.6 million, $34.5 million, and $38.3 million during the fiscal years ended July 31, 2013, 2012, and 2011, respectively, on its R&amp;D activities related to continuing operations. The reduction in R&amp;D spending in 2013 was primarily due to the consolidation of the product management office, which reduced costs while streamlining processes globally. In addition, variable incentive compensation was lower in fiscal 2013 compared to fiscal 2012. As of July 31, 2013, 188 employees were engaged in research and development activities for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materials used in the products manufactured consist primarily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a coating facility that manufactures bulk rolls of label stock for internal and external customers. In addition, the Company purchases finished products for resale.</w:t>
      </w:r>
    </w:p>
    <w:p>
      <w:pPr>
        <w:spacing w:after="0" w:line="3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rare circumstances, such as a global shortage of a critical materials or components, the financial impact could be significant. The Company currently operates 45 manufacturing or distribution facilities globally.</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30 to 90 days from date of invoice and varies by geographies.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a broad customer base, and no individual customer is 5% or more of total net sales. Sales to governmental customers represent an immaterial amount of the business.</w:t>
      </w:r>
    </w:p>
    <w:p>
      <w:pPr>
        <w:spacing w:after="0" w:line="11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Average delivery time for customer orders varies from same-day delivery to one month, depending on the type of product, customer request or demand, and whether the product is stock or custom-designed and manufactured. The Company's backlog is not material, does not provide significant visibility for future business and is not pertinent to an understanding of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Compliance with federal, state and local environmental protection laws during fiscal 2013 did not have a material impact on the Company’s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2013, the Company employed approximately 7,400 individuals. Brady has never experienced a material work stoppage due to a labor dispute and considers its relations with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Financial Information About Foreign and Domestic Operations and Export Sales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Information Available on the Internet</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Corporate Internet address is http://www.bradycorp.com.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including our results of operations, liquidity and financial conditions.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successfully implement our Workplace Safety strategy, or if successfully implemented, failure to realize the benefits expected from the strategy, may adversely affect our business, sales, results of operations, cash flow and liquidity.</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fiscal 2013, the Workplace Safety platform represented 36.3% of our total sales from continuing operations. Throughout the last two fiscal years, this platform has experienced deterioration in sales and profits due to increased competition and pricing pressure. An increasing number of customers are purchasing products on the Internet instead of through traditional direct marketing channels such as catalogs. The Company's strategy to grow this business includes: investing to improve e-commerce capabilities, pricing structure changes, and the expansion of products offered. There is a risk that the Company will not successfully implement this strategy, or if successfully implemented, not realize its expected benefits, due to the continued levels of increased competition and pricing pressure brought about by the Internet. There is also a risk that the Company may not be able to reverse the downward trends in this business and return the segment to historic levels of sales and profits. If these risks materialize, their effects could adversely impact our business, sales, results of operations, cash flow and liquidity.</w:t>
      </w:r>
    </w:p>
    <w:p>
      <w:pPr>
        <w:spacing w:after="0" w:line="1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Deterioration of or instability in the global economy and financial markets may adversely affect our business, sales, results of operations, cash flow and liquidity.</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business and operating results have been and will continue to be affected by global economic conditions. In fiscal 2013, sales were negatively impacted by the recession in Europe and Australia. When global economic conditions deteriorate or economic uncertainty continues, customers and potential customers may experience deterioration of their businesses, which may result in the delay or cancellation of plans to purchase our products. Our sensitivity to economic cycles and any related fluctuations in the businesses of our customers or potential customers could have a material adverse impact on our sales, results of operations, cash flow and liquidity.</w:t>
      </w:r>
    </w:p>
    <w:p>
      <w:pPr>
        <w:spacing w:after="0" w:line="21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sales, results of operations, cash flow and liquidity.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252" w:lineRule="exact"/>
        <w:rPr>
          <w:sz w:val="20"/>
          <w:szCs w:val="20"/>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financial performance of major markets served</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and customers to be more efficient and more price competitive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competitors entering the marketplace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 customer market share fluctuations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Decreasing product life cycles</w:t>
      </w:r>
    </w:p>
    <w:p>
      <w:pPr>
        <w:spacing w:after="0" w:line="22"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Cyclical demands of end-users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general economic conditions</w:t>
      </w:r>
    </w:p>
    <w:p>
      <w:pPr>
        <w:spacing w:after="0" w:line="15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any of these factors occur, the demand for our products could suffer, and this could adversely impact our sales, results of operations, cash flows and liquidity.</w:t>
      </w:r>
    </w:p>
    <w:p>
      <w:pPr>
        <w:spacing w:after="0" w:line="19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Price reductions or additional costs may need to be incurred to remain competitive in certain industries, which could have a negative impact on sales, profitability, results of operations, cash flow and liquidity.</w:t>
      </w:r>
    </w:p>
    <w:p>
      <w:pPr>
        <w:spacing w:after="0" w:line="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face substantial competition through the Internet in our entire business, but particularly within the Workplace Safety segment. Competition may force us to reduce prices or incur additional costs to remain competitive. We compete on the basis of price, customer support, product innovation, product offering, product quality, production capabilities, and for multinational customers, our global footprint. Present or future competitors may accept lower profit, have greater financial, technical or other resources, lower production costs or other pricing advantages, any of which could put us at a disadvantage by threatening our share of sales or reducing our profit margins, which would adversely impact our results of operations, cash flow and liquidity. Additionally, throughout our global business, distributors and customers may seek lower cost sourcing opportunities, which could result in a loss of business that may adversely impact sales, results of operations, cash flows, and liquidity.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large customer loss could significantly affect sales, results of operations, cash flow, and liquidity.</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While we have a broad customer base and no individual customer represents 5% or more of total sales, we conduct business with several large customers and distribution companies. Our dependence on these customers makes relationships with them important. We cannot guarantee that these relationships will be retained in the future. Because these large customers account for a significant portion of sales, they may possess a greater capacity to negotiate reduced prices. If we are unable to provide products to our customers at the quality and prices acceptable to them, some of our customers may shift their business to competitors or may substitute another manufacturer's products. If one of the large customers consolidates, is acquired, or loses market share, the result of that event may have an adverse impact on our business. The loss of or reduction of business from one or more of these large customers could have a material adverse impact on our sales, results of operations, cash flows, and liquidity.</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Divestitures could negatively impact our business and contingent liabilities from divested businesses could adversely affect our results of operations, cash flow and liquidity.</w:t>
      </w:r>
    </w:p>
    <w:p>
      <w:pPr>
        <w:spacing w:after="0" w:line="1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continually assess the strategic fit of our existing businesses and may divest businesses that we determine do not align with our strategic plan, or that are not achieving the desired return on investment. For example, over the last three fiscal years, we have divested our Teklynx, Etimark, Brady Medical, and Varitronics businesses, and have announced plans to divest our Asia Die-Cut and Balkhausen businesses. Divestitures pose risks and challenges that could negatively impact our business. For example, when we decide to sell a business or assets, we may be unable to do so on satisfactory terms and within our anticipated time-frame, and even after reaching a definitive agreement to sell a business the sale is typically subject to satisfaction of pre-closing conditions which may not be satisfied. In addition, the impact of the divestiture on our revenue and net earnings may be larger than projected, which could distract management, and disputes may arise with buyers. In addition, we have retained responsibility for and have agreed to indemnify buyers against some contingent liabilities related to a number of businesses that we have recently sold. The resolution of these contingencies has not had a material adverse impact on our results of operations, cash flow and liquidity, but we cannot be certain that this favorable pattern will continue.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Inability to identify, complete and integrate acquisitions may adversely impact our sales, results of operations, cash flow and liquidity.</w:t>
      </w:r>
    </w:p>
    <w:p>
      <w:pPr>
        <w:spacing w:after="0" w:line="1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historical growth has included acquisitions, and our future growth strategy includes acquisition opportunities. For example, in fiscal 2013 the Company acquired Precision Dynamics Corporation ("PDC"), a manufacturer of identification products primarily for the healthcare sector, for $301.2 million. We may not be able to identify acquisition targets or successfully complete acquisitions in the future due to the absence of quality companies in our target markets, economic conditions, or price expectations from sellers. If we are unable to complete additional acquisitions, our growth may be limited.</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as we grow through acquisitions, we will continue to place significant demands on management, operational, and financial resources. Recent and future acquisitions will require integration of operations, sales and marketing, information technology, finance and administrative operations, which could decrease the time available to serve and attract customers. We cannot assure that we will be able to successfully integrate acquisitions, that these acquisitions will operate profitably, or that we will be able to achieve the desired financial or operational success. Our financial condition, cash flows, liquidity and results of operations could be adversely affected if we do not successfully integrate the newly acquired businesses, or if our other businesses suffer due to the increased focus on the newly acquired businesses.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Failure to successfully complete restructuring plans may adversely impact our sales, results of operations, cash flow and liquidity.</w:t>
      </w:r>
    </w:p>
    <w:p>
      <w:pPr>
        <w:spacing w:after="0" w:line="10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continue to implement measures to reduce our cost structure, simplify our business structure and standardize our processes. Successful implementation of such initiatives is critical to our future competitiveness and to improve profitability. These actions include reorganization of the Company along global product lines, a restructuring of the global workforce, consolidation of facilities, reorganization and restructuring of resources and standardization of business systems, which impact all functions of the Company. Facility consolidations will result in a higher concentration of operations in certain locations. Risks include customer acceptance of these changes, inability to implement standard processes and systems, resource allocation among competing priorities, employee disruption and turnover, inability to manufacture and supply products in the event of a material casualty event at one of our principal facilities and additional charges related to these actions. These actions to reduce our cost structure and the charges related to these actions could have a material adverse impact on our sales, results of operations, cash flows and liquidity.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global nature of our business exposes us to foreign currency fluctuations that could adversely affect sales, results of operations, cash flow, liquidity and profits.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Approximately 50% of our sales are derived outside the United States. Sales and purchases in currencies other than the U.S. dollar expose us to fluctuations in foreign currencies relative to the U.S. dollar, and may adversely affect our financial statements.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 the U.S. dollar could result in unfavorable translation effects. In addition, certain of our subsidiaries may invoice customers in a currency other than its functional currency, which could result in unfavorable translation effects on sales, profits, results of operations, cash flow and liquidity.</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depend on key employees and the loss of these individuals could have an adverse affect on our operations.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success depends to a large extent upon the continued services of our key executives, managers and other skilled employees. We cannot ensure that we will be able to retain our key officers, managers and employees. The departure of our key personnel without adequate replacement could disrupt our business operations. Additionally, we need qualified managers and skilled employees with technical and industry experience to operate our business successfully. If we are unable to attract and retain qualified individuals or our costs to do so increase significantly, our operations could be materially adversely affected.</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International operations are subject to various U.S. or country-specific regulations which could adversely affect our sales, results of operations, cash flow and liquidity.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subject to the risks of doing business abroad, including the following:</w:t>
      </w:r>
    </w:p>
    <w:p>
      <w:pPr>
        <w:spacing w:after="0" w:line="23" w:lineRule="exact"/>
        <w:rPr>
          <w:sz w:val="20"/>
          <w:szCs w:val="20"/>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duties and tariffs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governmental policies and business environments</w:t>
      </w:r>
    </w:p>
    <w:p>
      <w:pPr>
        <w:spacing w:after="0" w:line="9" w:lineRule="exact"/>
        <w:rPr>
          <w:rFonts w:ascii="Arial" w:cs="Arial" w:eastAsia="Arial" w:hAnsi="Arial"/>
          <w:sz w:val="18"/>
          <w:szCs w:val="18"/>
          <w:color w:val="auto"/>
        </w:rPr>
      </w:pPr>
    </w:p>
    <w:p>
      <w:pPr>
        <w:ind w:left="920" w:hanging="318"/>
        <w:spacing w:after="0" w:line="250"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 (FCPA)</w:t>
      </w: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labor market conditions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and changing regulatory environments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 including repatriation of earnings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Stability of the Euro and its ability to serve as a single currency for a variety of countries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These events could have an adverse effect on our operations by reducing the demand, decreasing prices, or increasing costs for our products, which could adversely impact our financial condition and results of operations, cash flow and liquidity.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Failure to develop new products or gain acceptance of new products could adversely impact our sales, results of operations, cash flow and liquidity</w:t>
      </w:r>
      <w:r>
        <w:rPr>
          <w:rFonts w:ascii="Arial" w:cs="Arial" w:eastAsia="Arial" w:hAnsi="Arial"/>
          <w:sz w:val="15"/>
          <w:szCs w:val="15"/>
          <w:i w:val="1"/>
          <w:iCs w:val="1"/>
          <w:color w:val="auto"/>
        </w:rPr>
        <w:t>.</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Development of proprietary products is a driver of core growth and reasonable gross profit margins both currently and in the future, particularly within our ID Solutions segment. Therefore, we must continue to develop new and innovative products, as well as acquire and retain the necessary intellectual property rights in these products. If we fail to make innovations, if we launch products with quality problems, or if customers do not accept our new products, then our sales, results of operations, cash flows, and liquidity could be adversely affected. We continue to invest in the development and marketing of new products. These expenditures do not always result in products that will be accepted by our customers. Failure to develop successful new products may also cause customers to buy from a competitor or may cause us to lower our prices in order to compete. This could have an adverse impact on sales, results of operations, cash flow and liquidity.</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Failure to comply with laws and regulations could adversely affect our financial condition, results of operations, cash flow, and reputation.</w:t>
      </w:r>
    </w:p>
    <w:p>
      <w:pPr>
        <w:spacing w:after="0" w:line="113"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8"/>
          <w:szCs w:val="18"/>
          <w:color w:val="auto"/>
        </w:rPr>
        <w:t>We are subject to extensive regulation by U.S. and non-U.S. governmental and self-regulatory entities at the federal, state and local levels, including the following:</w:t>
      </w:r>
    </w:p>
    <w:p>
      <w:pPr>
        <w:spacing w:after="0" w:line="1" w:lineRule="exact"/>
        <w:rPr>
          <w:sz w:val="20"/>
          <w:szCs w:val="20"/>
          <w:color w:val="auto"/>
        </w:rPr>
      </w:pPr>
    </w:p>
    <w:p>
      <w:pPr>
        <w:ind w:left="920" w:hanging="31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health, safety and the protection of the environment</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920" w:hanging="318"/>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Laws and regulations that apply to companies doing business with the government, audit for compliance with requirements of government contracts including procurement integrity, export control, employment practices, and the accuracy of records and recording of costs</w:t>
      </w:r>
    </w:p>
    <w:p>
      <w:pPr>
        <w:spacing w:after="0" w:line="89"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color w:val="auto"/>
        </w:rPr>
        <w:t>Further</w:t>
      </w:r>
      <w:r>
        <w:rPr>
          <w:rFonts w:ascii="Arial" w:cs="Arial" w:eastAsia="Arial" w:hAnsi="Arial"/>
          <w:sz w:val="18"/>
          <w:szCs w:val="18"/>
          <w:b w:val="1"/>
          <w:bCs w:val="1"/>
          <w:color w:val="auto"/>
        </w:rPr>
        <w:t>,</w:t>
      </w:r>
      <w:r>
        <w:rPr>
          <w:rFonts w:ascii="Arial" w:cs="Arial" w:eastAsia="Arial" w:hAnsi="Arial"/>
          <w:sz w:val="18"/>
          <w:szCs w:val="18"/>
          <w:color w:val="auto"/>
        </w:rPr>
        <w:t xml:space="preserve"> these laws and regulations are constantly evolving, and it is impossible to accurately predict the effect they may have upon our financial condition, results of operations, cash flows and liquidity.</w:t>
      </w:r>
    </w:p>
    <w:p>
      <w:pPr>
        <w:spacing w:after="0" w:line="11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could lead to substantial civil or criminal, monetary and non-monetary penalties and related shareholder lawsuits, and could adversely impact our results of operations, cash flow and liquidity and damage our reputation.</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Computer systems and technology may be susceptible to cyber threats which could adversely impact results of operations, cash flow and liquidity.</w:t>
      </w:r>
    </w:p>
    <w:p>
      <w:pPr>
        <w:spacing w:after="0" w:line="20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exposure to cyber-security threats is growing as we expand and increase our reliance on computers and e-commerce technologies. Our business employs systems and websites designed for the secure storage and transmission of proprietary information. Security breaches could expose us to a risk of loss or misuse of this information, litigation and potential liability. We may not have the resources or technical sophistication to anticipate or prevent rapidly evolving types of cyber attacks. Any compromise of our security could result in a violation of applicable privacy and other laws, significant legal and financial exposure, damage to our reputation, and a loss of confidence in our security measures, which could harm our business.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Product liability claims could adversely impact our financial condition, results of operations, cash flows, and reputation.</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business exposes us to potential product liability risk, as well as warranty and recall claims that are inherent in the design, manufacture, sale and use of our products, including our healthcare products. We have not to date incurred material costs related to these claims. However, in the event our products actually or allegedly fail to perform as expected and we are subject to such claims above the amount of insurance coverage, our financial condition, results of operations and cash flows, as well as our reputation, could be materially and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Financial/Ownership Risks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Failure to execute our strategies could result in impairment of goodwill or other intangible assets , which may negatively impact profitability</w:t>
      </w:r>
      <w:r>
        <w:rPr>
          <w:rFonts w:ascii="Arial" w:cs="Arial" w:eastAsia="Arial" w:hAnsi="Arial"/>
          <w:sz w:val="16"/>
          <w:szCs w:val="16"/>
          <w:b w:val="1"/>
          <w:bCs w:val="1"/>
          <w:color w:val="auto"/>
        </w:rPr>
        <w:t>.</w:t>
      </w:r>
    </w:p>
    <w:p>
      <w:pPr>
        <w:spacing w:after="0" w:line="11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have goodwill of $617.2 million and other intangible assets of $156.9 million as of July 31, 2013, which represents 54% of our total assets. During fiscal 2013, we recorded impairment charges of $204.4 million primarily related to goodwill in the WPS Americas and IDS APAC reporting units. In fiscal 2012, we recorded impairment charges of $115.7 million related to the former North/South Asia reporting unit, which is now included in discontinued operations. We evaluate goodwill for impairment on an annual basis or more frequently if impairment indicators are present based upon the fair value of each reporting unit. We assess the impairment of other intangible assets on an annual basis, or more frequently if impairment indicators are present, based upon the expected future cash flows of the respective assets.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reporting units changes in future periods, we may be required to record an impairment charge related to goodwill or other intangible assets, which would reduce earnings in such period.</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are subject to income taxes in the U.S. and in many non-U.S. jurisdictions. As such, our earnings are subject to risk due to changing tax laws and tax rates around the world. At any point in time, there are a number of tax proposals at various stages of legislation throughout the globe. While it is impossible for us to predict whether some or all of these proposals will be enacted, it likely would have an impact on our earnings.</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tax filings are subject to audit by U.S. federal, state and local tax authorities and by non-U.S. tax authorities. If these audits result in payments or assessments that differ from our reserves, our future net earnings may be adversely impacted.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review the probability of the realization of our deferred tax assets on a quarterly basis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and/or foreign jurisdictions, or changes in our geographic footprint may require changes in the valuation allowances in order to reduce our deferred tax assets. Such changes could result in a material impact on earnings.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annual cash needs could require us to repatriate cash to the U.S. from foreign jurisdictions. For example, in fiscal 2013 we repatriated cash to the U.S. in connection with the acquisition of PDC, which resulted in a tax charge of $26.6 million.</w:t>
      </w:r>
    </w:p>
    <w:p>
      <w:pPr>
        <w:spacing w:after="0" w:line="184" w:lineRule="exact"/>
        <w:rPr>
          <w:sz w:val="20"/>
          <w:szCs w:val="20"/>
          <w:color w:val="auto"/>
        </w:rPr>
      </w:pPr>
    </w:p>
    <w:p>
      <w:pPr>
        <w:ind w:right="100" w:firstLine="405"/>
        <w:spacing w:after="0" w:line="381" w:lineRule="auto"/>
        <w:rPr>
          <w:sz w:val="20"/>
          <w:szCs w:val="20"/>
          <w:color w:val="auto"/>
        </w:rPr>
      </w:pPr>
      <w:r>
        <w:rPr>
          <w:rFonts w:ascii="Arial" w:cs="Arial" w:eastAsia="Arial" w:hAnsi="Arial"/>
          <w:sz w:val="15"/>
          <w:szCs w:val="15"/>
          <w:b w:val="1"/>
          <w:bCs w:val="1"/>
          <w:i w:val="1"/>
          <w:iCs w:val="1"/>
          <w:color w:val="auto"/>
        </w:rPr>
        <w:t>Substantially all of our voting stock is controlled by members of the Brady family, while our public investors hold non-voting stock. The interests of the voting and non-voting shareholders could differ, potentially resulting in decisions that unfavorably affect the value of the non-voting shares.</w:t>
      </w:r>
    </w:p>
    <w:p>
      <w:pPr>
        <w:spacing w:after="0" w:line="22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Substantially all of our voting stock is controlled by Elizabeth P. Pungello, one of the Directors, and William H. Brady III, both of whom are descendants of the Company's founder. All of our publicly traded shares are non-voting. Therefore, Ms. Pungello and Mr. Brady have control in most matters requiring approval or acquiescence by shareholders, including the composition of our Board of Directors and many corporate actions. Such concentration of ownership may discourage a potential acquirer from making a purchase offer that our public shareholders may find favorable, which in turn could adversely affect the market price of our common stock or prevent our shareholders from realizing a premium over our stock price. Furthermore, this concentration of voting share ownership may adversely affect the trading price for our non-voting common stock because investors may perceive disadvantages in owning stock in companies whose voting stock is controlled by a limited number of shareholders.</w:t>
      </w:r>
    </w:p>
    <w:p>
      <w:pPr>
        <w:spacing w:after="0" w:line="29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meet certain financial covenants required by our debt agreements may adversely affect our assets, results of operations, cash flows, and liquidity.</w:t>
      </w:r>
    </w:p>
    <w:p>
      <w:pPr>
        <w:spacing w:after="0" w:line="3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July 31, 2013, we had $313 million in outstanding indebtedness. In addition, based on the availability under our credit facilities as of July 31, 2013, we had the ability to incur an additional $411 million under our revolving credit agreement. Our current revolving credit agreement and long-term debt obligations also impose certain restrictions on us. Refer to Management's Discussion and Analysis of Financial Condition and Results of Operations ("MD&amp;A") within Item 7 for more information regarding our credit agreement and long-term debt obligations. If we breach any of these restrictions or covenants and do not obtain a waiver from the lenders, then subject to applicable cure periods, the outstanding indebtedness (and any other indebtedness with cross-default provisions) could be declared immediately due and payable, which would adversely affect our liquidity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currently operates 45 manufacturing or distribution facilities across the globe and are split by reporting segment as follows: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IDS: </w:t>
      </w:r>
      <w:r>
        <w:rPr>
          <w:rFonts w:ascii="Arial" w:cs="Arial" w:eastAsia="Arial" w:hAnsi="Arial"/>
          <w:sz w:val="17"/>
          <w:szCs w:val="17"/>
          <w:color w:val="auto"/>
        </w:rPr>
        <w:t>Thirty-one facilities are used for our IDS business. Ten of which are located within the United States; four each are located in Belgium and Mexico;</w:t>
      </w:r>
      <w:r>
        <w:rPr>
          <w:rFonts w:ascii="Arial" w:cs="Arial" w:eastAsia="Arial" w:hAnsi="Arial"/>
          <w:sz w:val="17"/>
          <w:szCs w:val="17"/>
          <w:b w:val="1"/>
          <w:bCs w:val="1"/>
          <w:color w:val="auto"/>
        </w:rPr>
        <w:t xml:space="preserve"> </w:t>
      </w:r>
      <w:r>
        <w:rPr>
          <w:rFonts w:ascii="Arial" w:cs="Arial" w:eastAsia="Arial" w:hAnsi="Arial"/>
          <w:sz w:val="17"/>
          <w:szCs w:val="17"/>
          <w:color w:val="auto"/>
        </w:rPr>
        <w:t>three in the United Kingdom; two each in Brazil and China; and one each in Canada, Italy, Hong Kong, Japan, Malaysia, and Singapore.</w:t>
      </w:r>
    </w:p>
    <w:p>
      <w:pPr>
        <w:spacing w:after="0" w:line="13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WPS: </w:t>
      </w:r>
      <w:r>
        <w:rPr>
          <w:rFonts w:ascii="Arial" w:cs="Arial" w:eastAsia="Arial" w:hAnsi="Arial"/>
          <w:sz w:val="18"/>
          <w:szCs w:val="18"/>
          <w:color w:val="auto"/>
        </w:rPr>
        <w:t>Fourteen facilities are used for our WPS business. Three of which are located in France; two each are located in Australia, Germany, and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one each in Belgium, the Netherlands, Poland, Sweden, and the United Kingdom.</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2.5 million square feet of space, of which approximately 1.5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121" w:right="1440"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3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9"/>
              </w:rPr>
              <w:t>2013</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4"/>
              </w:rPr>
              <w:t>2011</w:t>
            </w:r>
          </w:p>
        </w:tc>
        <w:tc>
          <w:tcPr>
            <w:tcW w:w="86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20"/>
                <w:szCs w:val="20"/>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Low</w:t>
            </w:r>
          </w:p>
        </w:tc>
      </w:tr>
      <w:tr>
        <w:trPr>
          <w:trHeight w:val="3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4th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29.60</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3rd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36.33</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31.51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34.37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29.41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37.71</w:t>
            </w: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33.37</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2nd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1st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31.22</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32.24</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24.73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31.33</w:t>
            </w: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25.35</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Holders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24, 2013, there were 955 Class A Common Stock shareholders of record and approximately 6,550 beneficial shareholders. There are three Class B Common Stock shareholders.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9, 2011, the Company’s Board of Directors authorized a share repurchase program for up to two million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As of July 31, 2012, there remained 334,940 shares to purchase in connection with this share repurchase plan.</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September 6, 2012, the Company’s Board of Directors authorized an additional share repurchase program for up to two million additional shares of the Company’s Class A Nonvoting Common Stock. During the three months ended October 31, 2012, the Company purchased 188,167 shares of its Class A Nonvoting Common Stock under this plan for $5.1 million. There were no additional shares repurchased during the remainder of the fiscal year. As of July 31, 2013, there remained 2,146,773 shares to purchase in connection with both repurchase plans.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Dividends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restriction will not impede it in following a similar dividend practice in the future.</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2014, the Company declared the following dividends per share on its Class A and Class B Common Stock for the years ended July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4"/>
              </w:rPr>
              <w:t>2013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9"/>
              </w:rPr>
              <w:t>2012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4th Qtr</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3rd Qtr</w:t>
            </w:r>
          </w:p>
        </w:tc>
        <w:tc>
          <w:tcPr>
            <w:tcW w:w="16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4th Qtr</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0.185</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0.185</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0.17835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0.17335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0.16835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0.185</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2008, in each of Brady Corporation Class A Common Stock, the Standard &amp; Poor’s (S&amp;P) 500 index, the Standard and Poor’s SmallCap 600 index, and the Russell 2000 index.</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142875</wp:posOffset>
            </wp:positionV>
            <wp:extent cx="5848985" cy="3053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 invested on July 31, 2008 in stock or index—including reinvestment of dividends. Fiscal years ended July 31:</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420" w:type="dxa"/>
            <w:vAlign w:val="bottom"/>
            <w:vMerge w:val="restart"/>
          </w:tcPr>
          <w:p>
            <w:pPr>
              <w:spacing w:after="0"/>
              <w:rPr>
                <w:sz w:val="20"/>
                <w:szCs w:val="20"/>
                <w:color w:val="auto"/>
              </w:rPr>
            </w:pPr>
            <w:r>
              <w:rPr>
                <w:rFonts w:ascii="Arial" w:cs="Arial" w:eastAsia="Arial" w:hAnsi="Arial"/>
                <w:sz w:val="16"/>
                <w:szCs w:val="16"/>
                <w:color w:val="auto"/>
              </w:rPr>
              <w:t>Brady Corporation</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2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79.81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93.50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85.89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110.20</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S&amp;P 500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118.97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148.72</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S&amp;P SmallCap 600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168.17</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Russell 2000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79.25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157.01</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Copyright (C) 2013, Standard &amp; Poor’s, a division of The McGraw-Hill Companies,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2009 through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 (1)</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1,152,109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1,068,688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1,059,355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966,070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954,737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516,066</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29,853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427,661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392,526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397,472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381,071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349,358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22,810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Impairment charges (3)</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204,448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691,707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402,021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(85,627)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156,432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145,759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114,423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114,045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Investment and other income—net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(24,901)</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Net other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(18,135)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(23,101)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(Loss) earnings from continuing operations before income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(98,746)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139,424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127,624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90,944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Income Taxes (4)</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42,070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36,953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23,366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earnings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67,578</w:t>
            </w:r>
          </w:p>
        </w:tc>
        <w:tc>
          <w:tcPr>
            <w:tcW w:w="0" w:type="dxa"/>
            <w:vAlign w:val="bottom"/>
          </w:tcPr>
          <w:p>
            <w:pPr>
              <w:spacing w:after="0"/>
              <w:rPr>
                <w:sz w:val="1"/>
                <w:szCs w:val="1"/>
                <w:color w:val="auto"/>
              </w:rPr>
            </w:pPr>
          </w:p>
        </w:tc>
      </w:tr>
      <w:tr>
        <w:trPr>
          <w:trHeight w:val="196"/>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earnings from discontinued operations, net of</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income taxes (5)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(120,382)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earnings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70,122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w w:val="93"/>
              </w:rPr>
              <w:t>(Loss) earnings from continuing operations per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Share—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49"/>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earnings from discontinued operations per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Common Share -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Dividends 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A common stock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B common stock</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Sheet at July 31: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Working capital</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188,993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383,836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286,955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1,438,683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1,607,719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1,861,505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1,746,231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1,583,267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obligations, less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331,914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382,940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346,457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Stockholders’ investment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830,797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1,009,353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1,156,192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1,005,027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951,092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143,503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144,705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167,350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165,238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126,645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(19,044)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(147,824)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(91,574)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15,275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(160,311)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54,851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(24,027)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data has been impacted by the reclassification of the Asia Die-Cut and Balkhausen businesses into discontinued operations. The Company has elected to not separately disclose the cash flows related to the Asia Die-Cut and Balkhausen</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jc w:val="both"/>
        <w:ind w:left="540"/>
        <w:spacing w:after="0" w:line="289" w:lineRule="auto"/>
        <w:rPr>
          <w:sz w:val="20"/>
          <w:szCs w:val="20"/>
          <w:color w:val="auto"/>
        </w:rPr>
      </w:pPr>
      <w:r>
        <w:rPr>
          <w:rFonts w:ascii="Arial" w:cs="Arial" w:eastAsia="Arial" w:hAnsi="Arial"/>
          <w:sz w:val="18"/>
          <w:szCs w:val="18"/>
          <w:color w:val="auto"/>
        </w:rPr>
        <w:t>discontinued operations. Refer to Note 13 within Item 8 for further information on discontinued operations. The operating data is also impacted by the acquisitive nature of the Company as one, three, one, and three acquisitions were completed in fiscal years ended July 31, 2013, 2012, 2011, and 2010, respectively. There were no acquisitions during fiscal 2009. Refer to Note 2 within Item 8 for further information on the acquisitions that were completed.</w:t>
      </w:r>
    </w:p>
    <w:p>
      <w:pPr>
        <w:spacing w:after="0" w:line="3" w:lineRule="exact"/>
        <w:rPr>
          <w:sz w:val="20"/>
          <w:szCs w:val="20"/>
          <w:color w:val="auto"/>
        </w:rPr>
      </w:pPr>
    </w:p>
    <w:p>
      <w:pPr>
        <w:jc w:val="both"/>
        <w:ind w:left="540" w:hanging="316"/>
        <w:spacing w:after="0" w:line="25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a reduction in its workforce and decreased discretionary spending. The Company continued certain of these measures during fiscal 2010, 2011, and 2012. During fiscal 2013, the Company executed a business simplification project which included various measures to address its cost structure and resulted in restructuring charges during fiscal 2013.</w:t>
      </w:r>
    </w:p>
    <w:p>
      <w:pPr>
        <w:spacing w:after="0" w:line="1"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recognized an impairment charge of $204.4 million during the three months ended July 31, 2013, primarily related to the WPS segment. Refer to Note 1 within Item 8 for further information regarding the impairment charge.</w:t>
      </w:r>
    </w:p>
    <w:p>
      <w:pPr>
        <w:ind w:left="540" w:hanging="316"/>
        <w:spacing w:after="0" w:line="26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Fiscal 2013 was significantly impacted by the non-deductible portion of the goodwill impairment charge of $168.9 million recorded on the WPS Americas and IDS APAC reporting units, as well as a tax charge of $26.6 million associated with the funding of the PDC acquisition.</w:t>
      </w:r>
    </w:p>
    <w:p>
      <w:pPr>
        <w:jc w:val="both"/>
        <w:ind w:left="540" w:right="20" w:hanging="316"/>
        <w:spacing w:after="0" w:line="277"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loss from discontinued operations in fiscal 2013 was primarily attributable to a $15.7 million write-down of the Asia Die-Cut disposal group to its estimated fair value less costs to sell. The loss from discontinued operations in fiscal 2012 was primarily attributable to the $115.7 million goodwill impairment charge recorded during the three months ending January 31, 2012, which was related to the Asia Die-Cut disposal group.</w:t>
      </w:r>
    </w:p>
    <w:p>
      <w:pPr>
        <w:spacing w:after="0" w:line="169" w:lineRule="exact"/>
        <w:rPr>
          <w:sz w:val="20"/>
          <w:szCs w:val="20"/>
          <w:color w:val="auto"/>
        </w:rPr>
      </w:pPr>
    </w:p>
    <w:p>
      <w:pPr>
        <w:ind w:right="4140"/>
        <w:spacing w:after="0" w:line="34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2013, the Company posted sales of $1,152.1 million and a net loss from continuing operations of $140.8 million. Sales increased by 7.8% from fiscal 2012. Organic sales decreased by 2.6%, currency fluctuations decreased sales by 0.9% and acquisitions (primarily PDC) increased sales by 11.3%. Fiscal 2013 sales growth was driven by the ID Solutions segment which grew by 15.7% from 2012 to 2013, primarily due to acquisitions, which was partially offset by the decline in sales in the Workplace Safety segment of 3.7%.</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fiscal 2013 net loss from continuing operations of $140.8 million was primarily due to non-cash impairment charges of $204.4 million and restructuring charges of $26.0 million.</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fiscal 2013 operating loss from continuing operations was $85.6 million. Excluding the impairment charges of $204.4 million and restructuring charges of $26.0 million, the Company generated operating income from continuing operations of $144.9 million for fiscal 2013. Fiscal 2012 operating income from continuing operations was $156.4 million. Excluding restructuring charges of $6.1 million, operating income from continuing operations was $162.5 million for fiscal 2012. This decline of $17.6 million was primarily due to the decrease in segment profit in the WPS business segment. The decline in operating results within the WPS business segment was due to increased competition and pricing pressure as customers migrate to the Internet rather than the traditional catalog model, and economic weakness in Europe and Australia. In addition, the Company reduced variable incentive compensation by approximately $10 million in fiscal 2013 compared to fiscal 2012, which was offset by investments to drive key initiative growth in both the IDS and WPS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comparison of results of Operating (loss) income from continuing operations for the fiscal years ended July 31, 2013, 2012 and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r>
      <w:tr>
        <w:trPr>
          <w:trHeight w:val="210"/>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Sales</w:t>
            </w:r>
          </w:p>
        </w:tc>
      </w:tr>
      <w:tr>
        <w:trPr>
          <w:trHeight w:val="33"/>
        </w:trPr>
        <w:tc>
          <w:tcPr>
            <w:tcW w:w="2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1,152,109</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1,068,688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1,059,355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606,080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589,570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587,950</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3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33,552</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34,528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38,268</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0"/>
        </w:trPr>
        <w:tc>
          <w:tcPr>
            <w:tcW w:w="2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General &amp;</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Administrative</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427,661</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392,526</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397,472</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37"/>
        </w:trPr>
        <w:tc>
          <w:tcPr>
            <w:tcW w:w="2380" w:type="dxa"/>
            <w:vAlign w:val="bottom"/>
          </w:tcPr>
          <w:p>
            <w:pPr>
              <w:ind w:left="2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26,046</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328.1 %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6,084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380" w:type="dxa"/>
            <w:vAlign w:val="bottom"/>
          </w:tcPr>
          <w:p>
            <w:pPr>
              <w:ind w:left="620"/>
              <w:spacing w:after="0"/>
              <w:rPr>
                <w:sz w:val="20"/>
                <w:szCs w:val="20"/>
                <w:color w:val="auto"/>
              </w:rPr>
            </w:pPr>
            <w:r>
              <w:rPr>
                <w:rFonts w:ascii="Arial" w:cs="Arial" w:eastAsia="Arial" w:hAnsi="Arial"/>
                <w:sz w:val="16"/>
                <w:szCs w:val="16"/>
                <w:color w:val="auto"/>
                <w:w w:val="96"/>
              </w:rPr>
              <w:t>Total operating expenses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691,707</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433,138</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442,191</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w:t>
            </w:r>
          </w:p>
        </w:tc>
      </w:tr>
      <w:tr>
        <w:trPr>
          <w:trHeight w:val="33"/>
        </w:trPr>
        <w:tc>
          <w:tcPr>
            <w:tcW w:w="2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5"/>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(85,627)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156,432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During fiscal 2013, net sales increased 7.8% from fiscal 2012, which consisted of an organic decline of 2.6%, currency impact of a negative 0.9% and growth from acquisitions of 11.3%. Over 90% of the acquisition growth was from the acquisition of PDC within the IDS segment in fiscal 2013, with the remainder attributable to the prior year acquisitions of Grafo in the IDS segment and Runelandhs and Pervaco in the WPS segment. Organic sales within the IDS segment were up 0.3%, while organic sales within the WPS platform declined by 7.0%.</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During fiscal 2012, net sales increased 0.9% from fiscal 2011, which consisted of organic growth of 1.5%, currency impact of a negative 1.4% and growth from acquisitions of 0.8%. The acquisition growth was due to the fiscal 2012 acquisitions of Grafo in the IDS segment, and Runelandhs and Pervaco in the WPS segment during the second half of the fiscal year. Organic sales within the IDS segment grew 2.7%, while organic sales within the WPS segment declined by 0.2%.</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Gross margin as a percentage of sales declined to 52.6% in fiscal 2013 from 55.2% in fiscal 2012. Approximately half of the decline was due to the acquisition of PDC within the IDS segment, as it is a lower gross margin business compared to the remainder of the Company. The remaining decline was attributed to the WPS segment in which the sales decline, increased pricing pressures and the challenging global economy equally contributed to the reduced gross margin.</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Gross margin as a percentage of sales declined to 55.2% in fiscal 2012 from 55.5% in fiscal 2011. The reason for this decline was sales mix, as we realized no sales growth in the higher margin WPS business and modest growth in the IDS business. This decrease in gross margin was partially offset by a reduction in variable incentive compensation in fiscal 2012.</w:t>
      </w:r>
    </w:p>
    <w:p>
      <w:pPr>
        <w:spacing w:after="0" w:line="18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Research and development expenses decreased to $33.6 million in fiscal 2013 from $34.5 million in fiscal 2012. The decline was primarily due to the global consolidation of the project management office, which reduced costs while streamlining reporting processes globally. R&amp;D expenses decreased to $34.5 million in fiscal 2012 from $38.3 million in 2011 due to a reduction in variable incentive compensation, as well as a reduction in external spending on systems development due to the timing of new product introductions.</w:t>
      </w:r>
    </w:p>
    <w:p>
      <w:pPr>
        <w:spacing w:after="0" w:line="18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Selling, general and administrative (“SG&amp;A”) expenses include selling costs directly attributed to the IDS and WPS segments, as well as administrative expenses including finance, information technology, human resources and legal. SG&amp;A expenses increased to $427.7 million in fiscal 2013 compared to $392.5 million in fiscal 2012. The increase was primarily due to the acquisition of PDC in December 2012, which resulted in $6 million of amortization of intangible assets. The total increase in SG&amp;A was partially offset by a reduction in variable incentive compensation from fiscal 2012 to fiscal 2013.</w:t>
      </w:r>
    </w:p>
    <w:p>
      <w:pPr>
        <w:spacing w:after="0" w:line="15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SG&amp;A expense decreased to $392.5 million in fiscal 2012 compared to $397.5 million in fiscal 2011 mainly due to a reduction in variable incentive compensation.</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fiscal 2013, the Company announced a restructuring action to reduce its global workforce by approximately 5-7% in order to address its cost structure, with expected annual savings of approximately $25 million to $30 million exclusive of reinvestments into ongoing business initiatives. In connection with this restructuring action, the Company incurred restructuring charges of $26.0 million in fiscal 2013. These charges consisted of $18.4 million of employee separation costs, $4.1 million of fixed asset write-offs and $3.5 million of other facility closure related costs. The charges for employee separation costs consisted of severance pay, outplacement services, medical and other benefits. Fixed asset write-offs include both the net book value of property, plant and equipment written off in conjunction with facility consolidations, as well as indefinite-lived tradenames written off in conjunction with brand consolidations within the WPS segment.</w:t>
      </w:r>
    </w:p>
    <w:p>
      <w:pPr>
        <w:spacing w:after="0" w:line="18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Restructuring charges were $6.1 million in fiscal 2012 and consisted of costs incurred to consolidate facilities within both the IDS and WPS segments primarily in the Americas. The remaining charges related to severance costs associated with a prior year restructuring program.</w:t>
      </w:r>
    </w:p>
    <w:p>
      <w:pPr>
        <w:spacing w:after="0" w:line="17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Restructuring charges were $6.5 million in fiscal 2011 and consisted of costs incurred to support the continued workforce reduction activities and consolidate facilities within both the IDS &amp; WPS segments. The costs associated with the workforce reduction primarily included employee separation costs, consisting of severance pay, outplacement services, medical, and other related benefits for the Company's work force.</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11, 2013, the Company's Board of Directors approved a restructuring plan to consolidate facilities in North America, Europe and Asia. The Company is implementing the restructuring action to improve efficiency of operations, reduce operating expenses and enhance customer service. In connection with the restructuring action, the Company expects to incur pre-tax charges of approximately $30 million, substantially all of which are expected to be incurred during fiscal 2014. The charges include employee severance costs of approximately $13 million, facility shut-down costs and lease termination costs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$12 million, and non-cash asset write-offs of approximately $5 million. Cash expenditures for these restructuring activities are expected to be approximately $25 million and are being funded with cash generated from operations. The Company expects the restructuring actions to be substantially complete by the end of fiscal 2014.</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performed its annual goodwill impairment assessment on May 1, 2013, and subsequently concluded that the WPS Americas and IDS APAC reporting units were impaired. In conjunction with the goodwill impairment analysis, management concluded tradenames and certain fixed assets within the reporting units were impaired. Refer to the Item 7 - Business Segment Operating Results as well as Note 1 - Summary of Significant Accounting Policies for further discussion regarding the impairment charges. Impairment charges in continuing operations were $204.4 million in fiscal 2013 and consisted of the following:</w:t>
      </w:r>
    </w:p>
    <w:p>
      <w:pPr>
        <w:spacing w:after="0" w:line="188" w:lineRule="exact"/>
        <w:rPr>
          <w:sz w:val="20"/>
          <w:szCs w:val="20"/>
          <w:color w:val="auto"/>
        </w:rPr>
      </w:pPr>
    </w:p>
    <w:p>
      <w:pPr>
        <w:ind w:left="1040" w:hanging="316"/>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$172.3 million in goodwill in the WPS Americas reporting unit</w:t>
      </w:r>
    </w:p>
    <w:p>
      <w:pPr>
        <w:spacing w:after="0" w:line="23" w:lineRule="exact"/>
        <w:rPr>
          <w:rFonts w:ascii="Arial" w:cs="Arial" w:eastAsia="Arial" w:hAnsi="Arial"/>
          <w:sz w:val="18"/>
          <w:szCs w:val="18"/>
          <w:color w:val="auto"/>
        </w:rPr>
      </w:pPr>
    </w:p>
    <w:p>
      <w:pPr>
        <w:ind w:left="1040" w:hanging="316"/>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$18.2 million in goodwill in the IDS APAC reporting unit</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$10.6 million in tradenames in the WPS segment</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 million in fixed assets in the IDS APAC reporting unit</w:t>
      </w:r>
    </w:p>
    <w:p>
      <w:pPr>
        <w:spacing w:after="0" w:line="21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Operating (loss) income of $(85.6) million excluding restructuring charges of $26.0 million and impairment charges of $204.4 million was $144.9 million in fiscal 2013. Operating income of $156.4 million excluding restructuring of $6.1 million was $162.5 million in fiscal 2012. The decrease was mainly due to the decline in segment profit of the WPS business, which is discussed in further detail within the Business Segment Operating Results section. This decline was partially offset by a decrease in variable incentive compensation of approximately $10 million.</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Operating income of $156.4 million excluding restructuring of $6.1 million was $162.5 million in fiscal 2012. Operating income of $145.8 million excluding restructuring of $6.5 million was $152.2 million in fiscal 2011. This increase in operating income excluding restructuring was primarily due to the decrease in variable incentive compensation of approximately $20 million over the same period. This was partially offset by a decline in segment profit within the WPS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(85,627)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156,432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145,759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32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(19,090)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(22,124)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tax</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(98,746)</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139,424</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127,624</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42,070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36,953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21,667</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(140,816)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102,471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0"/>
        </w:trPr>
        <w:tc>
          <w:tcPr>
            <w:tcW w:w="3280" w:type="dxa"/>
            <w:vAlign w:val="bottom"/>
          </w:tcPr>
          <w:p>
            <w:pPr>
              <w:ind w:left="40"/>
              <w:spacing w:after="0"/>
              <w:rPr>
                <w:sz w:val="20"/>
                <w:szCs w:val="20"/>
                <w:color w:val="auto"/>
              </w:rPr>
            </w:pPr>
            <w:r>
              <w:rPr>
                <w:rFonts w:ascii="Arial" w:cs="Arial" w:eastAsia="Arial" w:hAnsi="Arial"/>
                <w:sz w:val="16"/>
                <w:szCs w:val="16"/>
                <w:color w:val="auto"/>
                <w:w w:val="99"/>
              </w:rPr>
              <w:t>(Loss) earnings from discontinued operations,</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net of income taxes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(13,719)</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(120,382)</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108,652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These amounts mainly consist of interest income and gains and losses on foreign currency and securities held in executive deferred compensation plans. Income of $3.5 million in fiscal 2013, $2.1 million in fiscal 2012 and $4.0 million in fiscal 2011 remain relatively consistent with no material changes year over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Interest expense decreased to $16.6 million in fiscal 2013 compared to $19.1 million in fiscal 2012 and $22.1 million in fiscal 2011. The decline since 2011 was due to the Company's declining principal balance under its outstanding debt agreements, along with changes in debt structure resulting in a reduction in the weighted average interest rate.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effective tax rate from continuing operations was (42.6)% in fiscal 2013, compared to the effective tax rate from continuing operations of 26.5% in fiscal 2012. The effective tax rate for fiscal 2013 was significantly impacted by the $168.9 million non-deductible portion of the goodwill impairment charge recorded on the WPS Americas and IDS Asia reporting units during the three months ended July 31, 2013, as well as a tax charge of $26.6 million associated with the funding of the PDC acquisition. Excluding these items, our fiscal 2013 effective tax rate from continuing operations would have been 22.0%, slightly lower than the prior year due mainly to fluctuation in profit mix. Refer to Note 1, “Summary of Significant Accounting Policies” within Item 8 for further discussion regarding the goodwill impairment charges.</w:t>
      </w:r>
    </w:p>
    <w:p>
      <w:pPr>
        <w:spacing w:after="0" w:line="15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effective tax rate from continuing operations for fiscal 2012 was 26.5% as compared to 17.0% in fiscal 2011. The lower tax rate in fiscal 2011 was due primarily to excess foreign tax credits recognized as a benefit to tax expense from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Operations</w:t>
      </w:r>
    </w:p>
    <w:p>
      <w:pPr>
        <w:spacing w:after="0" w:line="2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Discontinued operations consist of the Asia Die-Cut business platform, which was classified as held for sale beginning in the third quarter of fiscal 2013. During the three months ended July 31, 2013, the Company incorporated its European-based die-cut business, Balkhausen, into the Asia Die-Cut disposal group. In addition, the following previously divested businesses were reported within discontinued operations: Brady Medical and Varitronics (divested in fiscal 2013), Etimark (divested in fiscal 2012) and Teklynx (divested in fiscal 2011). These divested businesses were part of the IDS business segment.</w:t>
      </w:r>
    </w:p>
    <w:p>
      <w:pPr>
        <w:spacing w:after="0" w:line="18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loss from discontinued operations net of income taxes was $13.7 million for fiscal 2013 compared to $120.4 million in fiscal 2012. The loss in fiscal 2013 primarily related to a $15.7 million write-down of the disposal group to estimated fair value less cost to sell. The loss in fiscal 2012 primarily related to the $115.7 million goodwill impairment charge recorded during the second quarter of fiscal 2012, which was related to the Asia Die-Cut disposal group. The profit in fiscal 2011 was due primarily to higher sales and gross margins in the Asia Die-Cut business.</w:t>
      </w:r>
    </w:p>
    <w:p>
      <w:pPr>
        <w:spacing w:after="0" w:line="18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Depreciation and amortization recognized within discontinued operations for fiscal 2013 were $4.0 million and $4.8 million, respectively, compared to $6.0 million and $6.9 million for fiscal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9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is organized and managed on a global basis within two business platforms: IDS and WPS, which are the reportable segments. Each business platform has a President that reports directly to the Company's chief operating decision maker, its Chief Executive Officer. Each platform has its own distinct operations, which are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5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sales and profit of discontinued operations are excluded from the following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segment information for the fiscal years ended July 31, 2013, 2012 and 2011: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Years ended July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733,433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633,774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625,396</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418,676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434,914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433,959</w:t>
            </w:r>
          </w:p>
        </w:tc>
        <w:tc>
          <w:tcPr>
            <w:tcW w:w="0" w:type="dxa"/>
            <w:vAlign w:val="bottom"/>
          </w:tcPr>
          <w:p>
            <w:pPr>
              <w:spacing w:after="0"/>
              <w:rPr>
                <w:sz w:val="1"/>
                <w:szCs w:val="1"/>
                <w:color w:val="auto"/>
              </w:rPr>
            </w:pPr>
          </w:p>
        </w:tc>
      </w:tr>
      <w:tr>
        <w:trPr>
          <w:trHeight w:val="217"/>
        </w:trPr>
        <w:tc>
          <w:tcPr>
            <w:tcW w:w="56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8"/>
              </w:rPr>
              <w:t>1,152,109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98"/>
              </w:rPr>
              <w:t>1,068,688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1,059,355</w:t>
            </w:r>
          </w:p>
        </w:tc>
        <w:tc>
          <w:tcPr>
            <w:tcW w:w="0" w:type="dxa"/>
            <w:vAlign w:val="bottom"/>
          </w:tcPr>
          <w:p>
            <w:pPr>
              <w:spacing w:after="0"/>
              <w:rPr>
                <w:sz w:val="1"/>
                <w:szCs w:val="1"/>
                <w:color w:val="auto"/>
              </w:rPr>
            </w:pPr>
          </w:p>
        </w:tc>
      </w:tr>
      <w:tr>
        <w:trPr>
          <w:trHeight w:val="73"/>
        </w:trPr>
        <w:tc>
          <w:tcPr>
            <w:tcW w:w="56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SALES GROWTH INFORMATION</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6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7"/>
        </w:trPr>
        <w:tc>
          <w:tcPr>
            <w:tcW w:w="56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73"/>
        </w:trPr>
        <w:tc>
          <w:tcPr>
            <w:tcW w:w="56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Organic</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7"/>
        </w:trPr>
        <w:tc>
          <w:tcPr>
            <w:tcW w:w="56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73"/>
        </w:trPr>
        <w:tc>
          <w:tcPr>
            <w:tcW w:w="56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171,319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159,427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146,124</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95,241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117,187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118,913</w:t>
            </w:r>
          </w:p>
        </w:tc>
        <w:tc>
          <w:tcPr>
            <w:tcW w:w="0" w:type="dxa"/>
            <w:vAlign w:val="bottom"/>
          </w:tcPr>
          <w:p>
            <w:pPr>
              <w:spacing w:after="0"/>
              <w:rPr>
                <w:sz w:val="1"/>
                <w:szCs w:val="1"/>
                <w:color w:val="auto"/>
              </w:rPr>
            </w:pPr>
          </w:p>
        </w:tc>
      </w:tr>
      <w:tr>
        <w:trPr>
          <w:trHeight w:val="217"/>
        </w:trPr>
        <w:tc>
          <w:tcPr>
            <w:tcW w:w="56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266,560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276,614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265,037</w:t>
            </w:r>
          </w:p>
        </w:tc>
        <w:tc>
          <w:tcPr>
            <w:tcW w:w="0" w:type="dxa"/>
            <w:vAlign w:val="bottom"/>
          </w:tcPr>
          <w:p>
            <w:pPr>
              <w:spacing w:after="0"/>
              <w:rPr>
                <w:sz w:val="1"/>
                <w:szCs w:val="1"/>
                <w:color w:val="auto"/>
              </w:rPr>
            </w:pPr>
          </w:p>
        </w:tc>
      </w:tr>
      <w:tr>
        <w:trPr>
          <w:trHeight w:val="73"/>
        </w:trPr>
        <w:tc>
          <w:tcPr>
            <w:tcW w:w="56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 AS A PERCENT OF SALES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7"/>
        </w:trPr>
        <w:tc>
          <w:tcPr>
            <w:tcW w:w="56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NET EARNINGS RECONCILIATION</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680" w:type="dxa"/>
            <w:vAlign w:val="bottom"/>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231"/>
        </w:trPr>
        <w:tc>
          <w:tcPr>
            <w:tcW w:w="5680" w:type="dxa"/>
            <w:vAlign w:val="bottom"/>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July 31, 2013</w:t>
            </w: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July 31, 2012</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July 31, 2011</w:t>
            </w:r>
          </w:p>
        </w:tc>
      </w:tr>
      <w:tr>
        <w:trPr>
          <w:trHeight w:val="33"/>
        </w:trPr>
        <w:tc>
          <w:tcPr>
            <w:tcW w:w="5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266,560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276,614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265,037</w:t>
            </w:r>
          </w:p>
        </w:tc>
      </w:tr>
      <w:tr>
        <w:trPr>
          <w:trHeight w:val="224"/>
        </w:trPr>
        <w:tc>
          <w:tcPr>
            <w:tcW w:w="5680" w:type="dxa"/>
            <w:vAlign w:val="bottom"/>
            <w:gridSpan w:val="2"/>
          </w:tcPr>
          <w:p>
            <w:pPr>
              <w:ind w:left="40"/>
              <w:spacing w:after="0"/>
              <w:rPr>
                <w:sz w:val="20"/>
                <w:szCs w:val="20"/>
                <w:color w:val="auto"/>
              </w:rPr>
            </w:pPr>
            <w:r>
              <w:rPr>
                <w:rFonts w:ascii="Arial" w:cs="Arial" w:eastAsia="Arial" w:hAnsi="Arial"/>
                <w:sz w:val="16"/>
                <w:szCs w:val="16"/>
                <w:color w:val="auto"/>
              </w:rPr>
              <w:t>Unallocated costs: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5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112,827</w:t>
            </w:r>
          </w:p>
        </w:tc>
      </w:tr>
      <w:tr>
        <w:trPr>
          <w:trHeight w:val="237"/>
        </w:trPr>
        <w:tc>
          <w:tcPr>
            <w:tcW w:w="5680" w:type="dxa"/>
            <w:vAlign w:val="bottom"/>
            <w:gridSpan w:val="2"/>
          </w:tcPr>
          <w:p>
            <w:pPr>
              <w:ind w:left="380"/>
              <w:spacing w:after="0"/>
              <w:rPr>
                <w:sz w:val="20"/>
                <w:szCs w:val="20"/>
                <w:color w:val="auto"/>
              </w:rPr>
            </w:pPr>
            <w:r>
              <w:rPr>
                <w:rFonts w:ascii="Arial" w:cs="Arial" w:eastAsia="Arial" w:hAnsi="Arial"/>
                <w:sz w:val="16"/>
                <w:szCs w:val="16"/>
                <w:color w:val="auto"/>
              </w:rPr>
              <w:t>Restructuring charges</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6,451</w:t>
            </w:r>
          </w:p>
        </w:tc>
      </w:tr>
      <w:tr>
        <w:trPr>
          <w:trHeight w:val="33"/>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680" w:type="dxa"/>
            <w:vAlign w:val="bottom"/>
            <w:gridSpan w:val="2"/>
          </w:tcPr>
          <w:p>
            <w:pPr>
              <w:ind w:left="380"/>
              <w:spacing w:after="0"/>
              <w:rPr>
                <w:sz w:val="20"/>
                <w:szCs w:val="20"/>
                <w:color w:val="auto"/>
              </w:rPr>
            </w:pPr>
            <w:r>
              <w:rPr>
                <w:rFonts w:ascii="Arial" w:cs="Arial" w:eastAsia="Arial" w:hAnsi="Arial"/>
                <w:sz w:val="16"/>
                <w:szCs w:val="16"/>
                <w:color w:val="auto"/>
              </w:rPr>
              <w:t>Investment and other income</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(3,989)</w:t>
            </w:r>
          </w:p>
        </w:tc>
      </w:tr>
      <w:tr>
        <w:trPr>
          <w:trHeight w:val="33"/>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r>
      <w:tr>
        <w:trPr>
          <w:trHeight w:val="217"/>
        </w:trPr>
        <w:tc>
          <w:tcPr>
            <w:tcW w:w="5680" w:type="dxa"/>
            <w:vAlign w:val="bottom"/>
            <w:gridSpan w:val="2"/>
          </w:tcPr>
          <w:p>
            <w:pPr>
              <w:ind w:left="40"/>
              <w:spacing w:after="0"/>
              <w:rPr>
                <w:sz w:val="20"/>
                <w:szCs w:val="20"/>
                <w:color w:val="auto"/>
              </w:rPr>
            </w:pPr>
            <w:r>
              <w:rPr>
                <w:rFonts w:ascii="Arial" w:cs="Arial" w:eastAsia="Arial" w:hAnsi="Arial"/>
                <w:sz w:val="16"/>
                <w:szCs w:val="16"/>
                <w:color w:val="auto"/>
              </w:rPr>
              <w:t>(Loss) earnings from continuing operations before income taxes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(98,746)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139,424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127,624</w:t>
            </w:r>
          </w:p>
        </w:tc>
      </w:tr>
      <w:tr>
        <w:trPr>
          <w:trHeight w:val="33"/>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219"/>
          </w:cols>
          <w:pgMar w:left="240" w:top="121" w:right="1440"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vs. 2012</w:t>
      </w:r>
    </w:p>
    <w:p>
      <w:pPr>
        <w:spacing w:after="0" w:line="2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Net sales increased by 15.7% from fiscal 2012 to fiscal 2013, which consisted of organic growth of 0.3%, currency impact of a negative 0.9% and growth from acquisitions of 16.3%. Acquisition growth within the IDS segment was almost entirely generated by the acquisition of PDC in December 2012, with a small portion contributed by the acquisition of Grafo in March 2012.</w:t>
      </w:r>
    </w:p>
    <w:p>
      <w:pPr>
        <w:spacing w:after="0" w:line="190"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The PDC acquisition contributed more than $100.0 million in sales in fiscal 2013 and provides an entry for the Company into the healthcare identification space. We are in the process of integrating PDC into the existing business, and plan to leverage Brady practices in all functional areas.</w:t>
      </w:r>
    </w:p>
    <w:p>
      <w:pPr>
        <w:spacing w:after="0" w:line="14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Organic sales in the IDS segment grew by 0.3% primarily due to growth within the Americas of approximately 1%, which was partially offset by modest declines in Europe and APAC. Within the Americas, North America growth was partially offset by a 10% decline in Brazil. Sales over the Internet increased by more than 15%, and we experienced a positive response to our recent new product launches. In Europe, the decline in the IDS business platform was mainly driven by the economy, partially offset by our increased presence in emerging geographies, new and differentiated product launches, and our strategy to increase share in specific vertical markets. In APAC, sales growth was modest, as the de-consolidation of certain business units from the Asia Die-Cut disposal group impacted sales growth negatively.</w:t>
      </w:r>
    </w:p>
    <w:p>
      <w:pPr>
        <w:spacing w:after="0" w:line="193"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Overall, sales globally were driven by new product launches and growth within vertical markets. New products launched include the BBP85 printer, which is a continuous-sleeving wire identification system for high volume applications in the electrical and aerospace markets, and three new high performance materials to address the changing requirements for identification of printed circuit boards and electronic components. Vertical market growth was focused within the chemical, oil, and gas industries, as well as our targeted Strategic Account Management programs.</w:t>
      </w:r>
    </w:p>
    <w:p>
      <w:pPr>
        <w:spacing w:after="0" w:line="17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Segment profit increased to $171.3 million in fiscal 2013 from $159.4 million in fiscal 2012, an increase of $11.9 million or 7.5%. The primary driver of the profit increase was the acquisition of PDC. This profit was partially offset by a decline in profitability in Brazil and Western Europe. Brazil's decline was due to a combination of sales decline, cost increases and expenses associated with the implementation of a new ERP system. In Western Europe, the largest decline in sales and profit was in Italy, where we realized a 25% sales decline partially due to one-time sales in the prior year that did not repeat. In addition, Italy's profitability was impacted by product quality issues associated with a printer introduced in fiscal 2012.</w:t>
      </w:r>
    </w:p>
    <w:p>
      <w:pPr>
        <w:spacing w:after="0" w:line="173"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Company performed its annual goodwill impairment assessment on May 1, 2013, and subsequently concluded that the IDS APAC reporting unit was impaired. Although sales grew from 2012 to 2013, profit declined and neither were as high as anticipated. Specifically, fourth quarter fiscal 2013 gross margin and segment profit declined compared to the prior year, while results were anticipated to increase over the prior year fourth quarter. In addition, projections were not sufficient to support the balance of goodwill remaining within the reporting unit. As such, the Company recorded a goodwill impairment charge of $18.2 million during fiscal 2013, which represents all of the remaining goodwill for this reporting unit.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vs. 2011</w:t>
      </w:r>
    </w:p>
    <w:p>
      <w:pPr>
        <w:spacing w:after="0" w:line="27"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8"/>
          <w:szCs w:val="18"/>
          <w:color w:val="auto"/>
        </w:rPr>
        <w:t>Net sales increased by 1.3% from fiscal 2011 to fiscal 2012, which consisted of organic growth of 2.7%, currency impact of a negative 1.6% and growth from acquisitions of 0.2%. The Company acquired Grafo in South Africa as part of the IDS segment in March 2012.</w:t>
      </w:r>
    </w:p>
    <w:p>
      <w:pPr>
        <w:spacing w:after="0" w:line="184"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Organic sales in the IDS segment grew 2.7%. Regionally, growth in the Americas was strong at 7.8%, growth in Europe was modest at approximately 1% and APAC declined by more than 10%. Overall, during fiscal 2012 the U.S. economy appeared to be recovering while the European economy was weakening. Within the Americas, the strong growth rates were driven by the execution across multiple key growth initiatives, including a strong focus on our core distributor-based business delivering an improved customer experience, improvements in the e-commerce experience, key customer conversions, and an improved service offering. New product development continued to drive growth globally with the successful launch of portable printers and proprietary consumables. In Europe, despite negative economic growth, we grew modestly as we continued to focus on emerging economies. In Asia, we experienced significant declines in several countries. During fiscal 2012, we began the process to separate the sales and marketing resources between the traditional IDS products and the Die-Cut business platform.</w:t>
      </w:r>
    </w:p>
    <w:p>
      <w:pPr>
        <w:spacing w:after="0" w:line="17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Segment profit increased to $159.4 million in fiscal 2012 from $146.1 million in fiscal 2011, an increase of $13.3 million or 9.1%. The profit increase was attributable to the Americas business mainly due to strong sales growth, selected price increases, operational improvements, focus on lean and strategic sourcing, as well as actions taken to improve our selling expense structure.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Europe maintained its profit levels and we increased investment in the APAC business, which resulted in a decline in profit in Asia. We added an experienced expatriate to the team in Asia to begin building the IDS business teams for future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vs. 2012</w:t>
      </w:r>
    </w:p>
    <w:p>
      <w:pPr>
        <w:spacing w:after="0" w:line="27"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8"/>
          <w:szCs w:val="18"/>
          <w:color w:val="auto"/>
        </w:rPr>
        <w:t>Net sales decreased by 3.7% from fiscal 2012 to 2013, which consisted of an organic decline of 7.0%, currency impact of a negative 0.7% and growth from acquisitions of 4.0%. The Company acquired Runelandhs and Pervaco in Europe in May 2012.</w:t>
      </w:r>
    </w:p>
    <w:p>
      <w:pPr>
        <w:spacing w:after="0" w:line="18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Organic sales in the WPS segment declined 7.0% within all geographies from fiscal 2012 to 2013, and have declined for the last seven quarters. WPS APAC sales are generated entirely in Australia, and have declined for the last four quarters mainly due to the weakness in the Australian economy. In the Americas and Europe, organic sales declined by 5% and 6%, respectively. Beginning in fiscal 2012, we experienced a deterioration of this business due to increased e-commerce competition and pricing pressures.The Company continues to modify its strategy to grow this business, which includes: investments in e-commerce capabilities, pricing structure changes and expansion of product offerings.</w:t>
      </w:r>
    </w:p>
    <w:p>
      <w:pPr>
        <w:spacing w:after="0" w:line="13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Segment profit decreased in fiscal 2013 to $95.2 million from $117.2 million, a decline of $22.0 million or 18.8%. This was primarily due to volume and price declines as a result of increased competition and reduced catalog advertising. In addition, the Company redirected some of its investment from the traditional catalog model to e-business, the benefits of which are anticipated to be realized in future fiscal years.</w:t>
      </w:r>
    </w:p>
    <w:p>
      <w:pPr>
        <w:spacing w:after="0" w:line="12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Since the global economic recession of 2009, organic growth within the WPS Americas reporting unit has been difficult to achieve, especially within mature markets such as the U.S. and Canada where business-to-business transactions over the Internet are more advanced than many of the European and Australian markets. With the acceleration of the Internet in the business-to-business market, competition and pricing pressure have intensified. As a result, organic sales declined by approximately 7% and segment profit declined by nearly 20% during fiscal 2013 as compared to fiscal 2012.</w:t>
      </w:r>
    </w:p>
    <w:p>
      <w:pPr>
        <w:spacing w:after="0" w:line="100"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Company is modifying its strategy within the WPS platform, including investments in enhanced e-commerce capabilities, expanded product offerings, enhanced industry-specific expertise, and adjusting its pricing strategies. Although management believes the strategy modifications will improve organic sales and profitability of the WPS platform in future years, there is risk associated with any strategy. As such, the Company's annual goodwill impairment analysis ("Step One") reflected the risk in the strategy and the decline in fiscal 2013 sales and profitability, which occurred during a period of time in which the Company was redirecting its investment from the traditional catalog model to e-business. In addition, the rate of decline became more pronounced during the second half of the fiscal year and fell short of internal forecasts, resulting in the conclusion that WPS Americas failed Step One, as the resulting fair value was less than the carrying value of the reporting unit.</w:t>
      </w:r>
    </w:p>
    <w:p>
      <w:pPr>
        <w:spacing w:after="0" w:line="13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Upon completion of the impairment assessment, the Company recognized a goodwill impairment charge of $172.3 million during fiscal 2013. In conjunction with the goodwill impairment test of the WPS Americas reporting unit, indefinite-lived tradenames associated with the reporting unit were revalued and analyzed for impairment. As a result, indefinite-lived tradenames in the amount of $10.6 million primarily associated with the WPS Americas reporting unit were impaired during fiscal 2013.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vs. 2011</w:t>
      </w:r>
    </w:p>
    <w:p>
      <w:pPr>
        <w:spacing w:after="0" w:line="2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7"/>
          <w:szCs w:val="17"/>
          <w:color w:val="auto"/>
        </w:rPr>
        <w:t>Net sales increased by 0.2% from fiscal 2011 to fiscal 2012, which consisted of an organic decline of 0.2%, currency impact of a negative 1.2% and growth from acquisitions of 1.6%. Acquisition growth was driven by the acquisitions of Runelandhs and Pervaco in Europe in May 2012.</w:t>
      </w:r>
    </w:p>
    <w:p>
      <w:pPr>
        <w:spacing w:after="0" w:line="16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Organic sales declined 0.2% within the WPS segment. Regionally, the Americas realized essentially no growth, while Europe declined by 2.3% and Asia-Pacific sales increased by approximately 6%. In the fourth quarter, Asia-Pacific sales began to slow as the Australian economy began to weaken. In the Americas, growth was approximately 3% for the first half of the year, followed by comparable declines in the second half. Europe experienced a similar trend, as first quarter growth of 4.0% was followed by a decline in growth in the subsequent quarters as increased competition and pricing pressure deteriorated sales.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Segment profit for fiscal 2012 was $117.2 million, a slight decline from $118.9 million in fiscal 2011. The growth in profit in the first half of the year due to sales was offset by the profit decline in the second half of the year due to investments in the e-commerce initiative increasing compared to the first half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and cash equivalents were $91.1 million at July 31, 2013, and $305.9 million at July 31, 2012, a decline of $214.8 million. The decline was primarily due to investing activities, which included the purchase of PDC in the second quarter of fiscal 2013 for $301.2 million.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July 31,</w:t>
            </w:r>
          </w:p>
        </w:tc>
        <w:tc>
          <w:tcPr>
            <w:tcW w:w="7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2011</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60"/>
        </w:trPr>
        <w:tc>
          <w:tcPr>
            <w:tcW w:w="6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143,503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144,705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167,350</w:t>
            </w:r>
          </w:p>
        </w:tc>
      </w:tr>
      <w:tr>
        <w:trPr>
          <w:trHeight w:val="33"/>
        </w:trPr>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(22,631)</w:t>
            </w: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(147,824)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(91,574)</w:t>
            </w:r>
          </w:p>
        </w:tc>
      </w:tr>
      <w:tr>
        <w:trPr>
          <w:trHeight w:val="33"/>
        </w:trPr>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21,986</w:t>
            </w:r>
          </w:p>
        </w:tc>
      </w:tr>
      <w:tr>
        <w:trPr>
          <w:trHeight w:val="217"/>
        </w:trPr>
        <w:tc>
          <w:tcPr>
            <w:tcW w:w="622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(214,842)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(84,071)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75,131</w:t>
            </w: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Net cash provided by operating activities was $143.5 million during fiscal 2013 compared to $144.7 million in the prior year. Although there was minimal change in total, the cash flow from pre-tax income declined approximately $30 million, primarily due to the decline in sales and profits in our WPS segment. This was offset by the improvement in working capital of approximately $30 million. This improvement was primarily attributable to a positive change in accounts payable and accrued liabilities related to fiscal 2013 working capital initiatives, which significantly improved days payable outstanding.</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Net cash used in investing activities was $325.8 million during fiscal 2013, compared to net cash used in investing activities $64.6 million in the prior year. The increase in cash used in investing activities of $261.2 million was primarily due to the purchase of PDC in the second quarter of fiscal 2013 for $301.2 million, and an increase in capital expenditures of $11.5 million for machinery in Brazil and new facilities in Thailand and Australia. This was partially offset by cash received of $10.2 million due to the sales of the Brady Medical and Varitronics businesses in the first quarter of fiscal 2013.</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financing activities was $33.1 million during fiscal 2013, compared to $147.8 million during the prior year. The decrease in cash used in financing activities was due to a net draw on the Company's credit revolver and multi-currency line of credit in China, which provided $50.6 million in cash. In addition, cash provided by the issuance of common stock increased by $16.5 million, while cash used to repurchase common shares decreased by $44.8 million compared to 2012.</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Net cash provided by operating activities was $144.7 million in fiscal 2012, compared to $167.4 million in fiscal 2011. Cash flows from operating activities are generated primarily from operating income and managing the components of working capital. The decrease in cash flows from operating activities of $22.7 million from fiscal 2011 to fiscal 2012 was partially due to a decline in net income of $10.9 million after excluding the goodwill impairment charge of $115.7 million. In addition, the net change of inventories and accounts payable and accrued liabilities reduced operating cash flows by $30.8 million compared to the prior year. This decline was partially offset by lower income taxes paid versus expensed of $20.5 million in fiscal 2012 compared to 2011.</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investing activities was $64.6 million in fiscal 2012, compared to $22.6 million in fiscal 2011. The increase in cash used in investing activities of $42.0 million from fiscal 2011 to fiscal 2012 was primarily due to the increase in cash used in acquisitions of $29.7 million compared to 2011. In addition, cash provided by divestitures declined by $12.1 million, from fiscal 2011 to fiscal 2012. See Note 2 within Item 8 for further information regarding acquisitions and divestitures.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financing activities was $147.8 million in fiscal 2012, compared to $91.6 million in fiscal 2011. The increase in cash used in financing activities of $56.2 million was primarily due to the repurchase of common shares during fiscal year 2012 for $49.9 million. In addition, cash received from the exercise of employee stock options declined by $4.3 million from fiscal 2011 to fiscal 2012.</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up to $450 million.</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December 2012, the Company drew down $220.0 million from its revolving loan agreement with a group of six banks to fund a portion of the purchase price of the acquisition of PDC. The borrowings bear interest at LIBOR plus 1.125% per annum, which will be reset from time to time based upon changes in the LIBOR rate. Prior to July 31, 2013, the Company repaid $181.0 million of the borrowing with cash on hand. During fiscal 2013, the maximum amount outstanding on the revolving loan agreement was $220.0 million. As of July 31, 2013, the outstanding balance on the credit facility was $39.0 million and there was $261.0 million available for future borrowing under the credit facility, which can be increased to $411.0 million at the Company's option, subject to certain conditions.</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2013, the Company entered into an unsecured $26.2 million multi-currency line of credit in China. The line of credit supports USD-denominated or RMB-denominated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on the facility and the facility is subject to periodic review and repricing. The Company is not required to comply with any financial covenants as part of this agreement. During fiscal 2013, the maximum amount outstanding was $11.6 million, comprised entirely of USD-denominated borrowings, which was the balance outstanding at July 31, 2013. As of July 31, 2013, there was $14.6 million available for future borrowing under this credit facility.</w:t>
      </w:r>
    </w:p>
    <w:p>
      <w:pPr>
        <w:spacing w:after="0" w:line="13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 EBITDA, as defined in the debt agreements, of not more than a 3.5 to 1.0 ratio (leverage ratio). As of July 31, 2013, the Company was in compliance with the financial covenant of the June 2004, February 2006, March 2007, and May 2010 private placement debt agreements, with the ratio of debt to EBITDA, as defined by the agreements, equal to 1.6 to 1.0. Additionally, the Company’s February 2012 revolving loan agreement requires the Company to maintain a ratio of debt to trailing twelve month EBITDA, as defined by the debt agreement, of not more than a 3.25 to 1.0 ratio. The revolving loan agreement requires the Company’s trailing twelve months EBITDA to interest expense of not less than a 3.0 to 1.0 ratio (interest expense coverage). As of July 31, 2013, the Company was in compliance with the financial covenants of the revolving loan agreement with the ratio of debt to EBITDA, as defined by the agreement, equal to 1.6 to 1.0 and the interest expense coverage ratio equal to 9.2 to 1.0.</w:t>
      </w:r>
    </w:p>
    <w:p>
      <w:pPr>
        <w:spacing w:after="0" w:line="18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Long-term obligations as a percentage of long-term obligations plus stockholders' investment were 19.5% at July 31, 2013 and 20.2% at July 31, 2012. Long-term obligations decreased by $53.8 million from July 31, 2012 to July 31, 2013, due to the principal payment on debt of $61.3 million, partially offset by the positive impact of foreign currency translation on the Company's Euro-denominated debt of $5.9 million.</w:t>
      </w:r>
    </w:p>
    <w:p>
      <w:pPr>
        <w:spacing w:after="0" w:line="18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Stockholders' investment decreased $178.6 million from July 31, 2012 to July 31, 2013, primarily due to the net loss of $154.5 million, dividend payments of $39.2 million, and a decrease in additional paid-in capital of $6.8 million, partially offset by a reduction in treasury stock of $22.8 million.</w:t>
      </w:r>
    </w:p>
    <w:p>
      <w:pPr>
        <w:spacing w:after="0" w:line="14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cash balances are generated and held in numerous locations throughout the world. At July 31, 2013, 92.8% of the Company's cash and cash equivalents were held outside the United States. The Company's growth has historically been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The Company's fiscal 2013 acquisition of PDC resulted in repatriation of cash to the United States from foreign jurisdictions, which resulted in a $26.6 million tax charge recognized during the fiscal year ended July 31, 2013. The Company believes that its current credit arrangements are sound and that the strength of its balance sheet will allow financial flexibility to respond to both internal growth opportunities and those available through acquisition. However, future cash needs could require the Company to repatriate additional cash to the U.S. from foreign jurisdictions, which could result in material tax charges recognized in the period in which the transactions occur.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September 12, 2013, the Company announced an increase in the annual dividend to shareholders of the Company's Class A Common Stock, from $0.76 to $0.78 per share. A quarterly dividend of $0.195 will be paid on October 31, 2013, to shareholders of record at the close of business on October 10, 2013. This dividend represents an increase of 2.6% and is the 28th consecutive annual increase in dividends.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Related-Party Transactions — Based on an evaluation for the year ended July 31, 2013, the Company does not have material related party transactions that affect the results of operations, cash flow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future commitments in continuing operations at July 31, 2013 for long-term debt, operating lease obligations, purchase obligations, interest obligations and other obligations are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Uncertain</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Timeframe</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262,414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85,028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70,997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14,785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22,145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Interest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42,560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12,629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17,428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35,575</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Obligations (2)</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12,266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35,575</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2013.</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U.S. postretirement medical plan and international pension plans as disclosed in Note 3 to the consolidated financial statements, under Item 8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0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effective tax rate is based on pre-tax income and the tax rates applicable to that income in the various jurisdictions in which the Company operates. Significant judgment is required in determining the Company’s effective income tax rate and in evaluating its tax positions. The Company establishes liabilities when it is more likely than not that the Company will not realize the full tax benefit of the position. The Company adjusts these liabilities in light of changing facts and circumstances.</w:t>
      </w:r>
    </w:p>
    <w:p>
      <w:pPr>
        <w:spacing w:after="0" w:line="26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Tax regulations may require items of income and expense to be included in a tax return in different periods than the items are reflected in the consolidated financial statements. As a result, the effective income tax rate reflected in the consolidated financial statements may be different than the tax rate reported in the income tax return. Some of these differences are permanent, such as expenses that are not deductible on the income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against its deferred tax assets when it is more likely than not that the amount of expected future taxable income will not support the use of the deduction or credit.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and can also be impacted by changes to tax laws. Deferred tax liabilities generally represent tax expense recognized in the consolidated financial statements for which payment has been deferred or expense for which the Company has already taken a deduction on an income tax return but has not yet recognized as expense in the consolidated financial statements.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accounts for uncertain tax positions by recognizing the financial statement effects of a tax position only when, based upon the technical merits, it is “more-likely-than-not” that the position will be sustained upon examination. Judgment is required in evaluating tax positions and determining income tax provisions. The Company generally re-evaluates the technical merits of its tax positions and recognizes an uncertain tax benefit when (i) there is completion of a tax audit; (ii) there is a change in applicable tax law including a tax case ruling or legislative guidance; or (iii) there is an expiration of the statute of limitations.</w:t>
      </w:r>
    </w:p>
    <w:p>
      <w:pPr>
        <w:spacing w:after="0" w:line="29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does not provide for U.S. deferred taxes on cumulative earnings of non-U.S. affiliates and associated companies that have been re-invested indefinitely. These earnings related to ongoing operations have been reinvested in non-U.S. business operations, and the Company does not intend to repatriate these earnings to fund U.S. operations. In fiscal 2013, the Company repatriated approximately $204 million of foreign cash to help fund the acquisition of PDC. Of this amount, approximately $29 million was from earnings that would otherwise be classified as permanently re-invested. The Company determined that given PDC was the largest acquisition in the Company's history, this repatriation was a one-time event, and therefore, in management's judgment, the remaining cumulative earnings have been reinvested indefinitely.</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requires that all acquisitions with goodwill of greater than $20 million require the use of external valuations.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months ended April 30, 2013, the Company announced its plan to divest its Asia Die-Cut business, and during the three months ended July 31, 2013, the Company added its European-based die-cut business, Balkhausen, to the disposal group. Effective May 1, 2013, the Company reorganized its management structure into three global business platforms: Identification Solutions, Workplace Safety, and Die-Cut. Because the Die-Cut business platform was classified as held for sale as of April 30, 2013, the disposal group was recorded at its estimated fair value less cost to sell, which required a write-down in accordance with ASC 360, “Property, Plant and Equipment” and it was excluded from the fiscal 2013 annual goodwill impairment analysis. The Company has identified two operating segments for the year ended July 31, 2013: Identification Solutions and Workplace Safety. These operating segments are also the Company’s reportable segments.</w:t>
      </w:r>
    </w:p>
    <w:p>
      <w:pPr>
        <w:spacing w:after="0" w:line="18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has identified six reporting units within its two operating segments as of July 31, 2013: IDS Americas &amp; Europe, IDS APAC, PeopleID, WPS Americas, WPS Europe, and WPS APAC.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margin and SG&amp;A as a percentage of sales, capital expenditures, working capital levels, income tax rates, the benefits of recent acquisitions and expected synergies, and a weighted-average cost of capital that reflects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8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recorded.</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considers a reporting unit’s value to be substantially in excess of its fair value at 20% or greater. The annual impairment testing performed on May 1, 2013, in accordance with ASC 350, “Intangibles - Goodwill and Other” (“Step One”) indicated that each of the following reporting units had a fair value substantially in excess of its carrying value: IDS Americas &amp; Europe, WPS Europe and WPS APAC. The PeopleID reporting unit passed Step One of the goodwill impairment test, but does not have a fair value substantially in excess of its carrying value. The Company concluded that the WPS Americas and IDS APAC reporting units failed Step One of the goodwill impairment test.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WPS Americas Goodwill Impairment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proceeded to measure the amount of the potential impairment ("Step Two") for the WPS Americas reporting unit with the assistance of a third party valuation firm. The Company calculated the fair value of the identifiable assets and liabilities of the reporting unit as if it had been acquired in a business combination, and the excess fair value of the reporting unit over the fair value of its identifiable assets and liabilities was the implied fair value of goodwill. Upon completion of the assessment, the Company recognized a goodwill impairment charge of $172.3 million during the three months ended July 31, 2013.</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conjunction with the goodwill impairment test of the WPS Americas reporting unit, the carrying value of the indefinite-lived tradenames within the reporting unit were compared to the fair value calculated as part of the Step Two analysis described above. Indefinite-lived tradenames in the amount of $10.6 million associated with the WPS segment were impaired during the three months ended July 31, 2013.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IDS APAC Goodwill Impairment</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IDS APAC reporting unit had goodwill remaining of $18.3 million at the annual impairment assessment date. Sales increased within this reporting unit from 2012 to 2013, however, profitability declined, and neither sales nor profitability were as high as anticipated. Projections for the business were not sufficient to support the carrying value of the reporting unit. When management compared the Step One fair value to the carrying value of the reporting unit, a qualitative assessment was completed for Step Two because the amount by which the carrying value exceeded fair value was more than the balance of goodwill remaining. As such, the Company recognized a goodwill impairment charge of the entire remaining goodwill balance of $18.3 million during the three months ended July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performing the fiscal 2013 annual goodwill impairment assessment, the Company completed a sensitivity analysis on the material assumptions used in the discounted cash flow models for each of its reporting units. Even though the fair value was substantially in excess of carrying value, the Company is providing a detailed sensitivity analysis of the WPS Europe and WPS APAC reporting units given the higher level of risk in the overall WPS strategy.</w:t>
      </w:r>
    </w:p>
    <w:p>
      <w:pPr>
        <w:spacing w:after="0" w:line="14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fair value of the WPS Europe reporting unit was substantially in excess of carrying value at the assessment date, and it had a goodwill balance of $63.1 million as of July 31, 2013. In order to conclude upon the assumptions for the discounted cash flow analysis, the Company considered multiple factors, including (a) macroeconomic conditions, (b) industry and market factors such as competition and changes in the market for the reporting unit's products, (c) overall financial performance such as cash flows, actual and planned revenue, and profitability, and (d) changes in strategy for the reporting unit. The assumption with the most impact on our determination of fair value of the WPS Europe reporting unit is profitability. A reduction in the annual profitability assumption by 100 basis points results in a decrease in the amount of fair value in excess of carrying value of 11%.</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fair value of the WPS APAC reporting unit was substantially in excess of carrying value at the assessment date, and it had a goodwill balance of $36.6 million as of July 31, 2013. In order to conclude upon the assumptions for the discounted cash flow analysis, the Company considered multiple factors, including (a) macroeconomic conditions, (b) industry and market factors such as competition and changes in the market for the reporting unit's products, (c) overall financial performance such as cash flows, actual and planned revenue, and profitability, and (d) changes in strategy for the reporting unit. The assumption with the most impact on our determination of fair value of the WPS APAC reporting unit is profitability. A reduction in the annual profitability assumption by 100 basis points results in a decrease in the amount of fair value in excess of carrying value of 10%.</w:t>
      </w:r>
    </w:p>
    <w:p>
      <w:pPr>
        <w:spacing w:after="0" w:line="17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fair value of the PeopleID reporting unit was in excess of its carrying value by 2% as of the assessment date. This reporting unit is comprised solely of PDC, which was acquired on December 28, 2012 and had a goodwill balance of $170.2 million as of July 31, 2013. In order to conclude upon the assumptions for the discounted cash flow analysis, the Company considered multiple factors, including (a) macroeconomic conditions, (b) industry and market factors such as competition and changes in the market for the reporting unit's products, (c) overall financial performance such as cash flows, actual and planned revenue, and profitability, and (d) changes in strategy for the reporting unit. If the PeopleID reporting unit does not meet its projections it could become impaired. The assumptions with the most impact on our determination of the fair value of the PeopleID reporting unit are sales growth and profitability. A reduction in the annual sales growth or annual profitability assumptions by 100 basis points results in a failure of Step One of the goodwill impairment test. In connection with the Company's recent change in reportable segments, the existing PeopleID business, which was part of the IDS Americas and Europe reporting unit for the 2013 annual goodwill impairment analysis, was integrated into the PeopleID reporting unit effective August 1, 2013. If these businesses had been combined as of the May 1, 2013 goodwill impairment analysis, the fair value in excess of carrying value would have been 11%.</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recorded reserves or allowances for inventory obsolescence, uncollectible accounts receivable, and credit memos. These accounts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7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length or severity of the current worldwide economic downturn or timing or strength of a subsequent recovery;</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in our level of debt;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our ownership structure;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3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information contained in Item 1A -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operations. To achieve this objective, the Company hedges a portion of known exposures using forward contracts. Main exposures are related to transactions denominated in the British Pound, the Euro, Canadian Dollar, Australian Dollar, Malaysian Ringgit, and Singapore Dollar. As of July 31, 2013, the Company had no contracts outstanding designated as cash flow hedges. The Company uses Euro-denominated debt of €75.0 million and British Pound-denominated intercompany debt of £25.0 million designated as hedge instruments to hedge portions of the Company’s net investments in its European and British Pound denominated foreign operations. The Company's revolving credit facility allows it to borrow up to $100.0 million in currencies other than US Dollars under an alternative currency sub-limit. The Company has periodically borrowed funds in Euro and British Pounds under this sub-limit. Debt issued in currencies other than US Dollars acts as a natural hedge to the Company's exposure to the associated currency.</w:t>
      </w:r>
    </w:p>
    <w:p>
      <w:pPr>
        <w:spacing w:after="0" w:line="1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the majority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Currency exchange rates decreased fiscal 2013 sales by 0.9% compared to fiscal 2012 as the U.S. dollar appreciated, on average, against other major currencies throughout the year. The most significant impact on sales due to currency fluctuations occurred during the first quarter ended October 31, 2012, as sales declined by 2.4% as compared to the same quarter of the prior year. This decline was primarily driven by the appreciation of the U.S. dollar against the Euro.</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the Canadian dollar, the Singapore dollar, the Euro, the British Pound, the Brazilian Real, the Korean Won, and the Chinese Yuan. Changes in foreign currency exchange rates for the Company’s foreign subsidiaries reporting in local currencies are generally reported as a component of stockholders’ investment. The Company’s currency translation adjustment recorded in fiscal 2013 and 2012 as a separate component of stockholders’ investment was $2.3 million and $62.8 million unfavorable, respectively. As of July 31, 2013 and 2012, the Company’s foreign subsidiaries had net current assets (defined as current assets less current liabilities) subject to foreign currency translation risk of $245.1 million and $384.2 million, respectively. The potential decrease in net current assets as of July 31, 2013, from a hypothetical 10 percent adverse change in quoted foreign currency exchange rates would be approximately $24.5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2013, the Company had no interest rate derivatives.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9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Page</w:t>
            </w:r>
          </w:p>
        </w:tc>
      </w:tr>
      <w:tr>
        <w:trPr>
          <w:trHeight w:val="209"/>
        </w:trPr>
        <w:tc>
          <w:tcPr>
            <w:tcW w:w="4220" w:type="dxa"/>
            <w:vAlign w:val="bottom"/>
            <w:tcBorders>
              <w:bottom w:val="single" w:sz="8" w:color="0000FF"/>
            </w:tcBorders>
            <w:gridSpan w:val="3"/>
          </w:tcPr>
          <w:p>
            <w:pPr>
              <w:spacing w:after="0" w:line="170"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Report of Independent Registered Public Accounting Firm</w:t>
              </w:r>
            </w:hyperlink>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40" w:type="dxa"/>
            <w:vAlign w:val="bottom"/>
            <w:gridSpan w:val="3"/>
          </w:tcPr>
          <w:p>
            <w:pPr>
              <w:jc w:val="right"/>
              <w:ind w:right="20"/>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44"/>
        </w:trPr>
        <w:tc>
          <w:tcPr>
            <w:tcW w:w="94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r>
      <w:tr>
        <w:trPr>
          <w:trHeight w:val="250"/>
        </w:trPr>
        <w:tc>
          <w:tcPr>
            <w:tcW w:w="4040" w:type="dxa"/>
            <w:vAlign w:val="bottom"/>
            <w:gridSpan w:val="2"/>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Consolidated Balance Sheets — July 31, 2013 and 2012</w:t>
              </w:r>
            </w:hyperlink>
          </w:p>
        </w:tc>
        <w:tc>
          <w:tcPr>
            <w:tcW w:w="5400" w:type="dxa"/>
            <w:vAlign w:val="bottom"/>
            <w:gridSpan w:val="7"/>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15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60" w:type="dxa"/>
            <w:vAlign w:val="bottom"/>
            <w:gridSpan w:val="4"/>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Consolidated Statements of Earnings — Years Ended July 31, 2013, 2012, and 2011</w:t>
              </w:r>
            </w:hyperlink>
          </w:p>
        </w:tc>
        <w:tc>
          <w:tcPr>
            <w:tcW w:w="3380" w:type="dxa"/>
            <w:vAlign w:val="bottom"/>
            <w:gridSpan w:val="5"/>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606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40" w:type="dxa"/>
            <w:vAlign w:val="bottom"/>
            <w:gridSpan w:val="8"/>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Consolidated Statements of Comprehensive Income (Loss) — Years Ended July 31, 2013, 2012, and 2011</w:t>
              </w:r>
            </w:hyperlink>
          </w:p>
        </w:tc>
        <w:tc>
          <w:tcPr>
            <w:tcW w:w="1800" w:type="dxa"/>
            <w:vAlign w:val="bottom"/>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15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60" w:type="dxa"/>
            <w:vAlign w:val="bottom"/>
            <w:gridSpan w:val="7"/>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Consolidated Statements of Stockholders’ Investment — Years Ended July 31, 2013, 2012, and 2011</w:t>
              </w:r>
            </w:hyperlink>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62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60" w:type="dxa"/>
            <w:vAlign w:val="bottom"/>
            <w:gridSpan w:val="5"/>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Consolidated Statements of Cash Flows — Years Ended July 31, 2013, 2012, and 2011</w:t>
              </w:r>
            </w:hyperlink>
          </w:p>
        </w:tc>
        <w:tc>
          <w:tcPr>
            <w:tcW w:w="1000" w:type="dxa"/>
            <w:vAlign w:val="bottom"/>
            <w:gridSpan w:val="2"/>
          </w:tcPr>
          <w:p>
            <w:pPr>
              <w:spacing w:after="0"/>
              <w:rPr>
                <w:sz w:val="21"/>
                <w:szCs w:val="21"/>
                <w:color w:val="auto"/>
              </w:rPr>
            </w:pPr>
          </w:p>
        </w:tc>
        <w:tc>
          <w:tcPr>
            <w:tcW w:w="2180" w:type="dxa"/>
            <w:vAlign w:val="bottom"/>
            <w:gridSpan w:val="2"/>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6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Notes to Consolidated Financial Statements — Years Ended July 31, 2013, 2012, and 2011</w:t>
              </w:r>
            </w:hyperlink>
          </w:p>
        </w:tc>
        <w:tc>
          <w:tcPr>
            <w:tcW w:w="1940" w:type="dxa"/>
            <w:vAlign w:val="bottom"/>
            <w:gridSpan w:val="3"/>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507"/>
        </w:trPr>
        <w:tc>
          <w:tcPr>
            <w:tcW w:w="6060" w:type="dxa"/>
            <w:vAlign w:val="bottom"/>
            <w:tcBorders>
              <w:top w:val="single" w:sz="8" w:color="0000FF"/>
            </w:tcBorders>
            <w:gridSpan w:val="4"/>
          </w:tcPr>
          <w:p>
            <w:pPr>
              <w:ind w:left="5580"/>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2013 and 2012, and the related consolidated statements of earnings, comprehensive income (loss), stockholders' investment, and cash flows for each of the three years in the period ended July 31, 2013. Our audits also included the financial statement schedule listed in the Index at Item 15. These consolidated financial statements and financial statement schedule are the responsibility of the Company's management. Our responsibility is to express an opinion on the financial statements and financial statement schedule based on our audits.</w:t>
      </w:r>
    </w:p>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as of July 31, 2013 and 2012, and the results of their operations and their cash flows for each of the three years in the period ended July 31, 2013,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31, 2013, based on the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 and our report dated September 30, 2013, expressed an unqualified opinion on the Company's internal control over financial reporting.</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2013 and 2012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305,900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receivable — 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169,261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199,006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Finished products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64,544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64,740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Raw materials and supplies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25,407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105,524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Assets held for sale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119,864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40,424</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512,490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650,854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617,236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676,791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84,119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8,623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45,356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20,584</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7,861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101,962</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Machinery and equipment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266,787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292,130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10,417</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377,961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413,160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283,145</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Property, plant and equipment — net</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122,158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130,015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INVESTMENT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Notes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50,613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86,646</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42,413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54,629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Taxes, other than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8,243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36,806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40,815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323,497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267,018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254,944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83,239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76,404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607,886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598,366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Class A nonvoting common stock — Issued 51,261,487 and 51,261,487 shares, respectively; (aggregate liquidation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preference of $42,803 and $42,803 at July 31, 2013 and 2012,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313,008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Earnings retained in the business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538,512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732,290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 2,626,276 and 3,245,561 shares, respectively of Class A nonvoting common stock, at cost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(92,600)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56,063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59,411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830,797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1,009,353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130" w:right="1440"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July 31, 2013, 2012 and 2011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2011</w:t>
            </w: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7"/>
          </w:tcPr>
          <w:p>
            <w:pPr>
              <w:jc w:val="right"/>
              <w:ind w:right="61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1,059,355</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546,029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479,118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471,405</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606,080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589,570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587,950</w:t>
            </w:r>
          </w:p>
        </w:tc>
      </w:tr>
      <w:tr>
        <w:trPr>
          <w:trHeight w:val="264"/>
        </w:trPr>
        <w:tc>
          <w:tcPr>
            <w:tcW w:w="70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38,268</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427,661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392,526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397,472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6,451</w:t>
            </w:r>
          </w:p>
        </w:tc>
      </w:tr>
      <w:tr>
        <w:trPr>
          <w:trHeight w:val="243"/>
        </w:trPr>
        <w:tc>
          <w:tcPr>
            <w:tcW w:w="7040" w:type="dxa"/>
            <w:vAlign w:val="bottom"/>
          </w:tcPr>
          <w:p>
            <w:pPr>
              <w:ind w:left="28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204,448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691,707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442,191</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(85,627)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156,432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145,759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and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Investment and other income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3,989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(98,746)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139,424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127,624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21,667</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(140,816)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102,471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105,957</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2,695</w:t>
            </w:r>
          </w:p>
        </w:tc>
      </w:tr>
      <w:tr>
        <w:trPr>
          <w:trHeight w:val="28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earnings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108,652</w:t>
            </w: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 per Class A Nonvoting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2.01</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per Class B 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51,330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52,453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52,639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51,330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53,133</w:t>
            </w:r>
          </w:p>
        </w:tc>
      </w:tr>
      <w:tr>
        <w:trPr>
          <w:trHeight w:val="33"/>
        </w:trPr>
        <w:tc>
          <w:tcPr>
            <w:tcW w:w="7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20"/>
          </w:cols>
          <w:pgMar w:left="240" w:top="121"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BRADY CORPORATION AND SUBSIDIARIES CONSOLIDATED STATEMENTS OF COMPREHENSIVE INCOME (LOSS) Years Ended July 31, 2013, 2012 and 2011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108,652</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62,832</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20,508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(23,907)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18,545</w:t>
            </w: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Cash flow hedges: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(loss) gain recognized in other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Reclassification adjustment for (gains) losses included in net (loss) earnings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1,793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w:t>
            </w: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(loss) recognized in other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1,472</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before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57,756</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Income tax benefit (expense) related to items of other comprehensive (loss)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5,237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62,993</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(157,883)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(72,398)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171,645</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jc w:val="center"/>
        <w:spacing w:after="0"/>
        <w:rPr>
          <w:sz w:val="20"/>
          <w:szCs w:val="20"/>
          <w:color w:val="auto"/>
        </w:rPr>
      </w:pPr>
      <w:r>
        <w:rPr>
          <w:rFonts w:ascii="Arial" w:cs="Arial" w:eastAsia="Arial" w:hAnsi="Arial"/>
          <w:sz w:val="18"/>
          <w:szCs w:val="18"/>
          <w:b w:val="1"/>
          <w:bCs w:val="1"/>
          <w:color w:val="auto"/>
        </w:rPr>
        <w:t>Years Ended July 31, 2013, 2012 and 2011</w:t>
      </w:r>
    </w:p>
    <w:p>
      <w:pPr>
        <w:spacing w:after="0" w:line="107"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3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5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Retained</w:t>
            </w:r>
          </w:p>
        </w:tc>
        <w:tc>
          <w:tcPr>
            <w:tcW w:w="13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1"/>
              </w:rPr>
              <w:t>Treasury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the</w:t>
            </w:r>
          </w:p>
        </w:tc>
        <w:tc>
          <w:tcPr>
            <w:tcW w:w="136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13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Stock</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Balances at July 31, 2010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140"/>
              <w:spacing w:after="0"/>
              <w:rPr>
                <w:sz w:val="20"/>
                <w:szCs w:val="20"/>
                <w:color w:val="auto"/>
              </w:rPr>
            </w:pPr>
            <w:r>
              <w:rPr>
                <w:rFonts w:ascii="Arial" w:cs="Arial" w:eastAsia="Arial" w:hAnsi="Arial"/>
                <w:sz w:val="14"/>
                <w:szCs w:val="14"/>
                <w:color w:val="auto"/>
                <w:w w:val="96"/>
              </w:rPr>
              <w:t>Net currency translation adjustment and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rPr>
              <w:t>other (Note 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140"/>
              <w:spacing w:after="0"/>
              <w:rPr>
                <w:sz w:val="20"/>
                <w:szCs w:val="20"/>
                <w:color w:val="auto"/>
              </w:rPr>
            </w:pPr>
            <w:r>
              <w:rPr>
                <w:rFonts w:ascii="Arial" w:cs="Arial" w:eastAsia="Arial" w:hAnsi="Arial"/>
                <w:sz w:val="14"/>
                <w:szCs w:val="14"/>
                <w:color w:val="auto"/>
                <w:w w:val="99"/>
              </w:rPr>
              <w:t>Issuance of 524,144 shares of Class 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w w:val="97"/>
              </w:rPr>
              <w:t>Common Stock under stock option plan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Arial" w:cs="Arial" w:eastAsia="Arial" w:hAnsi="Arial"/>
                <w:sz w:val="14"/>
                <w:szCs w:val="14"/>
                <w:color w:val="auto"/>
              </w:rPr>
              <w:t>Other (Note 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140"/>
              <w:spacing w:after="0"/>
              <w:rPr>
                <w:sz w:val="20"/>
                <w:szCs w:val="20"/>
                <w:color w:val="auto"/>
              </w:rPr>
            </w:pPr>
            <w:r>
              <w:rPr>
                <w:rFonts w:ascii="Arial" w:cs="Arial" w:eastAsia="Arial" w:hAnsi="Arial"/>
                <w:sz w:val="14"/>
                <w:szCs w:val="14"/>
                <w:color w:val="auto"/>
              </w:rPr>
              <w:t>Tax benefit from exercise of stock</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140"/>
              <w:spacing w:after="0" w:line="149" w:lineRule="exact"/>
              <w:rPr>
                <w:sz w:val="20"/>
                <w:szCs w:val="20"/>
                <w:color w:val="auto"/>
              </w:rPr>
            </w:pPr>
            <w:r>
              <w:rPr>
                <w:rFonts w:ascii="Arial" w:cs="Arial" w:eastAsia="Arial" w:hAnsi="Arial"/>
                <w:sz w:val="14"/>
                <w:szCs w:val="14"/>
                <w:color w:val="auto"/>
              </w:rPr>
              <w:t>options and deferred compensation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rPr>
              <w:t>distributions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rPr>
              <w:t>(Note 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548</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304,205</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718,512</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(66,314)</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50,905</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(2,829)</w:t>
            </w:r>
          </w:p>
        </w:tc>
      </w:tr>
      <w:tr>
        <w:trPr>
          <w:trHeight w:val="20"/>
        </w:trPr>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108,652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62,993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(5,684)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13,877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(2,035)</w:t>
            </w:r>
          </w:p>
        </w:tc>
      </w:tr>
      <w:tr>
        <w:trPr>
          <w:trHeight w:val="50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9,830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-1149350</wp:posOffset>
            </wp:positionV>
            <wp:extent cx="72466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-703580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-214630</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179070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-1312545</wp:posOffset>
            </wp:positionV>
            <wp:extent cx="883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2980" w:space="720"/>
            <w:col w:w="7720"/>
          </w:cols>
          <w:pgMar w:left="240" w:top="122" w:right="239" w:bottom="1440" w:gutter="0" w:footer="0" w:header="0"/>
          <w:type w:val="continuous"/>
        </w:sectPr>
      </w:pPr>
    </w:p>
    <w:p>
      <w:pPr>
        <w:ind w:left="380"/>
        <w:spacing w:after="0"/>
        <w:rPr>
          <w:sz w:val="20"/>
          <w:szCs w:val="20"/>
          <w:color w:val="auto"/>
        </w:rPr>
      </w:pPr>
      <w:r>
        <w:rPr>
          <w:rFonts w:ascii="Arial" w:cs="Arial" w:eastAsia="Arial" w:hAnsi="Arial"/>
          <w:sz w:val="14"/>
          <w:szCs w:val="14"/>
          <w:color w:val="auto"/>
        </w:rPr>
        <w:t>Class A — $0.72 per share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Class B — $0.70 per share</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Balances at July 31, 2011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4"/>
                <w:szCs w:val="14"/>
                <w:color w:val="auto"/>
              </w:rPr>
              <w:t>Net (loss) income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140"/>
              <w:spacing w:after="0"/>
              <w:rPr>
                <w:sz w:val="20"/>
                <w:szCs w:val="20"/>
                <w:color w:val="auto"/>
              </w:rPr>
            </w:pPr>
            <w:r>
              <w:rPr>
                <w:rFonts w:ascii="Arial" w:cs="Arial" w:eastAsia="Arial" w:hAnsi="Arial"/>
                <w:sz w:val="14"/>
                <w:szCs w:val="14"/>
                <w:color w:val="auto"/>
                <w:w w:val="96"/>
              </w:rPr>
              <w:t>Net currency translation adjustment and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rPr>
              <w:t>other (Note 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140"/>
              <w:spacing w:after="0"/>
              <w:rPr>
                <w:sz w:val="20"/>
                <w:szCs w:val="20"/>
                <w:color w:val="auto"/>
              </w:rPr>
            </w:pPr>
            <w:r>
              <w:rPr>
                <w:rFonts w:ascii="Arial" w:cs="Arial" w:eastAsia="Arial" w:hAnsi="Arial"/>
                <w:sz w:val="14"/>
                <w:szCs w:val="14"/>
                <w:color w:val="auto"/>
                <w:w w:val="99"/>
              </w:rPr>
              <w:t>Issuance of 265,491 shares of Class 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w w:val="97"/>
              </w:rPr>
              <w:t>Common Stock under stock option plan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Arial" w:cs="Arial" w:eastAsia="Arial" w:hAnsi="Arial"/>
                <w:sz w:val="14"/>
                <w:szCs w:val="14"/>
                <w:color w:val="auto"/>
              </w:rPr>
              <w:t>Other (Note 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140"/>
              <w:spacing w:after="0"/>
              <w:rPr>
                <w:sz w:val="20"/>
                <w:szCs w:val="20"/>
                <w:color w:val="auto"/>
              </w:rPr>
            </w:pPr>
            <w:r>
              <w:rPr>
                <w:rFonts w:ascii="Arial" w:cs="Arial" w:eastAsia="Arial" w:hAnsi="Arial"/>
                <w:sz w:val="14"/>
                <w:szCs w:val="14"/>
                <w:color w:val="auto"/>
              </w:rPr>
              <w:t>Tax benefit from exercise of stock</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140"/>
              <w:spacing w:after="0" w:line="149" w:lineRule="exact"/>
              <w:rPr>
                <w:sz w:val="20"/>
                <w:szCs w:val="20"/>
                <w:color w:val="auto"/>
              </w:rPr>
            </w:pPr>
            <w:r>
              <w:rPr>
                <w:rFonts w:ascii="Arial" w:cs="Arial" w:eastAsia="Arial" w:hAnsi="Arial"/>
                <w:sz w:val="14"/>
                <w:szCs w:val="14"/>
                <w:color w:val="auto"/>
              </w:rPr>
              <w:t>options and deferred compensation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rPr>
              <w:t>distributions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rPr>
              <w:t>(Note 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140"/>
              <w:spacing w:after="0"/>
              <w:rPr>
                <w:sz w:val="20"/>
                <w:szCs w:val="20"/>
                <w:color w:val="auto"/>
              </w:rPr>
            </w:pPr>
            <w:r>
              <w:rPr>
                <w:rFonts w:ascii="Arial" w:cs="Arial" w:eastAsia="Arial" w:hAnsi="Arial"/>
                <w:sz w:val="14"/>
                <w:szCs w:val="14"/>
                <w:color w:val="auto"/>
                <w:w w:val="93"/>
              </w:rPr>
              <w:t>Purchase of 1,869,193 shares of Class 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(35,575)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(2,489)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548</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307,527</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789,100</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(50,017)</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113,898</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(4,864)</w:t>
            </w:r>
          </w:p>
        </w:tc>
      </w:tr>
      <w:tr>
        <w:trPr>
          <w:trHeight w:val="20"/>
        </w:trPr>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(54,487)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(3,516)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7,380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1,560</w:t>
            </w:r>
          </w:p>
        </w:tc>
      </w:tr>
      <w:tr>
        <w:trPr>
          <w:trHeight w:val="50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9,467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(49,933)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-1372235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-926465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-437515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7620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-1715770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2980" w:space="720"/>
            <w:col w:w="77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640" w:type="dxa"/>
            <w:vAlign w:val="bottom"/>
          </w:tcPr>
          <w:p>
            <w:pPr>
              <w:ind w:left="380"/>
              <w:spacing w:after="0"/>
              <w:rPr>
                <w:sz w:val="20"/>
                <w:szCs w:val="20"/>
                <w:color w:val="auto"/>
              </w:rPr>
            </w:pPr>
            <w:r>
              <w:rPr>
                <w:rFonts w:ascii="Arial" w:cs="Arial" w:eastAsia="Arial" w:hAnsi="Arial"/>
                <w:sz w:val="14"/>
                <w:szCs w:val="14"/>
                <w:color w:val="auto"/>
              </w:rPr>
              <w:t>Class A — $0.74 per share</w:t>
            </w:r>
          </w:p>
        </w:tc>
        <w:tc>
          <w:tcPr>
            <w:tcW w:w="58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(36,340)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6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$0.72 per share</w:t>
            </w:r>
          </w:p>
        </w:tc>
        <w:tc>
          <w:tcPr>
            <w:tcW w:w="5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Balances at July 31, 2012</w:t>
            </w:r>
          </w:p>
        </w:tc>
        <w:tc>
          <w:tcPr>
            <w:tcW w:w="5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313,008</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732,290</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(92,600)</w:t>
            </w:r>
          </w:p>
        </w:tc>
        <w:tc>
          <w:tcPr>
            <w:tcW w:w="120" w:type="dxa"/>
            <w:vAlign w:val="bottom"/>
          </w:tcPr>
          <w:p>
            <w:pPr>
              <w:spacing w:after="0"/>
              <w:rPr>
                <w:sz w:val="14"/>
                <w:szCs w:val="14"/>
                <w:color w:val="auto"/>
              </w:rPr>
            </w:pPr>
          </w:p>
        </w:tc>
        <w:tc>
          <w:tcPr>
            <w:tcW w:w="46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59,411</w:t>
            </w:r>
          </w:p>
        </w:tc>
        <w:tc>
          <w:tcPr>
            <w:tcW w:w="100" w:type="dxa"/>
            <w:vAlign w:val="bottom"/>
          </w:tcPr>
          <w:p>
            <w:pPr>
              <w:spacing w:after="0"/>
              <w:rPr>
                <w:sz w:val="14"/>
                <w:szCs w:val="14"/>
                <w:color w:val="auto"/>
              </w:rPr>
            </w:pPr>
          </w:p>
        </w:tc>
        <w:tc>
          <w:tcPr>
            <w:tcW w:w="50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65"/>
        </w:trPr>
        <w:tc>
          <w:tcPr>
            <w:tcW w:w="2640" w:type="dxa"/>
            <w:vAlign w:val="bottom"/>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ind w:left="180"/>
              <w:spacing w:after="0"/>
              <w:rPr>
                <w:sz w:val="20"/>
                <w:szCs w:val="20"/>
                <w:color w:val="auto"/>
              </w:rPr>
            </w:pPr>
            <w:r>
              <w:rPr>
                <w:rFonts w:ascii="Arial" w:cs="Arial" w:eastAsia="Arial" w:hAnsi="Arial"/>
                <w:sz w:val="14"/>
                <w:szCs w:val="14"/>
                <w:color w:val="auto"/>
              </w:rPr>
              <w:t>Net (loss) income</w:t>
            </w: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(154,535)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6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Net currency translation adjustment and</w:t>
            </w: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(Note 1)</w:t>
            </w:r>
          </w:p>
        </w:tc>
        <w:tc>
          <w:tcPr>
            <w:tcW w:w="5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640" w:type="dxa"/>
            <w:vAlign w:val="bottom"/>
          </w:tcPr>
          <w:p>
            <w:pPr>
              <w:ind w:left="180"/>
              <w:spacing w:after="0" w:line="157" w:lineRule="exact"/>
              <w:rPr>
                <w:sz w:val="20"/>
                <w:szCs w:val="20"/>
                <w:color w:val="auto"/>
              </w:rPr>
            </w:pPr>
            <w:r>
              <w:rPr>
                <w:rFonts w:ascii="Arial" w:cs="Arial" w:eastAsia="Arial" w:hAnsi="Arial"/>
                <w:sz w:val="14"/>
                <w:szCs w:val="14"/>
                <w:color w:val="auto"/>
                <w:w w:val="97"/>
              </w:rPr>
              <w:t>Issuance of 1,080,089 shares of Class A</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180"/>
              <w:spacing w:after="0"/>
              <w:rPr>
                <w:sz w:val="20"/>
                <w:szCs w:val="20"/>
                <w:color w:val="auto"/>
              </w:rPr>
            </w:pPr>
            <w:r>
              <w:rPr>
                <w:rFonts w:ascii="Arial" w:cs="Arial" w:eastAsia="Arial" w:hAnsi="Arial"/>
                <w:sz w:val="14"/>
                <w:szCs w:val="14"/>
                <w:color w:val="auto"/>
                <w:w w:val="99"/>
              </w:rPr>
              <w:t>Common Stock under stock option plan</w:t>
            </w:r>
          </w:p>
        </w:tc>
        <w:tc>
          <w:tcPr>
            <w:tcW w:w="5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tcPr>
          <w:p>
            <w:pPr>
              <w:jc w:val="right"/>
              <w:ind w:right="27"/>
              <w:spacing w:after="0"/>
              <w:rPr>
                <w:sz w:val="20"/>
                <w:szCs w:val="20"/>
                <w:color w:val="auto"/>
              </w:rPr>
            </w:pPr>
            <w:r>
              <w:rPr>
                <w:rFonts w:ascii="Arial" w:cs="Arial" w:eastAsia="Arial" w:hAnsi="Arial"/>
                <w:sz w:val="14"/>
                <w:szCs w:val="14"/>
                <w:color w:val="auto"/>
              </w:rPr>
              <w:t>30,045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(Note 6)</w:t>
            </w:r>
          </w:p>
        </w:tc>
        <w:tc>
          <w:tcPr>
            <w:tcW w:w="5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640" w:type="dxa"/>
            <w:vAlign w:val="bottom"/>
          </w:tcPr>
          <w:p>
            <w:pPr>
              <w:ind w:left="180"/>
              <w:spacing w:after="0" w:line="157" w:lineRule="exact"/>
              <w:rPr>
                <w:sz w:val="20"/>
                <w:szCs w:val="20"/>
                <w:color w:val="auto"/>
              </w:rPr>
            </w:pPr>
            <w:r>
              <w:rPr>
                <w:rFonts w:ascii="Arial" w:cs="Arial" w:eastAsia="Arial" w:hAnsi="Arial"/>
                <w:sz w:val="14"/>
                <w:szCs w:val="14"/>
                <w:color w:val="auto"/>
              </w:rPr>
              <w:t>Tax benefit from exercise of stock</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80"/>
              <w:spacing w:after="0" w:line="149" w:lineRule="exact"/>
              <w:rPr>
                <w:sz w:val="20"/>
                <w:szCs w:val="20"/>
                <w:color w:val="auto"/>
              </w:rPr>
            </w:pPr>
            <w:r>
              <w:rPr>
                <w:rFonts w:ascii="Arial" w:cs="Arial" w:eastAsia="Arial" w:hAnsi="Arial"/>
                <w:sz w:val="14"/>
                <w:szCs w:val="14"/>
                <w:color w:val="auto"/>
              </w:rPr>
              <w:t>options and deferred compensation</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5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1)</w:t>
            </w:r>
          </w:p>
        </w:tc>
        <w:tc>
          <w:tcPr>
            <w:tcW w:w="5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640" w:type="dxa"/>
            <w:vAlign w:val="bottom"/>
          </w:tcPr>
          <w:p>
            <w:pPr>
              <w:ind w:left="180"/>
              <w:spacing w:after="0" w:line="157" w:lineRule="exact"/>
              <w:rPr>
                <w:sz w:val="20"/>
                <w:szCs w:val="20"/>
                <w:color w:val="auto"/>
              </w:rPr>
            </w:pPr>
            <w:r>
              <w:rPr>
                <w:rFonts w:ascii="Arial" w:cs="Arial" w:eastAsia="Arial" w:hAnsi="Arial"/>
                <w:sz w:val="14"/>
                <w:szCs w:val="14"/>
                <w:color w:val="auto"/>
              </w:rPr>
              <w:t>Purchase of 188,167 shares of Class A</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5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2640" w:type="dxa"/>
            <w:vAlign w:val="bottom"/>
          </w:tcPr>
          <w:p>
            <w:pPr>
              <w:ind w:left="380"/>
              <w:spacing w:after="0"/>
              <w:rPr>
                <w:sz w:val="20"/>
                <w:szCs w:val="20"/>
                <w:color w:val="auto"/>
              </w:rPr>
            </w:pPr>
            <w:r>
              <w:rPr>
                <w:rFonts w:ascii="Arial" w:cs="Arial" w:eastAsia="Arial" w:hAnsi="Arial"/>
                <w:sz w:val="14"/>
                <w:szCs w:val="14"/>
                <w:color w:val="auto"/>
              </w:rPr>
              <w:t>Class A — $0.76 per share</w:t>
            </w:r>
          </w:p>
        </w:tc>
        <w:tc>
          <w:tcPr>
            <w:tcW w:w="58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(36,613)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6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$0.74 per share</w:t>
            </w:r>
          </w:p>
        </w:tc>
        <w:tc>
          <w:tcPr>
            <w:tcW w:w="5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Balances at July 31, 2013</w:t>
            </w:r>
          </w:p>
        </w:tc>
        <w:tc>
          <w:tcPr>
            <w:tcW w:w="5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306,191</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538,512</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(69,797)</w:t>
            </w:r>
          </w:p>
        </w:tc>
        <w:tc>
          <w:tcPr>
            <w:tcW w:w="120" w:type="dxa"/>
            <w:vAlign w:val="bottom"/>
          </w:tcPr>
          <w:p>
            <w:pPr>
              <w:spacing w:after="0"/>
              <w:rPr>
                <w:sz w:val="14"/>
                <w:szCs w:val="14"/>
                <w:color w:val="auto"/>
              </w:rPr>
            </w:pPr>
          </w:p>
        </w:tc>
        <w:tc>
          <w:tcPr>
            <w:tcW w:w="46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56,063</w:t>
            </w:r>
          </w:p>
        </w:tc>
        <w:tc>
          <w:tcPr>
            <w:tcW w:w="100" w:type="dxa"/>
            <w:vAlign w:val="bottom"/>
          </w:tcPr>
          <w:p>
            <w:pPr>
              <w:spacing w:after="0"/>
              <w:rPr>
                <w:sz w:val="14"/>
                <w:szCs w:val="14"/>
                <w:color w:val="auto"/>
              </w:rPr>
            </w:pPr>
          </w:p>
        </w:tc>
        <w:tc>
          <w:tcPr>
            <w:tcW w:w="50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65"/>
        </w:trPr>
        <w:tc>
          <w:tcPr>
            <w:tcW w:w="2640" w:type="dxa"/>
            <w:vAlign w:val="bottom"/>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July 31, 2013, 2012 and 2011</w:t>
      </w:r>
    </w:p>
    <w:p>
      <w:pPr>
        <w:spacing w:after="0" w:line="171" w:lineRule="exact"/>
        <w:rPr>
          <w:sz w:val="20"/>
          <w:szCs w:val="20"/>
          <w:color w:val="auto"/>
        </w:rPr>
      </w:pPr>
    </w:p>
    <w:p>
      <w:pPr>
        <w:jc w:val="both"/>
        <w:ind w:left="8020"/>
        <w:spacing w:after="0"/>
        <w:tabs>
          <w:tab w:leader="none" w:pos="9320" w:val="left"/>
          <w:tab w:leader="none" w:pos="1062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37465</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66"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2" w:right="239" w:bottom="163"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86" w:lineRule="exact"/>
        <w:rPr>
          <w:sz w:val="20"/>
          <w:szCs w:val="20"/>
          <w:color w:val="auto"/>
        </w:rPr>
      </w:pPr>
    </w:p>
    <w:p>
      <w:pPr>
        <w:ind w:left="380"/>
        <w:spacing w:after="0"/>
        <w:tabs>
          <w:tab w:leader="none" w:pos="7560" w:val="left"/>
        </w:tabs>
        <w:rPr>
          <w:sz w:val="20"/>
          <w:szCs w:val="20"/>
          <w:color w:val="auto"/>
        </w:rPr>
      </w:pPr>
      <w:r>
        <w:rPr>
          <w:rFonts w:ascii="Arial" w:cs="Arial" w:eastAsia="Arial" w:hAnsi="Arial"/>
          <w:sz w:val="16"/>
          <w:szCs w:val="16"/>
          <w:color w:val="auto"/>
        </w:rPr>
        <w:t>Net (loss) income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restructuring charges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Impairment charges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Loss on write-down of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Loss (gain) on sales of businesses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Payments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Settlement of net investment hedges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Acquisition of business,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Sales of businesses, net of cash retained</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 of treasury stock</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notes payable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borrowings on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Principal payments on debt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Income tax benefit from the exercise of stock options and deferred compensation distributions, and other</w:t>
      </w:r>
    </w:p>
    <w:p>
      <w:pPr>
        <w:spacing w:after="0" w:line="9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86"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disclosures of cash flow information: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tabs>
          <w:tab w:leader="none" w:pos="7560" w:val="left"/>
        </w:tabs>
        <w:rPr>
          <w:sz w:val="20"/>
          <w:szCs w:val="20"/>
          <w:color w:val="auto"/>
        </w:rPr>
      </w:pPr>
      <w:r>
        <w:rPr>
          <w:rFonts w:ascii="Arial" w:cs="Arial" w:eastAsia="Arial" w:hAnsi="Arial"/>
          <w:sz w:val="16"/>
          <w:szCs w:val="16"/>
          <w:color w:val="auto"/>
        </w:rPr>
        <w:t>Interest, net of capitalized interest</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taxes, net of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Acquisitions:</w:t>
      </w:r>
    </w:p>
    <w:p>
      <w:pPr>
        <w:spacing w:after="0" w:line="8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Fair value of assets acquired, net of cash</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Liabilities assumed</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Net cash paid for acquisitions</w:t>
      </w:r>
      <w:r>
        <w:rPr>
          <w:sz w:val="20"/>
          <w:szCs w:val="20"/>
          <w:color w:val="auto"/>
        </w:rPr>
        <w:tab/>
      </w:r>
      <w:r>
        <w:rPr>
          <w:rFonts w:ascii="Arial" w:cs="Arial" w:eastAsia="Arial" w:hAnsi="Arial"/>
          <w:sz w:val="14"/>
          <w:szCs w:val="14"/>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(154,535)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(17,911)</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108,652</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48,725</w:t>
            </w:r>
          </w:p>
        </w:tc>
        <w:tc>
          <w:tcPr>
            <w:tcW w:w="28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43,987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48,827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3,699</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2,155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1,736</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9,830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204,448</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115,688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15,658</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3,138</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(4,394)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21,630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(8,161)</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1,535</w:t>
            </w:r>
          </w:p>
        </w:tc>
        <w:tc>
          <w:tcPr>
            <w:tcW w:w="28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18,089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7,680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2,440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5,036</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5,624</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(2,285)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(7,722)</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23,922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3,388</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143,503</w:t>
            </w:r>
          </w:p>
        </w:tc>
        <w:tc>
          <w:tcPr>
            <w:tcW w:w="2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144,705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167,350</w:t>
            </w:r>
          </w:p>
        </w:tc>
      </w:tr>
      <w:tr>
        <w:trPr>
          <w:trHeight w:val="54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(35,687)</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(20,532)</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(1,528)</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(5,542)</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(301,157)</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(7,970)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10,178</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12,980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900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(325,766)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(64,604)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(22,631)</w:t>
            </w:r>
          </w:p>
        </w:tc>
      </w:tr>
      <w:tr>
        <w:trPr>
          <w:trHeight w:val="54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(39,243)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(38,899)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(38,064)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20,324</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8,193</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(5,121)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(49,933)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220,000</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(181,000)</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11,613</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(61,264)</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(62,687)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(61,264)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1,631</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(33,060)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(147,824)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(91,574)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481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(16,348)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21,986</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(214,842)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(84,071)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75,131</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305,900</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389,971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314,840</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91,058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305,900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389,971</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58"/>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17,162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19,194</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21,298</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34,030</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35,292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35,851</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168,724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23,792</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4,624</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(37,747)</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170,180</w:t>
            </w: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22,844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4,792</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301,157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37,649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7,970</w:t>
            </w:r>
          </w:p>
        </w:tc>
      </w:tr>
      <w:tr>
        <w:trPr>
          <w:trHeight w:val="33"/>
        </w:trPr>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-8255</wp:posOffset>
            </wp:positionV>
            <wp:extent cx="814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-1594485</wp:posOffset>
            </wp:positionV>
            <wp:extent cx="8147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-1765935</wp:posOffset>
            </wp:positionV>
            <wp:extent cx="814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-2108835</wp:posOffset>
            </wp:positionV>
            <wp:extent cx="814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-2451735</wp:posOffset>
            </wp:positionV>
            <wp:extent cx="814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536" w:lineRule="exact"/>
        <w:rPr>
          <w:sz w:val="20"/>
          <w:szCs w:val="20"/>
          <w:color w:val="auto"/>
        </w:rPr>
      </w:pPr>
    </w:p>
    <w:p>
      <w:pPr>
        <w:sectPr>
          <w:pgSz w:w="11900" w:h="16838" w:orient="portrait"/>
          <w:cols w:equalWidth="0" w:num="2">
            <w:col w:w="7660" w:space="460"/>
            <w:col w:w="3300"/>
          </w:cols>
          <w:pgMar w:left="240" w:top="122" w:right="239" w:bottom="163"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63"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an international manufacturer of identification solutions and specialty materials that identify and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Principles of Consolidation — </w:t>
      </w:r>
      <w:r>
        <w:rPr>
          <w:rFonts w:ascii="Arial" w:cs="Arial" w:eastAsia="Arial" w:hAnsi="Arial"/>
          <w:sz w:val="17"/>
          <w:szCs w:val="17"/>
          <w:color w:val="auto"/>
        </w:rPr>
        <w:t>The accompanying consolidated financial statements include the accounts of Brady Corporation and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(“Brady” or the “Company”), all of which are wholly-owned. All intercompany accounts and transactions have been eliminated in consolidation.</w:t>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Discontinued Operations — </w:t>
      </w:r>
      <w:r>
        <w:rPr>
          <w:rFonts w:ascii="Arial" w:cs="Arial" w:eastAsia="Arial" w:hAnsi="Arial"/>
          <w:sz w:val="18"/>
          <w:szCs w:val="18"/>
          <w:color w:val="auto"/>
        </w:rPr>
        <w:t>The results of operations of the Asia Die-Cut &amp; Balkhausen businesses have been reported as discontinued operations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all periods presented. The corresponding assets and liabilities have been reclassified in accordance with the authoritative literature on assets held for sale at July 31, 2013 and, as a result, the balances are not comparable between periods. In accordance with the authoritative literature, the Company has elected to not separately disclose the cash flows related to the Asia Die-Cut &amp; Balkhausen discontinued operations. See Note 13 for additional information about the Company's discontinued operations.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Subsequent Events — </w:t>
      </w:r>
      <w:r>
        <w:rPr>
          <w:rFonts w:ascii="Arial" w:cs="Arial" w:eastAsia="Arial" w:hAnsi="Arial"/>
          <w:sz w:val="17"/>
          <w:szCs w:val="17"/>
          <w:color w:val="auto"/>
        </w:rPr>
        <w:t>On September 12, 2013, the Company announced an increase in the annual dividend to shareholders of the Company's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from $0.76 to $0.78 per share. A quarterly dividend of $0.195 will be paid on October 31, 2013, to shareholders of record at the close of business on October 10, 2013. This dividend represents an increase of 2.6% and is the 28th consecutive annual increase in dividends.</w:t>
      </w:r>
    </w:p>
    <w:p>
      <w:pPr>
        <w:spacing w:after="0" w:line="1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See Note 5 for more information regarding the fair value of long-term debt and Note 10 for fair value measurements.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Accounts Receivables — </w:t>
      </w:r>
      <w:r>
        <w:rPr>
          <w:rFonts w:ascii="Arial" w:cs="Arial" w:eastAsia="Arial" w:hAnsi="Arial"/>
          <w:sz w:val="16"/>
          <w:szCs w:val="16"/>
          <w:color w:val="auto"/>
        </w:rPr>
        <w:t>Accounts receivables are stated net of allowances for doubtful accounts of $5,093 and $6,006 as of July 31, 2013 and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No single customer comprises more than 5% of the Company’s consolidated net sales in 2013, 2012 or 2011, or 5% of the Company’s consolidated accounts receivable as of July 31, 2013 or 2012. Specific customer provisions may be made during review of significant outstanding amounts, utilizing information about customer creditworthiness and current economic trends, indicates that collection is doubtful. In addition, provisions are made for the remainder of accounts receivable based upon the age of the receivable and the Company’s historical collection experience.</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(approximately 12% of total inventories at July 31, 2013, and approximately 18% of total inventories at July 31, 2012) and the first-in, first-out (“FIFO”) or average cost methods for other inventories. Had all domestic inventories been accounted for on a FIFO basis instead of on a LIFO basis, the carrying value would have increased by $7,923 and $9,271 on July 31, 2013 and 2012,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The cost of buildings and improvements and machinery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is being depreciated over their estimated useful lives using primarily the straight-line method for financial reporting purposes. The estimated useful lives range from 3 to 33 years as shown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Category</w:t>
            </w:r>
          </w:p>
        </w:tc>
        <w:tc>
          <w:tcPr>
            <w:tcW w:w="21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Range of Useful Lives</w:t>
            </w:r>
          </w:p>
        </w:tc>
      </w:tr>
      <w:tr>
        <w:trPr>
          <w:trHeight w:val="33"/>
        </w:trPr>
        <w:tc>
          <w:tcPr>
            <w:tcW w:w="9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3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&amp; Improvements</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to 33 Years</w:t>
            </w:r>
          </w:p>
        </w:tc>
      </w:tr>
      <w:tr>
        <w:trPr>
          <w:trHeight w:val="224"/>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Computer Systems</w:t>
            </w:r>
          </w:p>
        </w:tc>
        <w:tc>
          <w:tcPr>
            <w:tcW w:w="176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4"/>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&amp; Equipment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10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proceeds from disposal, is charged or credited to operations. Leasehold improvements are depreciated over the shorter of the lease term or the estimated useful life of the respective asset. Depreciation expense was $22,976, $21,672, and $23,804 for the years ended July 31, 2013, 2012 and 2011, respectively.</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Goodwill and Other Intangible Assets — </w:t>
      </w:r>
      <w:r>
        <w:rPr>
          <w:rFonts w:ascii="Arial" w:cs="Arial" w:eastAsia="Arial" w:hAnsi="Arial"/>
          <w:sz w:val="18"/>
          <w:szCs w:val="18"/>
          <w:color w:val="auto"/>
        </w:rPr>
        <w:t>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and goodwill are not subjected to amortization. These assets are assessed for impairment annually or more frequently as deemed necessary.</w:t>
      </w:r>
    </w:p>
    <w:p>
      <w:pPr>
        <w:spacing w:after="0" w:line="181"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Goodwill is tested for impairment annually or more frequently if events or changes in circumstances indicate that the asset might be impaired. The Company completes impairment reviews for its reporting units using a fair-value method based on management's judgments and assumptions. The fair value represents the amount at which a reporting unit could be bought or sold in a current transaction between market participants on an arms-length basis. In estimating the fair value, the Company utilizes a discounted cash flow model and market multiples approach. The estimated fair value is compared with the carrying amount of the reporting unit, including goodwill. The annual impairment testing performed on May 1, 2013, in accordance with ASC 350, “Intangibles - Goodwill and Other” (“Step One”) indicated that the following reporting units had a fair value substantially in excess of its carrying value: IDS Americas &amp; Europe, WPS Europe and WPS APAC. The PeopleID reporting unit does not have a fair value substantially in excess of its carrying value, however, this reporting unit consists of the Company's fiscal 2013 acquisition of PDC, and given the short period of time between the date of the acquisition, December 28, 2012, and the Company's annual goodwill impairment assessment date of May 1, 2013, the fair value in excess of carrying value is considered reasonable and consistent with the valuation at acquisition.</w:t>
      </w:r>
    </w:p>
    <w:p>
      <w:pPr>
        <w:spacing w:after="0" w:line="17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results of the Step One analysis completed over the Company's remaining two reporting units, WPS Americas and IDS APAC, indicated that they were potentially impaired.</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WPS Americas Goodwill Impairment</w:t>
      </w:r>
    </w:p>
    <w:p>
      <w:pPr>
        <w:spacing w:after="0" w:line="225"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Since the global economic recession of 2009, organic growth within the WPS Americas reporting unit has been difficult to achieve, especially within mature markets such as the U.S. and Canada where business-to-business transactions over the Internet are more advanced than many of the European and Australian markets. With the acceleration of the Internet in the business-to-business market, competition and pricing have intensified. As a result, organic sales declined by approximately 7% and segment profit declined by nearly 20% during fiscal 2013 as compared to fiscal 2012.</w:t>
      </w:r>
    </w:p>
    <w:p>
      <w:pPr>
        <w:spacing w:after="0" w:line="17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Company is modifying its strategy within the WPS platform, which includes investments in the following: enhanced e-commerce capabilities, expanded product offerings, enhanced industry-specific expertise, and adjusting its pricing strategies. Although management believes the strategy modifications will improve organic sales and profitability of the WPS platform in future years, there is risk associated with any strategy. As such, the Company's annual goodwill impairment analysis ("Step One") reflects the risk in the strategy and the decline in fiscal 2013 sales and profitability, which occurred during a period of time in which the Company was redirecting its investment from the traditional catalog model to e-business. The Company used the discounted cash flow model and market multiples model in order to complete Step One, and concluded that the WPS Americas reporting unit failed, as the resulting fair value was less than the carrying value of the reporting unit.</w:t>
      </w:r>
    </w:p>
    <w:p>
      <w:pPr>
        <w:spacing w:after="0" w:line="18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proceeded to measure the amount of the potential impairment (“Step Two”) with the assistance of a third party valuation firm. In Step Two of the goodwill impairment test, the Company determined the implied fair value of the goodwill and compared it to the carrying value. The Company allocated the fair value of the WPS Americas reporting unit to its assets and liabilities as if the reporting unit had been acquired in a business combination. The excess fair value of the reporting unit over the fair value of its identifiable assets and liabilities was the implied fair value of goodwill. Upon completion of the assessment,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Company recognized a goodwill impairment charge of $172,280 during fiscal 2013. In conjunction with the goodwill impairment test of the WPS Americas reporting unit, indefinite-lived tradenames associated with the reporting unit were analyzed for potential impairment. Indefinite-lived tradenames in the amount of $10,568 associated with the WPS segment were impaired during the three months ended July 31, 2013.</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IDS APAC Goodwill Impairment</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IDS APAC reporting unit had goodwill remaining of $18,225 at the annual impairment assessment date. Although sales grew within this reporting unit from 2012 to 2013, profit declined, and neither were as high as anticipated. Projections for the business were not sufficient to support the carrying value of the reporting unit. The Company used the discounted cash flow model and market multiples model in order to complete Step One, and concluded that the IDS APAC reporting failed, as the resulting fair value was less than the carrying value of the reporting unit. The amount by which the carrying value exceeded fair value was greater than the balance of goodwill remaining, as such, a qualitative assessment was completed for Step Two because the amount by which the carrying value exceeded fair value was more than the balance of goodwill remaining. The Company recognized a goodwill impairment charge for the entire remaining goodwill balance of $18,225 during the year ended July 31, 2013.</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2013 and 2012,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IDS</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WPS</w:t>
            </w:r>
          </w:p>
        </w:tc>
        <w:tc>
          <w:tcPr>
            <w:tcW w:w="24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Die-Cut</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800,343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Current year acquisitions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21,617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22,844</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year divestitures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Impairment charge</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(115,688)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(115,688)</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(30,213)</w:t>
            </w:r>
          </w:p>
        </w:tc>
        <w:tc>
          <w:tcPr>
            <w:tcW w:w="0" w:type="dxa"/>
            <w:vAlign w:val="bottom"/>
          </w:tcPr>
          <w:p>
            <w:pPr>
              <w:spacing w:after="0"/>
              <w:rPr>
                <w:sz w:val="1"/>
                <w:szCs w:val="1"/>
                <w:color w:val="auto"/>
              </w:rPr>
            </w:pPr>
          </w:p>
        </w:tc>
      </w:tr>
      <w:tr>
        <w:trPr>
          <w:trHeight w:val="217"/>
        </w:trPr>
        <w:tc>
          <w:tcPr>
            <w:tcW w:w="6040" w:type="dxa"/>
            <w:vAlign w:val="bottom"/>
          </w:tcPr>
          <w:p>
            <w:pPr>
              <w:ind w:left="40"/>
              <w:spacing w:after="0"/>
              <w:rPr>
                <w:sz w:val="20"/>
                <w:szCs w:val="20"/>
                <w:color w:val="auto"/>
              </w:rPr>
            </w:pPr>
            <w:r>
              <w:rPr>
                <w:rFonts w:ascii="Arial" w:cs="Arial" w:eastAsia="Arial" w:hAnsi="Arial"/>
                <w:sz w:val="16"/>
                <w:szCs w:val="16"/>
                <w:color w:val="auto"/>
              </w:rPr>
              <w:t>Balance as of July 31, 2012</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367,893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276,941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31,957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676,791</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0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Current year acquisitions</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170,180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170,180</w:t>
            </w: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Current year divestitures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Reclassification to assets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(37,347)</w:t>
            </w: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(172,280)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(190,505)</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7"/>
        </w:trPr>
        <w:tc>
          <w:tcPr>
            <w:tcW w:w="6040" w:type="dxa"/>
            <w:vAlign w:val="bottom"/>
          </w:tcPr>
          <w:p>
            <w:pPr>
              <w:ind w:left="40"/>
              <w:spacing w:after="0"/>
              <w:rPr>
                <w:sz w:val="20"/>
                <w:szCs w:val="20"/>
                <w:color w:val="auto"/>
              </w:rPr>
            </w:pPr>
            <w:r>
              <w:rPr>
                <w:rFonts w:ascii="Arial" w:cs="Arial" w:eastAsia="Arial" w:hAnsi="Arial"/>
                <w:sz w:val="16"/>
                <w:szCs w:val="16"/>
                <w:color w:val="auto"/>
              </w:rPr>
              <w:t>Balance as of July 31, 2013</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517,029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100,207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decreased by $59,555 during fiscal 2013. The decline in the balance consisted of the following:</w:t>
      </w:r>
    </w:p>
    <w:p>
      <w:pPr>
        <w:spacing w:after="0" w:line="252" w:lineRule="exact"/>
        <w:rPr>
          <w:sz w:val="20"/>
          <w:szCs w:val="20"/>
          <w:color w:val="auto"/>
        </w:rPr>
      </w:pPr>
    </w:p>
    <w:p>
      <w:pPr>
        <w:ind w:left="720" w:hanging="280"/>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reclassification of goodwill of $37,347 to the Asia Die-Cut and Balkhausen disposal group, which is classified as held for sale as of July 31,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50" w:lineRule="exact"/>
        <w:rPr>
          <w:sz w:val="20"/>
          <w:szCs w:val="20"/>
          <w:color w:val="auto"/>
        </w:rPr>
      </w:pPr>
    </w:p>
    <w:p>
      <w:pPr>
        <w:ind w:left="720" w:hanging="28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impairment charge of $172,280 recognized on the Company's WPS Americas reporting unit</w:t>
      </w:r>
    </w:p>
    <w:p>
      <w:pPr>
        <w:spacing w:after="0" w:line="49" w:lineRule="exact"/>
        <w:rPr>
          <w:rFonts w:ascii="Arial" w:cs="Arial" w:eastAsia="Arial" w:hAnsi="Arial"/>
          <w:sz w:val="18"/>
          <w:szCs w:val="18"/>
          <w:color w:val="auto"/>
        </w:rPr>
      </w:pPr>
    </w:p>
    <w:p>
      <w:pPr>
        <w:ind w:left="720" w:hanging="28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impairment charge of $18,225 recognized on the Company's IDS APAC reporting unit</w:t>
      </w:r>
    </w:p>
    <w:p>
      <w:pPr>
        <w:spacing w:after="0" w:line="49" w:lineRule="exact"/>
        <w:rPr>
          <w:rFonts w:ascii="Arial" w:cs="Arial" w:eastAsia="Arial" w:hAnsi="Arial"/>
          <w:sz w:val="18"/>
          <w:szCs w:val="18"/>
          <w:color w:val="auto"/>
        </w:rPr>
      </w:pPr>
    </w:p>
    <w:p>
      <w:pPr>
        <w:ind w:firstLine="440"/>
        <w:spacing w:after="0" w:line="324"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divestitures of Brady Medical and Varitronics within the IDS segment during the first quarter of 2013, which decreased goodwill by $863 and $2,019, respectively, for a total of $2,882</w:t>
      </w:r>
    </w:p>
    <w:p>
      <w:pPr>
        <w:spacing w:after="0" w:line="1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decreases were partially offset by the current year acquisition of PDC, which added $170,180 to the goodwill balance, and the positive effects of currency fluctuations of $999.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decreased by $123,552 during fiscal 2012. The decline in the balance consisted of the following:</w:t>
      </w:r>
    </w:p>
    <w:p>
      <w:pPr>
        <w:spacing w:after="0" w:line="252" w:lineRule="exact"/>
        <w:rPr>
          <w:sz w:val="20"/>
          <w:szCs w:val="20"/>
          <w:color w:val="auto"/>
        </w:rPr>
      </w:pPr>
    </w:p>
    <w:p>
      <w:pPr>
        <w:ind w:left="720" w:hanging="307"/>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impairment charge of $115,688 recognized on the Company's former North/South Asia reporting unit</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negative effects of currency fluctuations of $30,213</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divestiture of Etimark within the IDS segment during the fourth quarter of 2012, which decreased goodwill by $495</w:t>
      </w:r>
    </w:p>
    <w:p>
      <w:pPr>
        <w:spacing w:after="0" w:line="23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These decreases were partially offset by the 2012 acquisitions of Grafo, Pervaco, and Runelandhs, which increased goodwill by $1,227, $8,440, and $13,177, respectively. Grafo is reported within the IDS segment, and Pervaco and Runelandhs are reported within the WPS segment.</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Goodwill at July 31, 2013 included $18,225 and $172,280 of accumulated impairment losses within the IDS and WPS segments, respectively, for a total of $190,505.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intangible assets include patents, tradenames, customer relationships, non-compete agreements and other intangible assets with finite lives being amortized in accordance with the accounting guidance for other intangible assets. The net book value of these assets was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July 31, 2013</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11,053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(9,597)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1,456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10,418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(9,058)</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6,891</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261,076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(144,620)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116,456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164,392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(128,805)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35,587</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31,321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31,321</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44,750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44,750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333,681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(176,830)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156,851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244,493</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(160,374)</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84,119</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value of goodwill and other intangible assets in the condensed consolidated balance sheets at July 31, 2013, differs from the value assigned to them in the original allocation of purchase price due to the effect of fluctuations in the exchange rates used to translate the financial statements into the United States Dollar between the date of acquisition and July 31, 2013. The acquisition of PDC increased customer relationships and amortized tradenames by $102,500 and $6,800 respectively.</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conjunction with the goodwill impairment test over the WPS Americas reporting unit, indefinite-lived tradenames associated with the reporting unit were written down to fair value. As a result, indefinite-lived tradenames related to the WPS segment in the amount of $10,568 were impaired during the current period.</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during fiscal 2013, 2012, and 2011 was $17,148, $10,576 and $15,571, respectively. The amortization over each of the next five fiscal years is projected to be $19,321, $18,513, $16,349, $13,197 and $11,881 for the fiscal years ending July 31, 2014, 2015, 2016, 2017 and 2018, respectively.</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Impairment of Long-Lived and Other Intangible Assets — </w:t>
      </w:r>
      <w:r>
        <w:rPr>
          <w:rFonts w:ascii="Arial" w:cs="Arial" w:eastAsia="Arial" w:hAnsi="Arial"/>
          <w:sz w:val="18"/>
          <w:szCs w:val="18"/>
          <w:color w:val="auto"/>
        </w:rPr>
        <w:t>The Company evaluates whether events and circumstances have occurred that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estimated useful life 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impairment is determined to exist, any related impairment loss is calculated based on the fair value of the asset.</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conjunction with the goodwill impairment test over the IDS APAC reporting unit, long-lived assets associated with the reporting unit were analyzed for potential impairment. As a result, long-lived assets in the amount of $3,375 were impaired during the current period.</w:t>
      </w:r>
    </w:p>
    <w:p>
      <w:pPr>
        <w:spacing w:after="0" w:line="11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 </w:t>
      </w:r>
      <w:r>
        <w:rPr>
          <w:rFonts w:ascii="Arial" w:cs="Arial" w:eastAsia="Arial" w:hAnsi="Arial"/>
          <w:sz w:val="16"/>
          <w:szCs w:val="16"/>
          <w:color w:val="auto"/>
        </w:rPr>
        <w:t>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neutralized within a period of one year or less. The estimate of the expected sales realization cycle for a particular catalog is based on the Company’s historical sales experience with identical or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2013 and 2012, $11,255 and $15,011, respectively, of prepaid catalog costs were included in prepaid expenses and other current assets.</w:t>
      </w:r>
    </w:p>
    <w:p>
      <w:pPr>
        <w:spacing w:after="0" w:line="27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Revenue is recognized when it is both earned and realized or realizable. The Company’s policy is to recognize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title to the product and risk of loss have transferred to the customer, persuasive evidence of an arrangement exists, and collection of the sales proceeds is reasonably assured, all of which generally occur upon shipment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sales at the time of the sale. As of July 31, 2013 and 2012, the Company had a reserve of $2,711 and $3,046, respectively.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Sales Incentives — </w:t>
      </w:r>
      <w:r>
        <w:rPr>
          <w:rFonts w:ascii="Arial" w:cs="Arial" w:eastAsia="Arial" w:hAnsi="Arial"/>
          <w:sz w:val="18"/>
          <w:szCs w:val="18"/>
          <w:color w:val="auto"/>
        </w:rPr>
        <w:t>The Company accounts for cash consideration (such as sales incentives and cash discounts) given to its customers or resellers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revenue rather than an operating expense. Sales incentives for the years ended July 31, 2013, 2012, and 2011 were $20,209, $18,474, and $18,826, respectively.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Shipping and Handling Fees and Costs — </w:t>
      </w:r>
      <w:r>
        <w:rPr>
          <w:rFonts w:ascii="Arial" w:cs="Arial" w:eastAsia="Arial" w:hAnsi="Arial"/>
          <w:sz w:val="18"/>
          <w:szCs w:val="18"/>
          <w:color w:val="auto"/>
        </w:rPr>
        <w:t>Amounts billed to a customer in a sale transaction related to shipping and handling fees are reported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the related costs incurred for shipping and handling are reported as cost of goods sold.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except catalog and mailing costs as outlined above. Advertising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2013, 2012, and 2011 was $77,905, $74,830, and $79,236, respectively.</w:t>
      </w:r>
    </w:p>
    <w:p>
      <w:pPr>
        <w:spacing w:after="0" w:line="11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 xml:space="preserve">Stock-Based Compensation — </w:t>
      </w:r>
      <w:r>
        <w:rPr>
          <w:rFonts w:ascii="Arial" w:cs="Arial" w:eastAsia="Arial" w:hAnsi="Arial"/>
          <w:sz w:val="16"/>
          <w:szCs w:val="16"/>
          <w:color w:val="auto"/>
        </w:rPr>
        <w:t>The Company has an incentive stock plan under which the Board of Directors may grant nonqualified stock options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shares of Class A Nonvoting Common Stock or restricted shares of Class A Nonvoting Common Stock to employees and non-employee directors.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 Restricted shares issued under the plan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These shares are referred to herein as “performance-based restricted shares.” Restricted shares granted in fiscal 2013 vest at the end of a three-year period based upon service conditions. These shares are referred to herein as “cliff-vested restricted shares”.</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also grants restricted stock units to certain executives and key management employees that vest upon meeting certain financial performance conditions over a specified vesting period, referred to herein as “performance-based restricted stock units.” The performance-based restricted stock units granted in fiscal 2013 vest over a two-year period period upon meeting both performance and service conditions.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July 31, 2013, the Company has reserved 5,150,975 shares of Class A Nonvoting Common Stock for outstanding stock options and restricted shares and 4,359,943 shares of Class A Nonvoting Common Stock remain for future issuance of stock options and restricted shares under the active plans. The Company uses treasury stock or will issue new Class A Nonvoting Common Stock to deliver shares under these plans.</w:t>
      </w:r>
    </w:p>
    <w:p>
      <w:pPr>
        <w:spacing w:after="0" w:line="11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The cost is recognized on a straight-line basis over the vesting period of the award. Total stock-based compensation expense recognized by the Company during the years ended July 31, 2013, 2012, and 2011 was $1,736 ($1,059 net of taxes), $9,735 ($5,939 net of taxes), and $9,830 ($5,996 net of taxes), respectively. The decrease in fiscal 2013 was due to the reversal of stock-based compensation of $7,883. The reversal consisted of $4,232 of stock-based compensation expense on the performance-based restricted shares granted in fiscal 2008 that were unlikely to meet the financial performance conditions, $1,502 of stock compensation expense on performance-based restricted shares for which the original service conditions will not be met, and $2,149 of stock compensation expense on performance-based stock options granted in fiscal 2011 and fiscal 2012 that will not meet the financial performance conditions to vest.</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2013, total unrecognized compensation cost related to share-based compensation awards that are expected to vest was $8,342 pre-tax, net of estimated forfeitures, which the Company expects to recognize over a weighted-average period of 1.7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stock option awards granted during the years ended July 31, 2013, 2012, and 2011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2011</w:t>
            </w: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Performance-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Service-Based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Based</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Service-Based</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Performance-Based</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Service-Based</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Performance-Based</w:t>
            </w:r>
          </w:p>
        </w:tc>
      </w:tr>
      <w:tr>
        <w:trPr>
          <w:trHeight w:val="249"/>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0"/>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Assumptions</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Option Awards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Option Awards</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Option Awards</w:t>
            </w: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Option Awards</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 Awards</w:t>
            </w:r>
          </w:p>
        </w:tc>
        <w:tc>
          <w:tcPr>
            <w:tcW w:w="1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Option Awards</w:t>
            </w:r>
          </w:p>
        </w:tc>
      </w:tr>
      <w:tr>
        <w:trPr>
          <w:trHeight w:val="33"/>
        </w:trPr>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39.39%</w:t>
            </w: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underlying stock at grant date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28.43</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27.05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29.13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28.35</w:t>
            </w: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granted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9.87</w:t>
            </w:r>
          </w:p>
        </w:tc>
      </w:tr>
      <w:tr>
        <w:trPr>
          <w:trHeight w:val="33"/>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granted 5,000 cliff-vested restricted shares in December 2012, with a grant price and fair value of $32.99. The Company granted 10,000 shares of performance-based restricted stock units in September 2012, with a grant price and fair value of $30.21. The Company granted 100,000 shares of performance-based restricted stock in August of 2010, with a grant price and fair value of $28.35, and 210,000 shares in fiscal 2008, with a grant price and fair value of $32.83. As of July 31, 2013, 5,000 cliff-vested restricted shares were outstanding, 10,000 performance-based restricted stock units were outstanding and 221,667 performance-based restricted shares were outstanding.</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granted 828,450 service-based stock options during fiscal 2013, with a weighted average exercise price of $30.58 and a weighted average fair value of $9.05. There were no performance-based stock options granted during fiscal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 xml:space="preserve">Other Comprehensive Income — </w:t>
      </w:r>
      <w:r>
        <w:rPr>
          <w:rFonts w:ascii="Arial" w:cs="Arial" w:eastAsia="Arial" w:hAnsi="Arial"/>
          <w:sz w:val="16"/>
          <w:szCs w:val="16"/>
          <w:color w:val="auto"/>
        </w:rPr>
        <w:t>Other comprehensive income consists of foreign currency translation adjustments, net unrealized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cash flow hedges and net investment hedges, and the unamortized gain on the post-retirement medical plans net of their related tax effects.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changes in the balances of each component of accumulated other comprehensive income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unrealized gain (loss) on cash flow hedges and the unrecognized gain on the postretirement medical plan are presented net of tax:</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Unrealized (loss)</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 (loss) on</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Foreign 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 other</w:t>
            </w: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 on cash flow</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postretirement</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comprehensive</w:t>
            </w:r>
          </w:p>
        </w:tc>
      </w:t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hedges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medical plan</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adjustments</w:t>
            </w: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income</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50,905</w:t>
            </w: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3100" w:type="dxa"/>
            <w:vAlign w:val="bottom"/>
          </w:tcPr>
          <w:p>
            <w:pPr>
              <w:ind w:left="40"/>
              <w:spacing w:after="0"/>
              <w:rPr>
                <w:sz w:val="20"/>
                <w:szCs w:val="20"/>
                <w:color w:val="auto"/>
              </w:rPr>
            </w:pPr>
            <w:r>
              <w:rPr>
                <w:rFonts w:ascii="Arial" w:cs="Arial" w:eastAsia="Arial" w:hAnsi="Arial"/>
                <w:sz w:val="16"/>
                <w:szCs w:val="16"/>
                <w:color w:val="auto"/>
              </w:rPr>
              <w:t>Current-period change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62,993</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113,898</w:t>
            </w: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3100" w:type="dxa"/>
            <w:vAlign w:val="bottom"/>
          </w:tcPr>
          <w:p>
            <w:pPr>
              <w:ind w:left="40"/>
              <w:spacing w:after="0"/>
              <w:rPr>
                <w:sz w:val="20"/>
                <w:szCs w:val="20"/>
                <w:color w:val="auto"/>
              </w:rPr>
            </w:pPr>
            <w:r>
              <w:rPr>
                <w:rFonts w:ascii="Arial" w:cs="Arial" w:eastAsia="Arial" w:hAnsi="Arial"/>
                <w:sz w:val="16"/>
                <w:szCs w:val="16"/>
                <w:color w:val="auto"/>
              </w:rPr>
              <w:t>Current-period change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(54,487)</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59,411</w:t>
            </w: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3100" w:type="dxa"/>
            <w:vAlign w:val="bottom"/>
          </w:tcPr>
          <w:p>
            <w:pPr>
              <w:ind w:left="40"/>
              <w:spacing w:after="0"/>
              <w:rPr>
                <w:sz w:val="20"/>
                <w:szCs w:val="20"/>
                <w:color w:val="auto"/>
              </w:rPr>
            </w:pPr>
            <w:r>
              <w:rPr>
                <w:rFonts w:ascii="Arial" w:cs="Arial" w:eastAsia="Arial" w:hAnsi="Arial"/>
                <w:sz w:val="16"/>
                <w:szCs w:val="16"/>
                <w:color w:val="auto"/>
              </w:rPr>
              <w:t>Current-period change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(3,348)</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decrease in accumulated other comprehensive income for the year ended July 31, 2013 compared to the year ended July 31, 2012 was primarily due to the depreciation of the U.S. dollar against other currencies. The foreign currency translation adjustments line in the table above includes the impact of foreign currency translation, foreign currency translation on intercompany notes, and the settlements of net investment hedges, net of tax.</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income tax benefit (expense) on the components of other comprehensive income: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 comprehensive (loss)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(7,784)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9,324</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Other income tax adjustments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(2,699)</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 comprehensive (loss)</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(11,462)</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in accordance with the applicable accounting guidance, which requires an asset and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Risk Management Activities — </w:t>
      </w:r>
      <w:r>
        <w:rPr>
          <w:rFonts w:ascii="Arial" w:cs="Arial" w:eastAsia="Arial" w:hAnsi="Arial"/>
          <w:sz w:val="18"/>
          <w:szCs w:val="18"/>
          <w:color w:val="auto"/>
        </w:rPr>
        <w:t>The Company is exposed to market risk, such as changes in interest rates and currency exchange rates.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hold or issue derivative financial instruments for trading purposes.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Foreign Currency Hedging — </w:t>
      </w:r>
      <w:r>
        <w:rPr>
          <w:rFonts w:ascii="Arial" w:cs="Arial" w:eastAsia="Arial" w:hAnsi="Arial"/>
          <w:sz w:val="18"/>
          <w:szCs w:val="18"/>
          <w:color w:val="auto"/>
        </w:rPr>
        <w:t>The objective of the Company’s foreign currency exchange risk management is to minimize the impact of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transactions in a currency differing from the respective functional currency.</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 accounting guidance for derivative instruments and hedging activities based upon the intended objective of the contract. The fair value of these instruments at July 31, 2013 and 2012 was a liability of $596 and an asset of $953, respectively. As of July 31, 2013 and 2012, the notional amount of these outstanding forward exchange contracts was $157.5 million and $61.2 million. See Note 12 for more information regarding the Company’s derivative instruments and hedging activities.</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Consolidated Balance Sheets. For these instruments, the effective portion of the gain or loss on the derivative is reported as a component of accumulated other comprehensive income (“AOCI”) and reclassified into earnings in the same period or periods during which the hedged transaction affects earnings. At July 31, 2013 and July 31, 2012, unrealized gains of $118 and $1,348 have been included in AOCI, respectively. All balances are expected to be reclassified from AOCI to earnings during the next fifteen months when the hedged transactions impact earnings.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designated a portion of its foreign exchange contracts as net investment hedges of the Company’s net investments in foreign operations and recorded these contracts at fair value on the Consolidated Balance Sheets. For net investment hedges that meet the effectiveness requirements, the net gains or losses attributable to changes in spot exchange rates are recorded as cumulative translation within accumulated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July 31, 2013 and July 31, 2012, unrealized losses of $150 and $1,041 have been included in AOCI, respectively.</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also utilizes Euro-denominated debt, Euro-denominated intercompany loans, and British Pound-denominated intercompany loans designated as hedge instruments to hedge portions of the Company’s net investments in Euro and British- Pound denominated foreign operations. As of July 31, 2013, the Company had €75.0 million foreign denominated debt and £25.0 million intercompany debt outstanding designated as net investment hedges of the Company’s net investment in its European foreign operations. See Note 12 for more information regarding the Company’s derivative instruments and hedging activities. For net investment hedges that meet the effectiveness requirements, the net gains or losses attributable to changes in spot exchange rates are recorded in cumulative translation within accumulated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July 31, 2013 and July 31, 2012, unrealized losses of $2,715 and unrealized gains of $2,635, have been included in AOCI, respectively.</w:t>
      </w:r>
    </w:p>
    <w:p>
      <w:pPr>
        <w:spacing w:after="0" w:line="12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also enters into foreign exchange contracts to create economic hedges to manage foreign exchange risk exposure. The fair value of these instruments at July 31, 2013 and 2012 was a liability of $603 and an asset of $78, respectively. The Company has not designated these derivative contracts as hedge transactions, and accordingly, the mark-to-market impact of these derivatives is recorded each period in current earnings.</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fiscal years ended July 31, 2013, 2012, and 2011.</w:t>
      </w:r>
    </w:p>
    <w:p>
      <w:pPr>
        <w:spacing w:after="0" w:line="13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New Accounting Standards — </w:t>
      </w:r>
      <w:r>
        <w:rPr>
          <w:rFonts w:ascii="Arial" w:cs="Arial" w:eastAsia="Arial" w:hAnsi="Arial"/>
          <w:sz w:val="18"/>
          <w:szCs w:val="18"/>
          <w:color w:val="auto"/>
        </w:rPr>
        <w:t>In June 2011, the Financial Accounting Standards Board (“FASB”) issued Accounting Standards Update (“ASU”) 2011-05, “Presentation of Comprehensive Income,” which eliminates the option to present components of other comprehensive income (“OCI”) as part of the statement of changes in stockholders’ equity. The amendments in this standard require that all non-owner changes in stockholders’ equity be presented in either a single continuous statement of comprehensive income or in two separate but consecutive statements. Subsequently, in December 2011, the FASB issued ASU 2011-12, “Deferral of the Effective Date for Amendments to the Presentation of Reclassifications of Items Out of Accumulated Other Comprehensive Income,” which indefinitely defers the requirements in ASU 2011-05 to present on the face of the financial statements adjustments for items that are reclassified from OCI to net earnings in the statement where the components of net earnings and the components of OCI are presented. The ASU does not change the items that must be reported in OCI. The Company has provided the required statements of comprehensive income beginning with the first quarter of fiscal 2013.</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January 2013, the FASB issued ASU 2013-01, "Clarifying the Scope of Disclosures about Offsetting Assets and Liabilities," which clarified that the scope of the disclosures under U.S. GAAP is limited to derivatives, including bifurcated embedded derivatives, repurchase agreements and reverse purchase agreements, and securities borrowing and securities lending transactions that are offset either in accordance with ASC 210 or ASC 815. Entities with other types of financial assets and financial liabilities subject to a master netting arrangement or similar agreement are no longer subject to the disclosure requirements in ASU 2011-11. The guidance is effective for annual periods beginning on or after January 1, 2013 and interim periods within those annual periods. Disclosures are to be provided retrospectively for all periods presented. The adoption of this update will not have a material impact on the financial statements of the Company.</w:t>
      </w:r>
    </w:p>
    <w:p>
      <w:pPr>
        <w:spacing w:after="0" w:line="13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February 2013, the FASB issued ASU 2013-02, "Reporting of Amounts Reclassified Out of Accumulated Other Comprehensive Income," which requires entities to disclose additional information for items reclassified out of accumulated other comprehensive income ("AOCI"). For items reclassified out of AOCI and into net earnings in their entirety, entities are required to disclose the effect of the reclassification in each affected line in the statement of earnings. For AOCI reclassification items that are not reclassified in their entirety into net earnings, a cross reference to other required U.S. GAAP disclosures is required. This information may be provided either in the notes or parenthetically on the face of the statement that reports net earnings as long as all the information is disclosed in a single location. However, an entity is prohibited from providing this information parenthetically on the face of the statement that reports net earnings if it has items that are not reclassified in their entirety into net earnings. The guidance is effective for annual and interim reporting periods beginning after December 15, 2012. The adoption of this update will not have a material impact on the financial statements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March 2013, the FASB issued ASU 2013-05, "Parent's Accounting for the Cumulative Translation Adjustment upon Derecognition of Certain Subsidiaries or Groups of Assets within a Foreign Entity or of an Investment in a Foreign Entity," which applies to the release of the cumulative translation adjustment into net earnings when a parent either sells a part or all of its investment in a foreign entity or no longer holds a controlling financial interest in a subsidiary or group of assets that is a business within a foreign entity. The guidance requires that a parent deconsolidate a subsidiary or derecognize a group of assets that is a business if the parent ceases to have a controlling financial interest in that group of assets, and resolves the diversity in practice for the treatment of business combinations achieved in stages involving a foreign entity. The guidance is effective for annual and interim reporting periods beginning after December 15, 2013. The adoption of this update will not have a material impact on the financial statements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completed one business acquisition during each of the fiscal years ended July 31, 2013 and July 31, 2011 and three business acquisitions during the fiscal year ended July 31, 2012. All of these transactions were accounted for using business combination accounting; therefore, the results of the acquired operations are included in the accompanying consolidated financial statements only since their acquisition dates.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December 28, 2012, the Company acquired all of the outstanding shares of Precision Dynamics Corporation ("PDC"), a manufacturer of identification products primarily for the healthcare sector headquartered in Valencia, California. PDC is reported within the Company's ID Solutions segment. Net sales and net income attributable to PDC from the acquisition date through July 31, 2013 were approximately $102,329 and $759, respectively. Financing for this acquisition consisted of $220,000 from the Company's revolving loan agreement with a group of six banks and the balance from cash on hand. As of July 31, 2013, the Company repaid $181,000 of the borrowing on the credit facility with cash on hand. The Company incurred $3,600 in acquisition-related expenses during fiscal 2013. These costs are included in SG&amp;A expenses on the statement of earnings for the year ended July 31, 2013.</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acquired PDC to create an anchor position in the healthcare sector, consistent with the Company's mission to identify and protect premises, products and people. PDC's large customer base, strong channels to market, and broad product offering provide a strong foundation to build upon PDC's market position.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details a preliminary allocation of the PDC purchase price: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ind w:left="40"/>
              <w:spacing w:after="0"/>
              <w:rPr>
                <w:sz w:val="20"/>
                <w:szCs w:val="20"/>
                <w:color w:val="auto"/>
              </w:rPr>
            </w:pPr>
            <w:r>
              <w:rPr>
                <w:rFonts w:ascii="Arial" w:cs="Arial" w:eastAsia="Arial" w:hAnsi="Arial"/>
                <w:sz w:val="16"/>
                <w:szCs w:val="16"/>
                <w:color w:val="auto"/>
              </w:rPr>
              <w:t>Fair values:</w:t>
            </w:r>
          </w:p>
        </w:tc>
        <w:tc>
          <w:tcPr>
            <w:tcW w:w="280" w:type="dxa"/>
            <w:vAlign w:val="bottom"/>
          </w:tcPr>
          <w:p>
            <w:pPr>
              <w:spacing w:after="0"/>
              <w:rPr>
                <w:sz w:val="18"/>
                <w:szCs w:val="18"/>
                <w:color w:val="auto"/>
              </w:rPr>
            </w:pP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July 31, 2013</w:t>
            </w: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Accounts receivable — net</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21,178</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16,788</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3,915</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170,180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intangible assets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109,300</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18,015</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Wages and amounts withheld from employees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(4,234)</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Taxes, other than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Accrued income taxes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(5,045)</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(18,845)</w:t>
            </w: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314,061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Less: cash acquired</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(12,904)</w:t>
            </w: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total consideration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The final purchase price allocation is subject to completion of final valuation of the assets acquired and liabilities assumed. The final valuation is expected to be completed as soon as is practicable, but no later than 12 months after the closing date of the acquisition. The intangible assets consist of a customer relationship of $102,500, which is being amortized over a life of 10 years, and a definite-lived trademark of $6,800, which is being amortized over a life of 3 years. Of the total $170,180 in acquired goodwill, $57,374 is tax deductible and $51,672 of the total $109,300 in intangibles is tax deductible.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 reflects the unaudited pro forma operating results of the Company for fiscal years 2013 and 2012, which give effect to the acquisition of PDC as if it had occurred at the beginning of fiscal 2012, after giving effect to certain adjustments, including amortization of intangible assets, interest expense on acquisition debt, and income tax effects. The pro forma results have been prepared for comparative purposes only and are not necessarily indicative of the results of operations which may occur in the future or that would have occurred had the acquisitions been effected on the date indicated, nor are they necessarily indicative of the Company's future results of operations.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6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as reported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1,152,109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1,068,688</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Net sales, pro forma</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1,220,534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1,238,554</w:t>
            </w:r>
          </w:p>
        </w:tc>
      </w:tr>
      <w:tr>
        <w:trPr>
          <w:trHeight w:val="33"/>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 as reported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102,471</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pro forma</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(136,517)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102,993</w:t>
            </w:r>
          </w:p>
        </w:tc>
      </w:tr>
      <w:tr>
        <w:trPr>
          <w:trHeight w:val="33"/>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Basic (loss) earnings from continuing operations per Class A Common Share, as reported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w w:val="98"/>
              </w:rPr>
              <w:t>Basic (loss) earnings from continuing operations per Class A Common Share, pro forma</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33"/>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Diluted (loss) earnings from continuing operations per Class A Common Share, as reported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w w:val="96"/>
              </w:rPr>
              <w:t>Diluted (loss) earnings from continuing operations per Class A Common Share, pro forma</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w:t>
            </w:r>
          </w:p>
        </w:tc>
      </w:tr>
    </w:tbl>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 forma results for fiscal 2012, were adjusted to include $3,600 of acquisition-related expenses, $1,530 of nonrecurring expense related to the fair value adjustment to acquisition-date inventory, $1,402 in interest expense on acquisition debt, and $2,526 in income tax expense.</w:t>
      </w:r>
    </w:p>
    <w:p>
      <w:pPr>
        <w:spacing w:after="0" w:line="116"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Pro forma results for fiscal 2013, were adjusted to exclude $3,600 of acquisition-related expenses and $1,530 of nonrecurring expense related to the fair value adjustment to acquisition-date inventory, and were adjusted to include $529 in interest expense on acquisition debt and $429 in income tax benefit.</w:t>
      </w:r>
    </w:p>
    <w:p>
      <w:pPr>
        <w:spacing w:after="0" w:line="70" w:lineRule="exact"/>
        <w:rPr>
          <w:sz w:val="20"/>
          <w:szCs w:val="20"/>
          <w:color w:val="auto"/>
        </w:rPr>
      </w:pPr>
    </w:p>
    <w:p>
      <w:pPr>
        <w:ind w:right="220" w:firstLine="405"/>
        <w:spacing w:after="0" w:line="391" w:lineRule="auto"/>
        <w:rPr>
          <w:sz w:val="20"/>
          <w:szCs w:val="20"/>
          <w:color w:val="auto"/>
        </w:rPr>
      </w:pPr>
      <w:r>
        <w:rPr>
          <w:rFonts w:ascii="Arial" w:cs="Arial" w:eastAsia="Arial" w:hAnsi="Arial"/>
          <w:sz w:val="18"/>
          <w:szCs w:val="18"/>
          <w:color w:val="auto"/>
        </w:rPr>
        <w:t xml:space="preserve">Pro forma results for fiscal years 2013 and 2012 include $5,215 and $12,517 of pre-tax amortization expense related to intangible assets, respectively. </w:t>
      </w:r>
      <w:r>
        <w:rPr>
          <w:rFonts w:ascii="Arial" w:cs="Arial" w:eastAsia="Arial" w:hAnsi="Arial"/>
          <w:sz w:val="18"/>
          <w:szCs w:val="18"/>
          <w:b w:val="1"/>
          <w:bCs w:val="1"/>
          <w:i w:val="1"/>
          <w:iCs w:val="1"/>
          <w:color w:val="auto"/>
        </w:rPr>
        <w:t>Fiscal 2012</w:t>
      </w:r>
    </w:p>
    <w:p>
      <w:pPr>
        <w:spacing w:after="0" w:line="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In March 2012, the Company acquired Grafo Wiremarkers Africa (Proprietary) Limited (“Grafo”), based in Johannesburg, South Africa for $3,039. Grafo offers a comprehensive range of wire identification products and is the sole distributor in Africa of locally developed Dartag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ABS cablemarkers, and stainless steel ties and tags. Grafo has annual sales of approximately $3,000 and is included in the Company’s IDS segment. The purchase price allocation resulted in $1,227 assigned to goodwill and $961 assigned to customer relationships. The amount assigned to the customer relationships is being amortized over seven years. The Company expects the acquisition to provide a solid base in South Africa where it can further expand its business with the established distributors and customers throughout South Africa and the Southern African Development Community (SADC) countries.</w:t>
      </w:r>
    </w:p>
    <w:p>
      <w:pPr>
        <w:spacing w:after="0" w:line="13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May 2012, the Company acquired Runelandhs Försäljnings AB (“Runelandhs”), based in Kalmar, Sweden for $22,499, net of cash received. Runelandhs is a direct marketer of industrial and office equipment with annual sales of approximately $19,000. Its products include lifting, transporting, and warehouse equipment; workbenches and material handling supplies; products for environmental protection; and entrance, reception, and office furnishings. Runelandhs is included in the Company’s WPS segment. The final purchase price allocation resulted in $13,177 assigned to goodwill, $5,340 assigned to the tradename, $5,474 assigned to customer relationships, and $95 assigned to non-compete agreements. The amount assigned to the trademark has an indefinite life. The amounts assigned to the customer relationships and non-compete agreements are being amortized over seven and five years, respectively. The Company expects the acquisition to expand its direct marketing presence in Scandinavia.</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2012, the Company acquired Pervaco AS (“Pervaco”), based in Kjeller, Norway for $12,111, net of cash received. Pervaco is a direct marketer of facility identification products with annual sales of approximately $6,000. Pervaco is included in the Company’s WPS segment. The purchase price allocation resulted in $8,440 assigned to goodwill, $1,538 assigned to the tradename, $2,468 assigned to customer relationships, and $91 assigned to non-compete agreements. The amount assigned to the tradename has an indefinite life. The amounts assigned to the customer relationships and non-compete agreements are being amortized over five and three years, respectively. The Company also expects the acquisition to expand its direct marketing presence in Scandinavia.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60" w:type="dxa"/>
            <w:vAlign w:val="bottom"/>
          </w:tcPr>
          <w:p>
            <w:pPr>
              <w:ind w:left="40"/>
              <w:spacing w:after="0"/>
              <w:rPr>
                <w:sz w:val="20"/>
                <w:szCs w:val="20"/>
                <w:color w:val="auto"/>
              </w:rPr>
            </w:pPr>
            <w:r>
              <w:rPr>
                <w:rFonts w:ascii="Arial" w:cs="Arial" w:eastAsia="Arial" w:hAnsi="Arial"/>
                <w:sz w:val="16"/>
                <w:szCs w:val="16"/>
                <w:color w:val="auto"/>
              </w:rPr>
              <w:t>Current assets net of cash</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5,082</w:t>
            </w:r>
          </w:p>
        </w:tc>
      </w:tr>
      <w:tr>
        <w:trPr>
          <w:trHeight w:val="33"/>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&amp; equipment</w:t>
            </w:r>
          </w:p>
        </w:tc>
        <w:tc>
          <w:tcPr>
            <w:tcW w:w="8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Goodwill</w:t>
            </w:r>
          </w:p>
        </w:tc>
        <w:tc>
          <w:tcPr>
            <w:tcW w:w="8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22,844</w:t>
            </w:r>
          </w:p>
        </w:tc>
      </w:tr>
      <w:tr>
        <w:trPr>
          <w:trHeight w:val="33"/>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8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8,903</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Tradenames</w:t>
            </w:r>
          </w:p>
        </w:tc>
        <w:tc>
          <w:tcPr>
            <w:tcW w:w="8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6,878</w:t>
            </w:r>
          </w:p>
        </w:tc>
      </w:tr>
      <w:tr>
        <w:trPr>
          <w:trHeight w:val="33"/>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8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474"/>
        </w:trPr>
        <w:tc>
          <w:tcPr>
            <w:tcW w:w="9360" w:type="dxa"/>
            <w:vAlign w:val="bottom"/>
          </w:tcPr>
          <w:p>
            <w:pPr>
              <w:ind w:left="40"/>
              <w:spacing w:after="0"/>
              <w:rPr>
                <w:sz w:val="20"/>
                <w:szCs w:val="20"/>
                <w:color w:val="auto"/>
              </w:rPr>
            </w:pPr>
            <w:r>
              <w:rPr>
                <w:rFonts w:ascii="Arial" w:cs="Arial" w:eastAsia="Arial" w:hAnsi="Arial"/>
                <w:sz w:val="16"/>
                <w:szCs w:val="16"/>
                <w:color w:val="auto"/>
              </w:rPr>
              <w:t>Total assets acquired net of cash</w:t>
            </w: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46,636</w:t>
            </w:r>
          </w:p>
        </w:tc>
      </w:tr>
      <w:tr>
        <w:trPr>
          <w:trHeight w:val="33"/>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assumed</w:t>
            </w:r>
          </w:p>
        </w:tc>
        <w:tc>
          <w:tcPr>
            <w:tcW w:w="8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7,555</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Debt assumed</w:t>
            </w:r>
          </w:p>
        </w:tc>
        <w:tc>
          <w:tcPr>
            <w:tcW w:w="8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1,432</w:t>
            </w:r>
          </w:p>
        </w:tc>
      </w:tr>
      <w:tr>
        <w:trPr>
          <w:trHeight w:val="33"/>
        </w:trPr>
        <w:tc>
          <w:tcPr>
            <w:tcW w:w="93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9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2"/>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acquired</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results of the operations of the acquired business have been included since the date of acquisition in the accompanying consolidated financial statements. Pro forma information related to the acquisitions during the twelve months ended July 31, 2012, is not included because the impact on the Company’s consolidated results of operations is considered to be immaterial.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November 2010, the Company acquired ID Warehouse, based in New South Wales, Australia for $7,970. ID Warehouse offers security identification and visitor management products including identification card printers, access control cards, wristbands, tamper-evident security seals and identification accessories. The business is included in the Company’s WPS segment. The purchase price allocation resulted in $4,792 assigned to goodwill, $1,846 assigned to customer relationships, and $487 assigned to non-compete agreements. The amounts assigned to the customer relationships and non-compete agreements are being amortized over ten and five years, respectively. The acquisition further strengthened the Company’s position in the people identification business in Australia and within the segment.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60" w:type="dxa"/>
            <w:vAlign w:val="bottom"/>
          </w:tcPr>
          <w:p>
            <w:pPr>
              <w:ind w:left="40"/>
              <w:spacing w:after="0"/>
              <w:rPr>
                <w:sz w:val="20"/>
                <w:szCs w:val="20"/>
                <w:color w:val="auto"/>
              </w:rPr>
            </w:pPr>
            <w:r>
              <w:rPr>
                <w:rFonts w:ascii="Arial" w:cs="Arial" w:eastAsia="Arial" w:hAnsi="Arial"/>
                <w:sz w:val="16"/>
                <w:szCs w:val="16"/>
                <w:color w:val="auto"/>
              </w:rPr>
              <w:t>Current assets net of cash</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1,876</w:t>
            </w:r>
          </w:p>
        </w:tc>
      </w:tr>
      <w:tr>
        <w:trPr>
          <w:trHeight w:val="33"/>
        </w:trPr>
        <w:tc>
          <w:tcPr>
            <w:tcW w:w="9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&amp; equipment</w:t>
            </w:r>
          </w:p>
        </w:tc>
        <w:tc>
          <w:tcPr>
            <w:tcW w:w="8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4,792</w:t>
            </w:r>
          </w:p>
        </w:tc>
      </w:tr>
      <w:tr>
        <w:trPr>
          <w:trHeight w:val="33"/>
        </w:trPr>
        <w:tc>
          <w:tcPr>
            <w:tcW w:w="9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8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Non-compete agreements</w:t>
            </w:r>
          </w:p>
        </w:tc>
        <w:tc>
          <w:tcPr>
            <w:tcW w:w="8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487</w:t>
            </w:r>
          </w:p>
        </w:tc>
      </w:tr>
      <w:tr>
        <w:trPr>
          <w:trHeight w:val="33"/>
        </w:trPr>
        <w:tc>
          <w:tcPr>
            <w:tcW w:w="9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9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acquired net of cash</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9,416</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Liabilities assumed</w:t>
            </w:r>
          </w:p>
        </w:tc>
        <w:tc>
          <w:tcPr>
            <w:tcW w:w="8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1,446</w:t>
            </w:r>
          </w:p>
        </w:tc>
      </w:tr>
      <w:tr>
        <w:trPr>
          <w:trHeight w:val="33"/>
        </w:trPr>
        <w:tc>
          <w:tcPr>
            <w:tcW w:w="9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9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2"/>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acquired</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results of the operations of the acquired business have been included since the date of acquisition in the accompanying consolidated financial statements. Pro forma information related to the acquisition of ID Warehouse was not included because the impact on the Company’s consolidated results of operations is considered to be immaterial.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provides postretirement medical benefits (the “Plan”) for eligible regular full and part-time domestic employees (including spouses) as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accounting guidance on defined benefit pension and other postretirement plans requires full recognition of the funded status of defined benefit and other postretirement plans on the balance sheet as an asset or a liability. The guidance also requires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unrecognized prior service costs/credits, gains/losses, and transition obligations/assets be recorded in Accumulated Other Comprehensive Income, thus not changing the income statement recognition rules for such plans.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2013 and 2012. The following table provides a reconciliation of the changes in the Plan’s accumulated benefit obligations during the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beginning of year</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Actuarial (gain)/loss</w:t>
            </w:r>
          </w:p>
        </w:tc>
        <w:tc>
          <w:tcPr>
            <w:tcW w:w="1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1,104</w:t>
            </w: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Plan amendments</w:t>
            </w:r>
          </w:p>
        </w:tc>
        <w:tc>
          <w:tcPr>
            <w:tcW w:w="1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end of fiscal year</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Benefit payments were $703 in fiscal 2013 as compared to $2,062 in fiscal 2012. The benefit payments in fiscal 2012 were unusually high as a result of four large claims that were realized within the Company's self-insured retiree population in the year. The plan was amended in fiscal 2012 to exclude dental and vision benefits for retirees over the age of 65, resulting in a reduction of $1,105 in the pension obligation as of July 31, 2012.</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2013 and 2012, amounts recognized as liabilities in the accompanying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liability</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1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12,346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13,509</w:t>
            </w: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2013 and 2012, pre-tax amounts recognized in accumulated other comprehensive income in the accompanying consolidated balance sheets consist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Prior service credit</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1,405</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benefit cost for the Plan for fiscal years 2013, 2012, and 2011 includes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July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37"/>
        </w:trPr>
        <w:tc>
          <w:tcPr>
            <w:tcW w:w="64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6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6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cost included the following components: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Service cost — benefits attributed to service during the period</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666</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Prior service credit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Interest cost on accumulated postretirement benefit obligation</w:t>
            </w:r>
          </w:p>
        </w:tc>
        <w:tc>
          <w:tcPr>
            <w:tcW w:w="110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694</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unrecognized gain</w:t>
            </w:r>
          </w:p>
        </w:tc>
        <w:tc>
          <w:tcPr>
            <w:tcW w:w="1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Periodic postretirement benefit cost</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1,202</w:t>
            </w:r>
          </w:p>
        </w:tc>
      </w:tr>
      <w:tr>
        <w:trPr>
          <w:trHeight w:val="33"/>
        </w:trPr>
        <w:tc>
          <w:tcPr>
            <w:tcW w:w="6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estimated actuarial gain and prior service credit that will be amortized from accumulated other comprehensive income into net periodic postretirement benefit cost over the next fiscal year are $244 and $203, respectively.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Weighted average discount rate used in determining accumulated postretirement benefit obligation liability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 used in determining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Assumed health care trend rate used to measure APBO at July 31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to which cost trend rate is assumed to decline (the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year the ultimate trend rate is reached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1500" w:type="dxa"/>
            <w:vAlign w:val="bottom"/>
          </w:tcPr>
          <w:p>
            <w:pPr>
              <w:jc w:val="right"/>
              <w:ind w:right="7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3"/>
                <w:szCs w:val="23"/>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2017</w:t>
            </w:r>
          </w:p>
        </w:tc>
      </w:tr>
    </w:tbl>
    <w:p>
      <w:pPr>
        <w:spacing w:after="0" w:line="181" w:lineRule="exact"/>
        <w:rPr>
          <w:sz w:val="20"/>
          <w:szCs w:val="20"/>
          <w:color w:val="auto"/>
        </w:rPr>
      </w:pPr>
    </w:p>
    <w:p>
      <w:pPr>
        <w:sectPr>
          <w:pgSz w:w="11900" w:h="16838" w:orient="portrait"/>
          <w:cols w:equalWidth="0" w:num="2">
            <w:col w:w="6380" w:space="160"/>
            <w:col w:w="4880"/>
          </w:cols>
          <w:pgMar w:left="240" w:top="122" w:right="239" w:bottom="1440" w:gutter="0" w:footer="0" w:header="0"/>
        </w:sectPr>
      </w:pPr>
    </w:p>
    <w:p>
      <w:pPr>
        <w:jc w:val="both"/>
        <w:ind w:firstLine="432"/>
        <w:spacing w:after="0" w:line="277" w:lineRule="auto"/>
        <w:rPr>
          <w:sz w:val="20"/>
          <w:szCs w:val="20"/>
          <w:color w:val="auto"/>
        </w:rPr>
      </w:pPr>
      <w:r>
        <w:rPr>
          <w:rFonts w:ascii="Arial" w:cs="Arial" w:eastAsia="Arial" w:hAnsi="Arial"/>
          <w:sz w:val="18"/>
          <w:szCs w:val="18"/>
          <w:color w:val="auto"/>
        </w:rPr>
        <w:t>The discount rate utilized in preparing the accumulated postretirement benefit obligation liability was increased to 4.00% in fiscal 2013 from 3.25% in fiscal 2012 as a result of an increase in the bond yield as of the Company’s measurement date of July 31, 2013.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660" w:type="dxa"/>
            <w:vAlign w:val="bottom"/>
          </w:tcPr>
          <w:p>
            <w:pPr>
              <w:jc w:val="center"/>
              <w:ind w:left="339"/>
              <w:spacing w:after="0"/>
              <w:rPr>
                <w:sz w:val="20"/>
                <w:szCs w:val="20"/>
                <w:color w:val="auto"/>
              </w:rPr>
            </w:pPr>
            <w:r>
              <w:rPr>
                <w:rFonts w:ascii="Arial" w:cs="Arial" w:eastAsia="Arial" w:hAnsi="Arial"/>
                <w:sz w:val="16"/>
                <w:szCs w:val="16"/>
                <w:b w:val="1"/>
                <w:bCs w:val="1"/>
                <w:color w:val="auto"/>
                <w:w w:val="91"/>
              </w:rPr>
              <w:t>One-Percentage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One-Percentage</w:t>
            </w:r>
          </w:p>
        </w:tc>
      </w:tr>
      <w:tr>
        <w:trPr>
          <w:trHeight w:val="210"/>
        </w:trPr>
        <w:tc>
          <w:tcPr>
            <w:tcW w:w="7200" w:type="dxa"/>
            <w:vAlign w:val="bottom"/>
          </w:tcPr>
          <w:p>
            <w:pPr>
              <w:spacing w:after="0"/>
              <w:rPr>
                <w:sz w:val="18"/>
                <w:szCs w:val="18"/>
                <w:color w:val="auto"/>
              </w:rPr>
            </w:pPr>
          </w:p>
        </w:tc>
        <w:tc>
          <w:tcPr>
            <w:tcW w:w="1660" w:type="dxa"/>
            <w:vAlign w:val="bottom"/>
          </w:tcPr>
          <w:p>
            <w:pPr>
              <w:jc w:val="center"/>
              <w:ind w:left="339"/>
              <w:spacing w:after="0"/>
              <w:rPr>
                <w:sz w:val="20"/>
                <w:szCs w:val="20"/>
                <w:color w:val="auto"/>
              </w:rPr>
            </w:pPr>
            <w:r>
              <w:rPr>
                <w:rFonts w:ascii="Arial" w:cs="Arial" w:eastAsia="Arial" w:hAnsi="Arial"/>
                <w:sz w:val="16"/>
                <w:szCs w:val="16"/>
                <w:b w:val="1"/>
                <w:bCs w:val="1"/>
                <w:color w:val="auto"/>
                <w:w w:val="91"/>
              </w:rPr>
              <w:t>Point Increase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Point Decrease</w:t>
            </w:r>
          </w:p>
        </w:tc>
      </w:tr>
      <w:tr>
        <w:trPr>
          <w:trHeight w:val="33"/>
        </w:trPr>
        <w:tc>
          <w:tcPr>
            <w:tcW w:w="7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future service and interest cost</w:t>
            </w:r>
          </w:p>
        </w:tc>
        <w:tc>
          <w:tcPr>
            <w:tcW w:w="1660" w:type="dxa"/>
            <w:vAlign w:val="bottom"/>
            <w:tcBorders>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Effect on accumulated postretirement benefit obligation at July 31, 2013</w:t>
            </w:r>
          </w:p>
        </w:tc>
        <w:tc>
          <w:tcPr>
            <w:tcW w:w="1660" w:type="dxa"/>
            <w:vAlign w:val="bottom"/>
          </w:tcPr>
          <w:p>
            <w:pPr>
              <w:spacing w:after="0"/>
              <w:rPr>
                <w:sz w:val="19"/>
                <w:szCs w:val="19"/>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(238)</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48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2015</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740</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2017</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926</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2019 through 2023</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6,733</w:t>
            </w:r>
          </w:p>
        </w:tc>
      </w:tr>
    </w:tbl>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sponsors defined benefit pension plans that are primarily unfunded and provide an income benefit upon termination or retirement for certain of its international employees. As of July 31, 2013 and 2012, the accumulated pension obligation related to these plans was $3,977 and $4,021, respectively. As of July 31, 2013 and 2012, pre-tax amounts recognized in accumulated other comprehensive income in the accompanying balance sheets were $(807) and ($828), respectively. The net periodic benefit cost for these plans was $388, $299, and $301 during the years ended July 31, 2013, 2012 and 2011, respectively.</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retirement and profit-sharing plans covering substantially all full-time domestic employees and certain employees of its foreign subsidiaries. Contributions to the plans are determined annually or quarterly, according to the respective plans, based on earnings of the respective companies and employee contributions. Accrued retirement and profit-sharing contributions of $3,615 and $4,371 were included in other long-term liabilities on the accompanying consolidated balance sheets as of July 31, 2013 and 2012, respectively. The amounts charged to expense for these retirement and profit sharing plans were $10,110, $12,569, and $12,875 during the years ended July 31, 2013, 2012 and 2011, respectively.</w:t>
      </w:r>
    </w:p>
    <w:p>
      <w:pPr>
        <w:spacing w:after="0" w:line="11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2013 and 2012, $15,769 and $13,738, respectively, of deferred compensation was included in other long-term liabilities in the accompanying consolidated balance sheets.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earnings from continuing operations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r>
      <w:tr>
        <w:trPr>
          <w:trHeight w:val="33"/>
        </w:trPr>
        <w:tc>
          <w:tcPr>
            <w:tcW w:w="6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(144,941)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Nations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46,195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94,711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99,882</w:t>
            </w:r>
          </w:p>
        </w:tc>
      </w:tr>
      <w:tr>
        <w:trPr>
          <w:trHeight w:val="33"/>
        </w:trPr>
        <w:tc>
          <w:tcPr>
            <w:tcW w:w="6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127,624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July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6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income tax expense: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9,606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4,937</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19,282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24,492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2,287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399</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20,440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29,828</w:t>
            </w:r>
          </w:p>
        </w:tc>
      </w:tr>
      <w:tr>
        <w:trPr>
          <w:trHeight w:val="204"/>
        </w:trPr>
        <w:tc>
          <w:tcPr>
            <w:tcW w:w="640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22,882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r>
      <w:tr>
        <w:trPr>
          <w:trHeight w:val="217"/>
        </w:trPr>
        <w:tc>
          <w:tcPr>
            <w:tcW w:w="64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3"/>
              </w:rPr>
              <w:t>21,630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(9,679)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(8,161)</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42,070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21,667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2013</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5,037</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Current</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18,875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11,436</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(54,008)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(52,303)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24,565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24,565</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62,199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62,074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(37,142)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(37,142)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(8,843)</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(4,768)</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82,003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(75,335)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6,668</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2012</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1,359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4,046</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Current</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16,614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9,854</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(3,557)</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(39,561)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(37,676)</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2,047</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27,122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27,122</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7,429</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68,148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68,148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(25,847)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(25,847)</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(6,990)</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30,676</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99,700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(59,170)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40,530</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 loss carry-forwards at July 31, 2013 are comprised of:</w:t>
      </w:r>
    </w:p>
    <w:p>
      <w:pPr>
        <w:spacing w:after="0" w:line="23" w:lineRule="exact"/>
        <w:rPr>
          <w:sz w:val="20"/>
          <w:szCs w:val="20"/>
          <w:color w:val="auto"/>
        </w:rPr>
      </w:pPr>
    </w:p>
    <w:p>
      <w:pPr>
        <w:ind w:left="660" w:right="20" w:hanging="247"/>
        <w:spacing w:after="0" w:line="250"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net operating loss carry-forwards of $124,325, of which $99,666 have no expiration date and the remainder of which expire within the next five to eight years.</w:t>
      </w: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net operating loss carry-forwards of $58,827, which expire from 2014 to 2033.</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tax credit carry-forwards of $12,486, which expire from 2021 to 2023.</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research and development credit carry-forwards of $8,531, which expire from 2014 to 2028.</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valuation allowance increased by $11,295 during the fiscal year ended July 31, 2013 mainly due to additional valuation allowances for Wuxi, Shenzhen, and Brazil. The valuation allowance decreased by $1,629 during the fiscal year ended July 31, 2012. If realized or reversed in future periods, substantially all of the valuation allowance would impact the income tax rate.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earnings (loss) from continuing operations before income taxes to the total income tax expense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net of federal tax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Non-creditable withholding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variances arising from foreign subsidiary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tax accruals and reserves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tax credits and section 199 manufacturer’s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tax credit carryforward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2478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06"/>
        </w:trPr>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3"/>
                <w:szCs w:val="23"/>
                <w:color w:val="auto"/>
              </w:rPr>
            </w:pPr>
          </w:p>
        </w:tc>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17.0 %</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800" w:space="720"/>
            <w:col w:w="3900"/>
          </w:cols>
          <w:pgMar w:left="240" w:top="122" w:right="239" w:bottom="1440" w:gutter="0" w:footer="0" w:header="0"/>
          <w:type w:val="continuous"/>
        </w:sectPr>
      </w:pPr>
    </w:p>
    <w:p>
      <w:pPr>
        <w:jc w:val="both"/>
        <w:ind w:firstLine="405"/>
        <w:spacing w:after="0" w:line="264" w:lineRule="auto"/>
        <w:rPr>
          <w:sz w:val="20"/>
          <w:szCs w:val="20"/>
          <w:color w:val="auto"/>
        </w:rPr>
      </w:pPr>
      <w:r>
        <w:rPr>
          <w:rFonts w:ascii="Arial" w:cs="Arial" w:eastAsia="Arial" w:hAnsi="Arial"/>
          <w:sz w:val="18"/>
          <w:szCs w:val="18"/>
          <w:color w:val="auto"/>
        </w:rPr>
        <w:t>The Company is eligible for tax holidays on the earnings of certain subsidiaries. The benefits realized as a result of these tax holidays reduced the consolidated effective tax rate by approximately 0.7%, 0.7%, and 0.9% during the years ended July 31, 2013, 2012, and 2011, respectively. These tax holidays are fully expired as of July 31,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August 1, 2007, the Company adopted guidance regarding uncertain tax positions. The guidance requires application of a “more likely than not” threshold to the recognition and de-recognition of tax positions.</w:t>
      </w:r>
    </w:p>
    <w:p>
      <w:pPr>
        <w:sectPr>
          <w:pgSz w:w="11900" w:h="16838" w:orient="portrait"/>
          <w:cols w:equalWidth="0" w:num="1">
            <w:col w:w="11420"/>
          </w:cols>
          <w:pgMar w:left="240" w:top="122" w:right="239" w:bottom="1440" w:gutter="0" w:footer="0" w:header="0"/>
        </w:sectPr>
      </w:pPr>
    </w:p>
    <w:p>
      <w:pPr>
        <w:spacing w:after="0" w:line="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July 31, 2010</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July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based on tax positions related to the current year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July 31, 2012</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 (1)</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17,668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54610</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5,147</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2,387</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(291)</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(2,803)</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(728)</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9"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22,343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37465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54610</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6,983</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9,460</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(949)</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9"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36,532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54610</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4,015</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2,809</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(5,613)</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(590)</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80" w:space="720"/>
            <w:col w:w="2020"/>
          </w:cols>
          <w:pgMar w:left="240" w:top="122" w:right="239" w:bottom="1440" w:gutter="0" w:footer="0" w:header="0"/>
          <w:type w:val="continuous"/>
        </w:sectPr>
      </w:pPr>
    </w:p>
    <w:p>
      <w:pPr>
        <w:spacing w:after="0" w:line="139" w:lineRule="exact"/>
        <w:rPr>
          <w:sz w:val="20"/>
          <w:szCs w:val="20"/>
          <w:color w:val="auto"/>
        </w:rPr>
      </w:pPr>
    </w:p>
    <w:p>
      <w:pPr>
        <w:ind w:left="40"/>
        <w:spacing w:after="0"/>
        <w:tabs>
          <w:tab w:leader="none" w:pos="9380" w:val="left"/>
          <w:tab w:leader="none" w:pos="10840" w:val="left"/>
        </w:tabs>
        <w:rPr>
          <w:sz w:val="20"/>
          <w:szCs w:val="20"/>
          <w:color w:val="auto"/>
        </w:rPr>
      </w:pPr>
      <w:r>
        <w:rPr>
          <w:rFonts w:ascii="Arial" w:cs="Arial" w:eastAsia="Arial" w:hAnsi="Arial"/>
          <w:sz w:val="16"/>
          <w:szCs w:val="16"/>
          <w:color w:val="auto"/>
        </w:rPr>
        <w:t>Balance at July 31, 2013</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5"/>
          <w:szCs w:val="15"/>
          <w:b w:val="1"/>
          <w:bCs w:val="1"/>
          <w:color w:val="auto"/>
        </w:rPr>
        <w:t>37,575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37465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54610</wp:posOffset>
            </wp:positionV>
            <wp:extent cx="1303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Includes acquisitions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Approximately $32,339 of unrecognized tax benefits, if recognized, would affect the Company's effective income tax rate. The Company has classified $32,759 and $29,765, excluding interest and penalties, of the reserve for uncertain tax positions in Other Liabilities on the Consolidated Balance Sheet as of July 31, 2013 and 2012, respectively. The Company has classified $4,815, excluding interest and penalties, as a reduction of long-term deferred income tax assets on the Consolidated Balance Sheet as of July 31, 2013.</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within the provision for income taxes on the consolidated statements of income.</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During the years ended July 31, 2013, 2012, and 2011, the Company recognized a $200, and $539 increase in interest expense, and a $990 decrease in interest expense, as well as $313, $855 and $500 of penalties, respectively, related to the reserve for uncertain tax positions. These amounts are net of reversals due to reductions for tax positions of prior years, statute of limitations, and settlements. At July 31, 2013 and 2012, the Company had $2,265 and $1,986, respectively, accrued for interest on unrecognized tax benefits. Penalties are accrued if the tax position does not meet the minimum statutory threshold to avoid the payment of a penalty.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July 31, 2013 and 2012, the Company had $2,689 and $2,840, respectively, accrued for penalties on unrecognized tax benefits.</w:t>
      </w:r>
    </w:p>
    <w:p>
      <w:pPr>
        <w:sectPr>
          <w:pgSz w:w="11900" w:h="16838" w:orient="portrait"/>
          <w:cols w:equalWidth="0" w:num="1">
            <w:col w:w="11420"/>
          </w:cols>
          <w:pgMar w:left="240" w:top="122"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estimates that it is reasonably possible that the unrecognized tax benefits may be reduced by $13,934 within twelve months as a result of the resolution of worldwide tax matters, tax audit settlements, amended tax filings, and/or statute expirations. The maximum amount that would be recognized through the consolidated statements of earnings as expense is $3,978.</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July 31, 2013, the Company recognized tax benefits associated with the lapse of statutes of limitations.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20" w:type="dxa"/>
            <w:vAlign w:val="bottom"/>
            <w:gridSpan w:val="2"/>
          </w:tcPr>
          <w:p>
            <w:pPr>
              <w:ind w:left="40"/>
              <w:spacing w:after="0"/>
              <w:rPr>
                <w:sz w:val="20"/>
                <w:szCs w:val="20"/>
                <w:color w:val="auto"/>
              </w:rPr>
            </w:pPr>
            <w:r>
              <w:rPr>
                <w:rFonts w:ascii="Arial" w:cs="Arial" w:eastAsia="Arial" w:hAnsi="Arial"/>
                <w:sz w:val="16"/>
                <w:szCs w:val="16"/>
                <w:b w:val="1"/>
                <w:bCs w:val="1"/>
                <w:color w:val="auto"/>
              </w:rPr>
              <w:t>Jurisdiction</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Open Tax Years</w:t>
            </w:r>
          </w:p>
        </w:tc>
      </w:tr>
      <w:tr>
        <w:trPr>
          <w:trHeight w:val="33"/>
        </w:trPr>
        <w:tc>
          <w:tcPr>
            <w:tcW w:w="8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 — Federal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F’10 — F’13</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F’12 — F’13</w:t>
            </w: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F’06 — F’13</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F’10 — F’13</w:t>
            </w:r>
          </w:p>
        </w:tc>
      </w:tr>
    </w:tbl>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These earnings relate to ongoing operations and at July 31, 2013, were approximately $425,743. These earnings have been reinvested in non-U.S. business operations, and the Company does not intend to repatriate these earnings to fund U.S. operations. It is impracticable to determine the income tax liability that would be payable if such earnings were not indefinitely reinvested.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Obligations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February 1, 2012, the Company and certain of its subsidiaries entered into an unsecured $300 million multi-currency revolving loan agreement with a group of six banks that replaced and terminated the Company’s previous credit agreement. Under the new credit agreement, which has a final maturity date of February 1, 2017,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At the Company’s option, and subject to certain conditions, the available amount under the new credit facility may be increased from $300 million up to $450 million.</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December 2012, the Company drew down $220 million from its revolving loan agreement to fund a portion of the purchase price of the acquisition of PDC. Prior to July 31, 2013, the Company repaid $181 million of the borrowing with cash on hand. The Company intends to repay the remainder of the borrowing within 12 months of the current period end, as such, the borrowing is classified as "Notes Payable" within current liabilities on the Consolidated Balance Sheets. During fiscal 2013, the maximum amount outstanding on the revolving loan agreement was $220 million. As of July 31, 2013, the outstanding balance on the credit facility was $39 million and there was $261 million available for future borrowing under the credit facility, which can be increased by $411 million at the Company's option, subject to certain conditions.</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2013, the Company entered into an unsecured $26.2 million multi-currency line of credit in China. The line of credit supports USD-denominated or RMB-denominated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on the facility and the facility is subject to periodic review and repricing. The Company is not required to comply with any financial covenants as part of this agreement. During fiscal 2013, the maximum amount outstanding was $11,613, comprised entirely of USD-denominated borrowings, which was the balance outstanding at July 31, 2013. As of July 31, 2013, there was $14,587 available for future borrowing under this credit facility.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July 31, 2013, borrowings on the revolving loan agreement and China line of credit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2013</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Interest Rate</w:t>
            </w:r>
          </w:p>
        </w:tc>
      </w:tr>
      <w:tr>
        <w:trPr>
          <w:trHeight w:val="33"/>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1.2787%</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USD-denominated borrowing on China line of credit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11,613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1.1201%</w:t>
            </w:r>
          </w:p>
        </w:tc>
      </w:tr>
      <w:tr>
        <w:trPr>
          <w:trHeight w:val="33"/>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50,613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1.2423%</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outstanding letters of credit of $3,570 and $3,762 at July 31, 2013 and July 31, 2012,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w:t>
      </w:r>
    </w:p>
    <w:p>
      <w:pPr>
        <w:spacing w:after="0" w:line="1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2004 through fiscal 2007, the Company completed three private placement note issuances totaling $500 million in ten-year fixed rate notes with varying maturity dates to institutional investors at interest rates varying from 5.14%to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$61.3 million during each of the years ended July 31, 2013.</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July 31, 2013, the Company was in compliance with the financial covenant of the June 2004, February 2006, March 2007, and May 2010 private placement debt agreements, with the ratio of debt to EBITDA, as defined by the agreements, equal to 1.6 to 1.0. Additionally, the Company’s February 2012 revolving loan agreement requires the Company to maintain a ratio of debt to trailing twelve months EBITDA, as defined by the debt agreement, of not more than a 3.25 to 1.0 ratio. The revolving loan agreement requires the Company’s trailing twelve months EBITDA to interest expense of not less than a 3.0 to 1.0 ratio (interest expense coverage). As of July 31, 2013, the Company was in compliance with the financial covenants of the revolving loan agreement, with the ratio of debt to EBITDA, as defined by the agreement, equal to 1.6 to 1.0 and the interest expense coverage ratio equal to 9.2 to 1.0</w:t>
      </w:r>
    </w:p>
    <w:p>
      <w:pPr>
        <w:sectPr>
          <w:pgSz w:w="11900" w:h="16838" w:orient="portrait"/>
          <w:cols w:equalWidth="0" w:num="1">
            <w:col w:w="11420"/>
          </w:cols>
          <w:pgMar w:left="240" w:top="122" w:right="239" w:bottom="1440" w:gutter="0" w:footer="0" w:header="0"/>
        </w:sectPr>
      </w:pP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Long-term obligations consist of the following 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Euro-denominated notes payable in 2017 at a fixed rate of 3.71%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Euro-denominated notes payable in 2020 at a fixed rate of 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USD-denominated notes payable through 2014 at a fixed rate of 5.14%</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USD-denominated notes payable through 2016 at a fixed rate of 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USD-denominated notes payable through 2017 at a fixed rate of 5.33%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720"/>
        <w:spacing w:after="0"/>
        <w:tabs>
          <w:tab w:leader="none" w:pos="264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90" w:lineRule="exact"/>
        <w:rPr>
          <w:sz w:val="20"/>
          <w:szCs w:val="20"/>
          <w:color w:val="auto"/>
        </w:rPr>
      </w:pPr>
    </w:p>
    <w:p>
      <w:pPr>
        <w:spacing w:after="0"/>
        <w:tabs>
          <w:tab w:leader="none" w:pos="1220" w:val="left"/>
          <w:tab w:leader="none" w:pos="1920" w:val="left"/>
          <w:tab w:leader="none" w:pos="3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39,900</w:t>
        <w:tab/>
        <w:t>$</w:t>
      </w:r>
      <w:r>
        <w:rPr>
          <w:sz w:val="20"/>
          <w:szCs w:val="20"/>
          <w:color w:val="auto"/>
        </w:rPr>
        <w:tab/>
      </w:r>
      <w:r>
        <w:rPr>
          <w:rFonts w:ascii="Arial" w:cs="Arial" w:eastAsia="Arial" w:hAnsi="Arial"/>
          <w:sz w:val="14"/>
          <w:szCs w:val="14"/>
          <w:color w:val="auto"/>
        </w:rPr>
        <w:t>36,912.0</w:t>
      </w:r>
    </w:p>
    <w:p>
      <w:pPr>
        <w:spacing w:after="0" w:line="86" w:lineRule="exact"/>
        <w:rPr>
          <w:sz w:val="20"/>
          <w:szCs w:val="20"/>
          <w:color w:val="auto"/>
        </w:rPr>
      </w:pPr>
    </w:p>
    <w:p>
      <w:pPr>
        <w:jc w:val="both"/>
        <w:ind w:left="1240"/>
        <w:spacing w:after="0"/>
        <w:tabs>
          <w:tab w:leader="none" w:pos="3140" w:val="left"/>
        </w:tabs>
        <w:rPr>
          <w:sz w:val="20"/>
          <w:szCs w:val="20"/>
          <w:color w:val="auto"/>
        </w:rPr>
      </w:pPr>
      <w:r>
        <w:rPr>
          <w:rFonts w:ascii="Arial" w:cs="Arial" w:eastAsia="Arial" w:hAnsi="Arial"/>
          <w:sz w:val="16"/>
          <w:szCs w:val="16"/>
          <w:color w:val="auto"/>
        </w:rPr>
        <w:t>59,850</w:t>
      </w:r>
      <w:r>
        <w:rPr>
          <w:sz w:val="20"/>
          <w:szCs w:val="20"/>
          <w:color w:val="auto"/>
        </w:rPr>
        <w:tab/>
      </w:r>
      <w:r>
        <w:rPr>
          <w:rFonts w:ascii="Arial" w:cs="Arial" w:eastAsia="Arial" w:hAnsi="Arial"/>
          <w:sz w:val="16"/>
          <w:szCs w:val="16"/>
          <w:color w:val="auto"/>
        </w:rPr>
        <w:t>55,368</w:t>
      </w:r>
    </w:p>
    <w:p>
      <w:pPr>
        <w:spacing w:after="0" w:line="86" w:lineRule="exact"/>
        <w:rPr>
          <w:sz w:val="20"/>
          <w:szCs w:val="20"/>
          <w:color w:val="auto"/>
        </w:rPr>
      </w:pPr>
    </w:p>
    <w:p>
      <w:pPr>
        <w:jc w:val="both"/>
        <w:ind w:left="1240"/>
        <w:spacing w:after="0"/>
        <w:tabs>
          <w:tab w:leader="none" w:pos="3140" w:val="left"/>
        </w:tabs>
        <w:rPr>
          <w:sz w:val="20"/>
          <w:szCs w:val="20"/>
          <w:color w:val="auto"/>
        </w:rPr>
      </w:pPr>
      <w:r>
        <w:rPr>
          <w:rFonts w:ascii="Arial" w:cs="Arial" w:eastAsia="Arial" w:hAnsi="Arial"/>
          <w:sz w:val="16"/>
          <w:szCs w:val="16"/>
          <w:color w:val="auto"/>
        </w:rPr>
        <w:t>18,750</w:t>
      </w:r>
      <w:r>
        <w:rPr>
          <w:sz w:val="20"/>
          <w:szCs w:val="20"/>
          <w:color w:val="auto"/>
        </w:rPr>
        <w:tab/>
      </w:r>
      <w:r>
        <w:rPr>
          <w:rFonts w:ascii="Arial" w:cs="Arial" w:eastAsia="Arial" w:hAnsi="Arial"/>
          <w:sz w:val="16"/>
          <w:szCs w:val="16"/>
          <w:color w:val="auto"/>
        </w:rPr>
        <w:t>37,500</w:t>
      </w:r>
    </w:p>
    <w:p>
      <w:pPr>
        <w:spacing w:after="0" w:line="86" w:lineRule="exact"/>
        <w:rPr>
          <w:sz w:val="20"/>
          <w:szCs w:val="20"/>
          <w:color w:val="auto"/>
        </w:rPr>
      </w:pPr>
    </w:p>
    <w:p>
      <w:pPr>
        <w:jc w:val="both"/>
        <w:ind w:left="1240"/>
        <w:spacing w:after="0"/>
        <w:tabs>
          <w:tab w:leader="none" w:pos="3060" w:val="left"/>
        </w:tabs>
        <w:rPr>
          <w:sz w:val="20"/>
          <w:szCs w:val="20"/>
          <w:color w:val="auto"/>
        </w:rPr>
      </w:pPr>
      <w:r>
        <w:rPr>
          <w:rFonts w:ascii="Arial" w:cs="Arial" w:eastAsia="Arial" w:hAnsi="Arial"/>
          <w:sz w:val="16"/>
          <w:szCs w:val="16"/>
          <w:color w:val="auto"/>
        </w:rPr>
        <w:t>78,428</w:t>
      </w:r>
      <w:r>
        <w:rPr>
          <w:sz w:val="20"/>
          <w:szCs w:val="20"/>
          <w:color w:val="auto"/>
        </w:rPr>
        <w:tab/>
      </w:r>
      <w:r>
        <w:rPr>
          <w:rFonts w:ascii="Arial" w:cs="Arial" w:eastAsia="Arial" w:hAnsi="Arial"/>
          <w:sz w:val="16"/>
          <w:szCs w:val="16"/>
          <w:color w:val="auto"/>
        </w:rPr>
        <w:t>104,571</w:t>
      </w:r>
    </w:p>
    <w:p>
      <w:pPr>
        <w:spacing w:after="0" w:line="86" w:lineRule="exact"/>
        <w:rPr>
          <w:sz w:val="20"/>
          <w:szCs w:val="20"/>
          <w:color w:val="auto"/>
        </w:rPr>
      </w:pPr>
    </w:p>
    <w:p>
      <w:pPr>
        <w:jc w:val="both"/>
        <w:ind w:left="1240"/>
        <w:spacing w:after="0"/>
        <w:tabs>
          <w:tab w:leader="none" w:pos="3140" w:val="left"/>
        </w:tabs>
        <w:rPr>
          <w:sz w:val="20"/>
          <w:szCs w:val="20"/>
          <w:color w:val="auto"/>
        </w:rPr>
      </w:pPr>
      <w:r>
        <w:rPr>
          <w:rFonts w:ascii="Arial" w:cs="Arial" w:eastAsia="Arial" w:hAnsi="Arial"/>
          <w:sz w:val="16"/>
          <w:szCs w:val="16"/>
          <w:color w:val="auto"/>
        </w:rPr>
        <w:t>65,486</w:t>
      </w:r>
      <w:r>
        <w:rPr>
          <w:sz w:val="20"/>
          <w:szCs w:val="20"/>
          <w:color w:val="auto"/>
        </w:rPr>
        <w:tab/>
      </w:r>
      <w:r>
        <w:rPr>
          <w:rFonts w:ascii="Arial" w:cs="Arial" w:eastAsia="Arial" w:hAnsi="Arial"/>
          <w:sz w:val="16"/>
          <w:szCs w:val="16"/>
          <w:color w:val="auto"/>
        </w:rPr>
        <w:t>81,857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34925</wp:posOffset>
            </wp:positionV>
            <wp:extent cx="23837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6980" w:space="720"/>
            <w:col w:w="37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660" w:type="dxa"/>
            <w:vAlign w:val="bottom"/>
          </w:tcPr>
          <w:p>
            <w:pPr>
              <w:spacing w:after="0"/>
              <w:rPr>
                <w:sz w:val="17"/>
                <w:szCs w:val="17"/>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262,414</w:t>
            </w:r>
          </w:p>
        </w:tc>
        <w:tc>
          <w:tcPr>
            <w:tcW w:w="120" w:type="dxa"/>
            <w:vAlign w:val="bottom"/>
          </w:tcPr>
          <w:p>
            <w:pPr>
              <w:spacing w:after="0"/>
              <w:rPr>
                <w:sz w:val="17"/>
                <w:szCs w:val="17"/>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316,208</w:t>
            </w:r>
          </w:p>
        </w:tc>
      </w:tr>
      <w:tr>
        <w:trPr>
          <w:trHeight w:val="33"/>
        </w:trPr>
        <w:tc>
          <w:tcPr>
            <w:tcW w:w="7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maturities</w:t>
            </w: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660" w:type="dxa"/>
            <w:vAlign w:val="bottom"/>
          </w:tcPr>
          <w:p>
            <w:pPr>
              <w:spacing w:after="0"/>
              <w:rPr>
                <w:sz w:val="17"/>
                <w:szCs w:val="17"/>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201,150</w:t>
            </w:r>
          </w:p>
        </w:tc>
        <w:tc>
          <w:tcPr>
            <w:tcW w:w="120" w:type="dxa"/>
            <w:vAlign w:val="bottom"/>
          </w:tcPr>
          <w:p>
            <w:pPr>
              <w:spacing w:after="0"/>
              <w:rPr>
                <w:sz w:val="17"/>
                <w:szCs w:val="17"/>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254,944</w:t>
            </w:r>
          </w:p>
        </w:tc>
      </w:tr>
      <w:tr>
        <w:trPr>
          <w:trHeight w:val="33"/>
        </w:trPr>
        <w:tc>
          <w:tcPr>
            <w:tcW w:w="7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estimated fair value of the Company’s long-term obligations was $276,132 and $338,668 at July 31, 2013 and July 31, 2012, respectively, as compared to the carrying value of $262,414 and $316,208 at July 31, 2013 and July 31, 2012, respectively. The fair value of the long-term obligations, which were determined using the market approach based upon the interest rates available to the Company for borrowings with similar terms and maturities, were determined to be Level 2 under the fair value hierarchy. Due to the short-term nature and variable interest rate pricing of the Company's revolving debt, it is determined that the carrying value of the debt equals the fair value of the debt.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40"/>
              <w:spacing w:after="0"/>
              <w:rPr>
                <w:sz w:val="20"/>
                <w:szCs w:val="20"/>
                <w:color w:val="auto"/>
              </w:rPr>
            </w:pPr>
            <w:r>
              <w:rPr>
                <w:rFonts w:ascii="Arial" w:cs="Arial" w:eastAsia="Arial" w:hAnsi="Arial"/>
                <w:sz w:val="18"/>
                <w:szCs w:val="18"/>
                <w:color w:val="auto"/>
              </w:rPr>
              <w:t>Maturities on long-term debt are as follows:</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Years Ending July 31,</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2015</w:t>
            </w: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7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2017</w:t>
            </w: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56,272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7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59,850</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262,414</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Stockholder's Investment</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93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spacing w:after="0"/>
              <w:rPr>
                <w:sz w:val="20"/>
                <w:szCs w:val="20"/>
                <w:color w:val="auto"/>
              </w:rPr>
            </w:pPr>
            <w:r>
              <w:rPr>
                <w:rFonts w:ascii="Arial" w:cs="Arial" w:eastAsia="Arial" w:hAnsi="Arial"/>
                <w:sz w:val="18"/>
                <w:szCs w:val="18"/>
                <w:color w:val="auto"/>
              </w:rPr>
              <w:t>Information as to the Company’s capital stock at July 31, 2013 and 2012 is as follows:</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$.01 par value</w:t>
      </w:r>
    </w:p>
    <w:p>
      <w:pPr>
        <w:spacing w:after="0" w:line="100"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Cumulative Preferred Stock: 6% Cumulative</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1972 Series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1979 Series</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Common Stock, $.01 par value: Class A Nonvoting</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Class B Voting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31, 2013</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2012</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(thousands)</w:t>
            </w: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6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1"/>
              </w:rPr>
              <w:t>(thousands)</w:t>
            </w:r>
          </w:p>
        </w:tc>
      </w:tr>
      <w:tr>
        <w:trPr>
          <w:trHeight w:val="210"/>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Authorized</w:t>
            </w:r>
          </w:p>
        </w:tc>
        <w:tc>
          <w:tcPr>
            <w:tcW w:w="148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8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Authorized</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w:t>
            </w:r>
          </w:p>
        </w:tc>
      </w:tr>
      <w:tr>
        <w:trPr>
          <w:trHeight w:val="3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2"/>
          </w:tcPr>
          <w:p>
            <w:pPr>
              <w:jc w:val="right"/>
              <w:ind w:right="39"/>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2"/>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gridSpan w:val="2"/>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gridSpan w:val="2"/>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100,000,000</w:t>
            </w:r>
          </w:p>
        </w:tc>
        <w:tc>
          <w:tcPr>
            <w:tcW w:w="14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460" w:type="dxa"/>
            <w:vAlign w:val="bottom"/>
            <w:gridSpan w:val="2"/>
          </w:tcPr>
          <w:p>
            <w:pPr>
              <w:jc w:val="right"/>
              <w:ind w:right="39"/>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w:t>
            </w: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60" w:type="dxa"/>
            <w:vAlign w:val="bottom"/>
            <w:gridSpan w:val="2"/>
          </w:tcPr>
          <w:p>
            <w:pPr>
              <w:jc w:val="right"/>
              <w:ind w:right="39"/>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-1474470</wp:posOffset>
            </wp:positionV>
            <wp:extent cx="724662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-1002665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-659765</wp:posOffset>
            </wp:positionV>
            <wp:extent cx="724662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-196850</wp:posOffset>
            </wp:positionV>
            <wp:extent cx="72466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720" w:space="160"/>
            <w:col w:w="8540"/>
          </w:cols>
          <w:pgMar w:left="240" w:top="122" w:right="239" w:bottom="1440" w:gutter="0" w:footer="0" w:header="0"/>
          <w:type w:val="continuous"/>
        </w:sectPr>
      </w:pPr>
    </w:p>
    <w:p>
      <w:pPr>
        <w:jc w:val="both"/>
        <w:ind w:firstLine="432"/>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other activity in stockholders’ investment for the years ended July 31, 2013, 2012, and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Unearned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Shares Held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Restricted</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Deferred</w:t>
            </w:r>
          </w:p>
        </w:tc>
        <w:tc>
          <w:tcPr>
            <w:tcW w:w="220" w:type="dxa"/>
            <w:vAlign w:val="bottom"/>
          </w:tcPr>
          <w:p>
            <w:pPr>
              <w:spacing w:after="0"/>
              <w:rPr>
                <w:sz w:val="17"/>
                <w:szCs w:val="17"/>
                <w:color w:val="auto"/>
              </w:rPr>
            </w:pPr>
          </w:p>
        </w:tc>
        <w:tc>
          <w:tcPr>
            <w:tcW w:w="136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in Rabbi</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Compensation</w:t>
            </w:r>
          </w:p>
        </w:tc>
        <w:tc>
          <w:tcPr>
            <w:tcW w:w="220" w:type="dxa"/>
            <w:vAlign w:val="bottom"/>
          </w:tcPr>
          <w:p>
            <w:pPr>
              <w:spacing w:after="0"/>
              <w:rPr>
                <w:sz w:val="18"/>
                <w:szCs w:val="18"/>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Trust, at cost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2010</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(12,304)</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614,988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614,988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28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stock</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Amortization of restricted stock</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2011</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560,078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560,078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28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1,599</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Balances at July 31, 2012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(3,763)</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11,610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(11,151)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Shares at July 31, 2012</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517,105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517,105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Sale of shares at cost</w:t>
            </w: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at cost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Forfeitures of restricted stock</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Balances at July 31, 2013</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11,040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Shares at July 31, 2013</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469,797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469,797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Prior to 2002, all Brady Corporation deferred compensation was invested in the Company’s Class A Nonvoting Common Stock. In 2002, the Company adopted a new deferred compensation plan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At July 31, 2013,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 on May 1, 2006. The balance of shares held in the Rabbi Trust represents the investment in the Company’s Class A Nonvoting Common Stock at the original cost of all the Company’s Class A Nonvoting Common Stock held in deferred compensation plans.</w:t>
      </w:r>
    </w:p>
    <w:p>
      <w:pPr>
        <w:spacing w:after="0" w:line="14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and non-employee directors.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 Restricted shares issued under the plan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These shares are referred to herein as “performance-based restricted shares.” Restricted shares granted in fiscal 2013 vest at the end of a three-year period based upon service conditions. These shares are referred to herein as “cliff-vested restricted shares.”</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also grants restricted stock units to certain executives and key management employees that vest upon meeting certain financial performance conditions over a specified vesting period, referred to herein as “performance-based restricted stock units.” The performance-based restricted stock units granted in fiscal 2013 vest over a two-year period upon meeting both performance and service conditions.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July 31, 2013, the Company has reserved 5,150,975 shares of Class A Nonvoting Common Stock for outstanding stock options and restricted shares and 4,359,943 shares of Class A Nonvoting Common Stock remain for future issuance of stock options and restricted shares under the active plans. The Company uses treasury stock or will issue new Class A Nonvoting Common Stock to deliver shares under these plans.</w:t>
      </w:r>
    </w:p>
    <w:p>
      <w:pPr>
        <w:sectPr>
          <w:pgSz w:w="11900" w:h="16838" w:orient="portrait"/>
          <w:cols w:equalWidth="0" w:num="1">
            <w:col w:w="11420"/>
          </w:cols>
          <w:pgMar w:left="240" w:top="122" w:right="239" w:bottom="1440" w:gutter="0" w:footer="0" w:header="0"/>
        </w:sectPr>
      </w:pPr>
    </w:p>
    <w:p>
      <w:pPr>
        <w:spacing w:after="0" w:line="111" w:lineRule="exact"/>
        <w:rPr>
          <w:sz w:val="20"/>
          <w:szCs w:val="20"/>
          <w:color w:val="auto"/>
        </w:rPr>
      </w:pPr>
    </w:p>
    <w:p>
      <w:pPr>
        <w:jc w:val="right"/>
        <w:ind w:right="2180"/>
        <w:spacing w:after="0"/>
        <w:rPr>
          <w:sz w:val="20"/>
          <w:szCs w:val="20"/>
          <w:color w:val="auto"/>
        </w:rPr>
      </w:pPr>
      <w:r>
        <w:rPr>
          <w:rFonts w:ascii="Arial" w:cs="Arial" w:eastAsia="Arial" w:hAnsi="Arial"/>
          <w:sz w:val="18"/>
          <w:szCs w:val="18"/>
          <w:color w:val="auto"/>
        </w:rPr>
        <w:t>Changes in the options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July 31, 2010</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granted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exercised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cancelled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July 31, 2011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granted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exercised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cancelled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July 31, 2012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granted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exercised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cancelled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July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ind w:right="4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Option Price</w:t>
            </w: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17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8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$13.31–$40.37</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5,108,736</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28.69</w:t>
            </w:r>
          </w:p>
        </w:tc>
      </w:tr>
      <w:tr>
        <w:trPr>
          <w:trHeight w:val="20"/>
        </w:trPr>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1"/>
        </w:trPr>
        <w:tc>
          <w:tcPr>
            <w:tcW w:w="780" w:type="dxa"/>
            <w:vAlign w:val="bottom"/>
          </w:tcPr>
          <w:p>
            <w:pPr>
              <w:jc w:val="right"/>
              <w:spacing w:after="0"/>
              <w:rPr>
                <w:sz w:val="20"/>
                <w:szCs w:val="20"/>
                <w:color w:val="auto"/>
              </w:rPr>
            </w:pPr>
            <w:r>
              <w:rPr>
                <w:rFonts w:ascii="Arial" w:cs="Arial" w:eastAsia="Arial" w:hAnsi="Arial"/>
                <w:sz w:val="16"/>
                <w:szCs w:val="16"/>
                <w:color w:val="auto"/>
              </w:rPr>
              <w:t>28.35</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37.95</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1,365,500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28.86</w:t>
            </w: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14.16</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29.78</w:t>
            </w:r>
          </w:p>
        </w:tc>
        <w:tc>
          <w:tcPr>
            <w:tcW w:w="1720" w:type="dxa"/>
            <w:vAlign w:val="bottom"/>
          </w:tcPr>
          <w:p>
            <w:pPr>
              <w:jc w:val="right"/>
              <w:spacing w:after="0"/>
              <w:rPr>
                <w:sz w:val="20"/>
                <w:szCs w:val="20"/>
                <w:color w:val="auto"/>
              </w:rPr>
            </w:pPr>
            <w:r>
              <w:rPr>
                <w:rFonts w:ascii="Arial" w:cs="Arial" w:eastAsia="Arial" w:hAnsi="Arial"/>
                <w:sz w:val="16"/>
                <w:szCs w:val="16"/>
                <w:color w:val="auto"/>
              </w:rPr>
              <w:t>(417,888)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19.62</w:t>
            </w: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16.39</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38.31</w:t>
            </w:r>
          </w:p>
        </w:tc>
        <w:tc>
          <w:tcPr>
            <w:tcW w:w="1720" w:type="dxa"/>
            <w:vAlign w:val="bottom"/>
          </w:tcPr>
          <w:p>
            <w:pPr>
              <w:jc w:val="right"/>
              <w:spacing w:after="0"/>
              <w:rPr>
                <w:sz w:val="20"/>
                <w:szCs w:val="20"/>
                <w:color w:val="auto"/>
              </w:rPr>
            </w:pPr>
            <w:r>
              <w:rPr>
                <w:rFonts w:ascii="Arial" w:cs="Arial" w:eastAsia="Arial" w:hAnsi="Arial"/>
                <w:sz w:val="16"/>
                <w:szCs w:val="16"/>
                <w:color w:val="auto"/>
              </w:rPr>
              <w:t>(330,331)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31.37</w:t>
            </w:r>
          </w:p>
        </w:tc>
      </w:tr>
      <w:tr>
        <w:trPr>
          <w:trHeight w:val="33"/>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4"/>
        </w:trPr>
        <w:tc>
          <w:tcPr>
            <w:tcW w:w="18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$13.31–$40.37</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5,726,017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29.24</w:t>
            </w:r>
          </w:p>
        </w:tc>
      </w:tr>
      <w:tr>
        <w:trPr>
          <w:trHeight w:val="20"/>
        </w:trPr>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1"/>
        </w:trPr>
        <w:tc>
          <w:tcPr>
            <w:tcW w:w="780" w:type="dxa"/>
            <w:vAlign w:val="bottom"/>
          </w:tcPr>
          <w:p>
            <w:pPr>
              <w:jc w:val="right"/>
              <w:spacing w:after="0"/>
              <w:rPr>
                <w:sz w:val="20"/>
                <w:szCs w:val="20"/>
                <w:color w:val="auto"/>
              </w:rPr>
            </w:pPr>
            <w:r>
              <w:rPr>
                <w:rFonts w:ascii="Arial" w:cs="Arial" w:eastAsia="Arial" w:hAnsi="Arial"/>
                <w:sz w:val="16"/>
                <w:szCs w:val="16"/>
                <w:color w:val="auto"/>
              </w:rPr>
              <w:t>27.00</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33.54</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1,212,450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27.91</w:t>
            </w: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13.31</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29.78</w:t>
            </w:r>
          </w:p>
        </w:tc>
        <w:tc>
          <w:tcPr>
            <w:tcW w:w="1720" w:type="dxa"/>
            <w:vAlign w:val="bottom"/>
          </w:tcPr>
          <w:p>
            <w:pPr>
              <w:jc w:val="right"/>
              <w:spacing w:after="0"/>
              <w:rPr>
                <w:sz w:val="20"/>
                <w:szCs w:val="20"/>
                <w:color w:val="auto"/>
              </w:rPr>
            </w:pPr>
            <w:r>
              <w:rPr>
                <w:rFonts w:ascii="Arial" w:cs="Arial" w:eastAsia="Arial" w:hAnsi="Arial"/>
                <w:sz w:val="16"/>
                <w:szCs w:val="16"/>
                <w:color w:val="auto"/>
              </w:rPr>
              <w:t>(266,991)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20.21</w:t>
            </w: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16.00</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38.31</w:t>
            </w:r>
          </w:p>
        </w:tc>
        <w:tc>
          <w:tcPr>
            <w:tcW w:w="1720" w:type="dxa"/>
            <w:vAlign w:val="bottom"/>
          </w:tcPr>
          <w:p>
            <w:pPr>
              <w:jc w:val="right"/>
              <w:spacing w:after="0"/>
              <w:rPr>
                <w:sz w:val="20"/>
                <w:szCs w:val="20"/>
                <w:color w:val="auto"/>
              </w:rPr>
            </w:pPr>
            <w:r>
              <w:rPr>
                <w:rFonts w:ascii="Arial" w:cs="Arial" w:eastAsia="Arial" w:hAnsi="Arial"/>
                <w:sz w:val="16"/>
                <w:szCs w:val="16"/>
                <w:color w:val="auto"/>
              </w:rPr>
              <w:t>(417,725)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31.16</w:t>
            </w:r>
          </w:p>
        </w:tc>
      </w:tr>
      <w:tr>
        <w:trPr>
          <w:trHeight w:val="33"/>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4"/>
        </w:trPr>
        <w:tc>
          <w:tcPr>
            <w:tcW w:w="18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$13.31–$40.37</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6,253,751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29.24</w:t>
            </w:r>
          </w:p>
        </w:tc>
      </w:tr>
      <w:tr>
        <w:trPr>
          <w:trHeight w:val="20"/>
        </w:trPr>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1"/>
        </w:trPr>
        <w:tc>
          <w:tcPr>
            <w:tcW w:w="780" w:type="dxa"/>
            <w:vAlign w:val="bottom"/>
          </w:tcPr>
          <w:p>
            <w:pPr>
              <w:jc w:val="right"/>
              <w:spacing w:after="0"/>
              <w:rPr>
                <w:sz w:val="20"/>
                <w:szCs w:val="20"/>
                <w:color w:val="auto"/>
              </w:rPr>
            </w:pPr>
            <w:r>
              <w:rPr>
                <w:rFonts w:ascii="Arial" w:cs="Arial" w:eastAsia="Arial" w:hAnsi="Arial"/>
                <w:sz w:val="16"/>
                <w:szCs w:val="16"/>
                <w:color w:val="auto"/>
              </w:rPr>
              <w:t>30.21</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36.25</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828,450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30.58</w:t>
            </w: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13.31</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31.54</w:t>
            </w:r>
          </w:p>
        </w:tc>
        <w:tc>
          <w:tcPr>
            <w:tcW w:w="1720" w:type="dxa"/>
            <w:vAlign w:val="bottom"/>
          </w:tcPr>
          <w:p>
            <w:pPr>
              <w:jc w:val="right"/>
              <w:spacing w:after="0"/>
              <w:rPr>
                <w:sz w:val="20"/>
                <w:szCs w:val="20"/>
                <w:color w:val="auto"/>
              </w:rPr>
            </w:pPr>
            <w:r>
              <w:rPr>
                <w:rFonts w:ascii="Arial" w:cs="Arial" w:eastAsia="Arial" w:hAnsi="Arial"/>
                <w:sz w:val="16"/>
                <w:szCs w:val="16"/>
                <w:color w:val="auto"/>
              </w:rPr>
              <w:t>(1,080,089)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22.79</w:t>
            </w: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16.39</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38.31</w:t>
            </w:r>
          </w:p>
        </w:tc>
        <w:tc>
          <w:tcPr>
            <w:tcW w:w="1720" w:type="dxa"/>
            <w:vAlign w:val="bottom"/>
          </w:tcPr>
          <w:p>
            <w:pPr>
              <w:jc w:val="right"/>
              <w:spacing w:after="0"/>
              <w:rPr>
                <w:sz w:val="20"/>
                <w:szCs w:val="20"/>
                <w:color w:val="auto"/>
              </w:rPr>
            </w:pPr>
            <w:r>
              <w:rPr>
                <w:rFonts w:ascii="Arial" w:cs="Arial" w:eastAsia="Arial" w:hAnsi="Arial"/>
                <w:sz w:val="16"/>
                <w:szCs w:val="16"/>
                <w:color w:val="auto"/>
              </w:rPr>
              <w:t>(895,527)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30.02</w:t>
            </w:r>
          </w:p>
        </w:tc>
      </w:tr>
      <w:tr>
        <w:trPr>
          <w:trHeight w:val="33"/>
        </w:trPr>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4"/>
        </w:trPr>
        <w:tc>
          <w:tcPr>
            <w:tcW w:w="780" w:type="dxa"/>
            <w:vAlign w:val="bottom"/>
          </w:tcPr>
          <w:p>
            <w:pPr>
              <w:jc w:val="right"/>
              <w:spacing w:after="0"/>
              <w:rPr>
                <w:sz w:val="20"/>
                <w:szCs w:val="20"/>
                <w:color w:val="auto"/>
              </w:rPr>
            </w:pPr>
            <w:r>
              <w:rPr>
                <w:rFonts w:ascii="Arial" w:cs="Arial" w:eastAsia="Arial" w:hAnsi="Arial"/>
                <w:sz w:val="16"/>
                <w:szCs w:val="16"/>
                <w:color w:val="auto"/>
              </w:rPr>
              <w:t>$17.23</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 $40.37</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5,106,585</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30.68</w:t>
            </w:r>
          </w:p>
        </w:tc>
      </w:tr>
      <w:tr>
        <w:trPr>
          <w:trHeight w:val="20"/>
        </w:trPr>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-2306320</wp:posOffset>
            </wp:positionV>
            <wp:extent cx="72466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-1946275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-1602740</wp:posOffset>
            </wp:positionV>
            <wp:extent cx="72466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-1242695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-899795</wp:posOffset>
            </wp:positionV>
            <wp:extent cx="72466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-539750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-196850</wp:posOffset>
            </wp:positionV>
            <wp:extent cx="724662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360" w:space="720"/>
            <w:col w:w="5340"/>
          </w:cols>
          <w:pgMar w:left="240" w:top="122" w:right="239" w:bottom="1440" w:gutter="0" w:footer="0" w:header="0"/>
          <w:type w:val="continuous"/>
        </w:sectPr>
      </w:pPr>
    </w:p>
    <w:p>
      <w:pPr>
        <w:jc w:val="both"/>
        <w:ind w:firstLine="432"/>
        <w:spacing w:after="0" w:line="342" w:lineRule="auto"/>
        <w:rPr>
          <w:sz w:val="20"/>
          <w:szCs w:val="20"/>
          <w:color w:val="auto"/>
        </w:rPr>
      </w:pPr>
      <w:r>
        <w:rPr>
          <w:rFonts w:ascii="Arial" w:cs="Arial" w:eastAsia="Arial" w:hAnsi="Arial"/>
          <w:sz w:val="16"/>
          <w:szCs w:val="16"/>
          <w:color w:val="auto"/>
        </w:rPr>
        <w:t>The total fair value of options vested during the fiscal years ended July 31, 2013, 2012, and 2011 was $11,086, $8,016, and $6,822, respectively. The total intrinsic value of options exercised during the fiscal years ended July 31, 2013, 2012, and 2011 was $10,728, $3,096, and $5,701, respectively.</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were 3,311,043, 3,503,963, and 3,316,815 options exercisable with a weighted average exercise price of $31.46, $29.69, and $29.83 at July 31, 2013, 2012, and 2011, respectively. The cash received from the exercise of options during the fiscal years ended July 31, 2013, 2012, and 2011 was $20,324, $3,864, and $8,193, respectively. The tax benefit on options exercised during the fiscal years ended July 31, 2013, 2012, and 2011 was $1,964, $777, and $682, respectively.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outstanding at July 31,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Options Outstanding and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944"/>
              <w:spacing w:after="0"/>
              <w:rPr>
                <w:sz w:val="20"/>
                <w:szCs w:val="20"/>
                <w:color w:val="auto"/>
              </w:rPr>
            </w:pPr>
            <w:r>
              <w:rPr>
                <w:rFonts w:ascii="Arial" w:cs="Arial" w:eastAsia="Arial" w:hAnsi="Arial"/>
                <w:sz w:val="14"/>
                <w:szCs w:val="14"/>
                <w:b w:val="1"/>
                <w:bCs w:val="1"/>
                <w:color w:val="auto"/>
                <w:w w:val="89"/>
              </w:rPr>
              <w:t>Exercisable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center"/>
              <w:ind w:right="263"/>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July 31,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$17.00 - $27.99</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939,749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24.67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561,740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$28.00 - $37.99</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3,361,336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20"/>
                <w:szCs w:val="20"/>
                <w:color w:val="auto"/>
              </w:rPr>
            </w:pP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1,943,803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$38.00 and up</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805,500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38.26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805,500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44"/>
        </w:trPr>
        <w:tc>
          <w:tcPr>
            <w:tcW w:w="39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5,106,585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30.68</w:t>
            </w: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3,311,043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2013, the aggregate intrinsic value (defined as the amount by which the fair value of the underlying stock exceeds the exercise price of an option) of options outstanding and the options exercisable was $18,900 and $11,577, respectively.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granted 5,000 cliff-vested restricted shares in December 2012, with a grant price and fair value of $32.99. The Company granted 10,000 shares of performance-based restricted stock units in September 2012, with a grant price and fair value of $30.21. The Company granted 100,000 shares of performance-based restricted stock in August of 2010, with a grant price and fair value of $28.35, and 210,000 shares in fiscal 2008, with a grant price and fair value of $32.83. In fiscal 2013, 33,333 shares of performance-based restricted stock vested and 55,000 shares were forfeited. As a result, as of July 31, 2013, 221,667 performance-based restricted shares were outstanding, 5,000 cliff-vested restricted shares were outstanding, and 10,000 performance-based restricted stock units were outstanding.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May 1, 2013, the Company is organized and managed on a global basis within two business platforms: Identification Solutions and Workplace Safety, which are the reportable segments. Prior to May 1, 2013, the Company was organized and managed on a geographic basis within three regions: Americas, EMEA (Europe, the Middle East and Africa), and Asia-Pacific. As such, all segment-related data has been conformed to the new reportable segments.</w:t>
      </w:r>
    </w:p>
    <w:p>
      <w:pPr>
        <w:spacing w:after="0" w:line="5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 Intersegment sales and transfers are recorded at cost plus a standard percentage markup.</w:t>
      </w:r>
    </w:p>
    <w:p>
      <w:pPr>
        <w:spacing w:after="0" w:line="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business platform has a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depreciation and amortization expense and expenditures for property, plant and equipment for discontinued operations are included under “corporate,” which then reconcile to the total company amounts as listed in the statement of cash flows.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segment information for the years ended July 31, 2013, 2012 and 2011: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5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IDS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733,433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633,774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625,396</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433,959</w:t>
            </w:r>
          </w:p>
        </w:tc>
        <w:tc>
          <w:tcPr>
            <w:tcW w:w="0" w:type="dxa"/>
            <w:vAlign w:val="bottom"/>
          </w:tcPr>
          <w:p>
            <w:pPr>
              <w:spacing w:after="0"/>
              <w:rPr>
                <w:sz w:val="1"/>
                <w:szCs w:val="1"/>
                <w:color w:val="auto"/>
              </w:rPr>
            </w:pPr>
          </w:p>
        </w:tc>
      </w:tr>
      <w:tr>
        <w:trPr>
          <w:trHeight w:val="217"/>
        </w:trPr>
        <w:tc>
          <w:tcPr>
            <w:tcW w:w="55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1,152,109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1,068,688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1,059,355</w:t>
            </w:r>
          </w:p>
        </w:tc>
        <w:tc>
          <w:tcPr>
            <w:tcW w:w="0" w:type="dxa"/>
            <w:vAlign w:val="bottom"/>
          </w:tcPr>
          <w:p>
            <w:pPr>
              <w:spacing w:after="0"/>
              <w:rPr>
                <w:sz w:val="1"/>
                <w:szCs w:val="1"/>
                <w:color w:val="auto"/>
              </w:rPr>
            </w:pPr>
          </w:p>
        </w:tc>
      </w:tr>
      <w:tr>
        <w:trPr>
          <w:trHeight w:val="73"/>
        </w:trPr>
        <w:tc>
          <w:tcPr>
            <w:tcW w:w="55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5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Depreciation &amp; Amortization: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IDS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25,920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18,253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19,252</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10,769</w:t>
            </w:r>
          </w:p>
        </w:tc>
        <w:tc>
          <w:tcPr>
            <w:tcW w:w="0" w:type="dxa"/>
            <w:vAlign w:val="bottom"/>
          </w:tcPr>
          <w:p>
            <w:pPr>
              <w:spacing w:after="0"/>
              <w:rPr>
                <w:sz w:val="1"/>
                <w:szCs w:val="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18,806</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48,827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146,124</w:t>
            </w:r>
          </w:p>
        </w:tc>
        <w:tc>
          <w:tcPr>
            <w:tcW w:w="0" w:type="dxa"/>
            <w:vAlign w:val="bottom"/>
          </w:tcPr>
          <w:p>
            <w:pPr>
              <w:spacing w:after="0"/>
              <w:rPr>
                <w:sz w:val="1"/>
                <w:szCs w:val="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WPS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95,241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117,187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118,913</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265,037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782,324</w:t>
            </w:r>
          </w:p>
        </w:tc>
        <w:tc>
          <w:tcPr>
            <w:tcW w:w="0" w:type="dxa"/>
            <w:vAlign w:val="bottom"/>
          </w:tcPr>
          <w:p>
            <w:pPr>
              <w:spacing w:after="0"/>
              <w:rPr>
                <w:sz w:val="1"/>
                <w:szCs w:val="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WPS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239,219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439,255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444,354</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424,409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634,827</w:t>
            </w:r>
          </w:p>
        </w:tc>
        <w:tc>
          <w:tcPr>
            <w:tcW w:w="0" w:type="dxa"/>
            <w:vAlign w:val="bottom"/>
          </w:tcPr>
          <w:p>
            <w:pPr>
              <w:spacing w:after="0"/>
              <w:rPr>
                <w:sz w:val="1"/>
                <w:szCs w:val="1"/>
                <w:color w:val="auto"/>
              </w:rPr>
            </w:pPr>
          </w:p>
        </w:tc>
      </w:tr>
      <w:tr>
        <w:trPr>
          <w:trHeight w:val="217"/>
        </w:trPr>
        <w:tc>
          <w:tcPr>
            <w:tcW w:w="55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1,438,683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1,607,719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1,861,505</w:t>
            </w:r>
          </w:p>
        </w:tc>
        <w:tc>
          <w:tcPr>
            <w:tcW w:w="0" w:type="dxa"/>
            <w:vAlign w:val="bottom"/>
          </w:tcPr>
          <w:p>
            <w:pPr>
              <w:spacing w:after="0"/>
              <w:rPr>
                <w:sz w:val="1"/>
                <w:szCs w:val="1"/>
                <w:color w:val="auto"/>
              </w:rPr>
            </w:pPr>
          </w:p>
        </w:tc>
      </w:tr>
      <w:tr>
        <w:trPr>
          <w:trHeight w:val="73"/>
        </w:trPr>
        <w:tc>
          <w:tcPr>
            <w:tcW w:w="55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5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Expenditures for property, plant &amp; equipment: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IDS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18,186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15,213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13,406</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net earnings (loss) for the years ended July 31, 2013, 2012 and 2011: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Years Ended July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266,560</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265,037</w:t>
            </w: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Unallocated costs: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121,693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112,827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26,046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6,451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204,448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22,124</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before income taxes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(98,746)</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139,424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127,624</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2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total $204,448 impairment charges in fiscal 2013, $182,800 was in the WPS reportable segment and $21,648 was in the IDS reportable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Revenues*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Long-Lived Assets**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7"/>
          </w:tcPr>
          <w:p>
            <w:pPr>
              <w:jc w:val="center"/>
              <w:ind w:left="559"/>
              <w:spacing w:after="0"/>
              <w:rPr>
                <w:sz w:val="20"/>
                <w:szCs w:val="20"/>
                <w:color w:val="auto"/>
              </w:rPr>
            </w:pPr>
            <w:r>
              <w:rPr>
                <w:rFonts w:ascii="Arial" w:cs="Arial" w:eastAsia="Arial" w:hAnsi="Arial"/>
                <w:sz w:val="16"/>
                <w:szCs w:val="16"/>
                <w:b w:val="1"/>
                <w:bCs w:val="1"/>
                <w:color w:val="auto"/>
                <w:w w:val="89"/>
              </w:rPr>
              <w:t>As of Years Ended July 31,</w:t>
            </w: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615,861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522,393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497,030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576,539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479,791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488,571</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541,648</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Eliminations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(62,788)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(61,514)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Consolidated 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1,152,109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1,068,688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1,059,355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896,245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890,925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1,030,219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720" w:hanging="685"/>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Revenues are attributed based on country of origin.</w:t>
      </w:r>
    </w:p>
    <w:p>
      <w:pPr>
        <w:spacing w:after="0" w:line="208" w:lineRule="exact"/>
        <w:rPr>
          <w:sz w:val="20"/>
          <w:szCs w:val="20"/>
          <w:color w:val="auto"/>
        </w:rPr>
      </w:pPr>
    </w:p>
    <w:p>
      <w:pPr>
        <w:ind w:left="720" w:hanging="685"/>
        <w:spacing w:after="0"/>
        <w:tabs>
          <w:tab w:leader="none" w:pos="7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Long-lived assets consist of property, plant, and equipment, other intangible assets and goodwill.</w:t>
      </w:r>
    </w:p>
    <w:p>
      <w:pPr>
        <w:spacing w:after="0" w:line="280" w:lineRule="exact"/>
        <w:rPr>
          <w:rFonts w:ascii="Arial" w:cs="Arial" w:eastAsia="Arial" w:hAnsi="Arial"/>
          <w:sz w:val="16"/>
          <w:szCs w:val="16"/>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Earnings per Common Share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(loss) earnings per common share is computed by dividing net (loss) earnings (after deducting restricted stock dividends and the applicable preferential Class A Common Stock dividends) by the weighted average Common Shares outstanding of 51,329,949 for 2013, 52,453,285 for 2012, 52,639,355 for 2011. The Company utilizes the two-class method to calculate earnings per share.</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reconciling items in the basic and diluted earnings per share calculations for the respective periods presented.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w w:val="94"/>
              </w:rPr>
              <w:t>Years ended July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vMerge w:val="restart"/>
          </w:tcPr>
          <w:p>
            <w:pPr>
              <w:ind w:left="40"/>
              <w:spacing w:after="0"/>
              <w:rPr>
                <w:sz w:val="20"/>
                <w:szCs w:val="20"/>
                <w:color w:val="auto"/>
              </w:rPr>
            </w:pPr>
            <w:r>
              <w:rPr>
                <w:rFonts w:ascii="Arial" w:cs="Arial" w:eastAsia="Arial" w:hAnsi="Arial"/>
                <w:sz w:val="16"/>
                <w:szCs w:val="16"/>
                <w:color w:val="auto"/>
              </w:rPr>
              <w:t>Numerator: (in thousands)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earnings from continuing operations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380"/>
              <w:spacing w:after="0"/>
              <w:rPr>
                <w:sz w:val="20"/>
                <w:szCs w:val="20"/>
                <w:color w:val="auto"/>
              </w:rPr>
            </w:pPr>
            <w:r>
              <w:rPr>
                <w:rFonts w:ascii="Arial" w:cs="Arial" w:eastAsia="Arial" w:hAnsi="Arial"/>
                <w:sz w:val="16"/>
                <w:szCs w:val="16"/>
                <w:color w:val="auto"/>
              </w:rPr>
              <w:t>Less: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Restricted stock dividends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640" w:type="dxa"/>
            <w:vAlign w:val="bottom"/>
          </w:tcPr>
          <w:p>
            <w:pPr>
              <w:ind w:left="380"/>
              <w:spacing w:after="0"/>
              <w:rPr>
                <w:sz w:val="20"/>
                <w:szCs w:val="20"/>
                <w:color w:val="auto"/>
              </w:rPr>
            </w:pPr>
            <w:r>
              <w:rPr>
                <w:rFonts w:ascii="Arial" w:cs="Arial" w:eastAsia="Arial" w:hAnsi="Arial"/>
                <w:sz w:val="16"/>
                <w:szCs w:val="16"/>
                <w:color w:val="auto"/>
                <w:w w:val="96"/>
              </w:rPr>
              <w:t>Numerator for basic and diluted earnings from continuing operations per Class A Nonvoting</w:t>
            </w: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(141,054)</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102,242</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105,734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Common Share</w:t>
            </w:r>
          </w:p>
        </w:tc>
        <w:tc>
          <w:tcPr>
            <w:tcW w:w="34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640" w:type="dxa"/>
            <w:vAlign w:val="bottom"/>
          </w:tcPr>
          <w:p>
            <w:pPr>
              <w:ind w:left="380"/>
              <w:spacing w:after="0"/>
              <w:rPr>
                <w:sz w:val="20"/>
                <w:szCs w:val="20"/>
                <w:color w:val="auto"/>
              </w:rPr>
            </w:pPr>
            <w:r>
              <w:rPr>
                <w:rFonts w:ascii="Arial" w:cs="Arial" w:eastAsia="Arial" w:hAnsi="Arial"/>
                <w:sz w:val="16"/>
                <w:szCs w:val="16"/>
                <w:color w:val="auto"/>
              </w:rPr>
              <w:t>Numerator for basic and diluted earnings from continuing operations per Class B Voting</w:t>
            </w: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(141,856)</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101,419</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104,908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Common Share</w:t>
            </w:r>
          </w:p>
        </w:tc>
        <w:tc>
          <w:tcPr>
            <w:tcW w:w="34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380"/>
              <w:spacing w:after="0"/>
              <w:rPr>
                <w:sz w:val="20"/>
                <w:szCs w:val="20"/>
                <w:color w:val="auto"/>
              </w:rPr>
            </w:pPr>
            <w:r>
              <w:rPr>
                <w:rFonts w:ascii="Arial" w:cs="Arial" w:eastAsia="Arial" w:hAnsi="Arial"/>
                <w:sz w:val="16"/>
                <w:szCs w:val="16"/>
                <w:color w:val="auto"/>
                <w:w w:val="97"/>
              </w:rPr>
              <w:t>Denominator for basic earnings from continuing operations per share for both Class A and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40" w:type="dxa"/>
            <w:vAlign w:val="bottom"/>
          </w:tcPr>
          <w:p>
            <w:pPr>
              <w:ind w:left="380"/>
              <w:spacing w:after="0"/>
              <w:rPr>
                <w:sz w:val="20"/>
                <w:szCs w:val="20"/>
                <w:color w:val="auto"/>
              </w:rPr>
            </w:pPr>
            <w:r>
              <w:rPr>
                <w:rFonts w:ascii="Arial" w:cs="Arial" w:eastAsia="Arial" w:hAnsi="Arial"/>
                <w:sz w:val="16"/>
                <w:szCs w:val="16"/>
                <w:color w:val="auto"/>
              </w:rPr>
              <w:t>Class B</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51,330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52,453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640" w:type="dxa"/>
            <w:vAlign w:val="bottom"/>
          </w:tcPr>
          <w:p>
            <w:pPr>
              <w:ind w:left="380"/>
              <w:spacing w:after="0"/>
              <w:rPr>
                <w:sz w:val="20"/>
                <w:szCs w:val="20"/>
                <w:color w:val="auto"/>
              </w:rPr>
            </w:pPr>
            <w:r>
              <w:rPr>
                <w:rFonts w:ascii="Arial" w:cs="Arial" w:eastAsia="Arial" w:hAnsi="Arial"/>
                <w:sz w:val="16"/>
                <w:szCs w:val="16"/>
                <w:color w:val="auto"/>
                <w:w w:val="96"/>
              </w:rPr>
              <w:t>Denominator for diluted earnings from continuing operations per share for both Class A and</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51,330</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52,821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53,133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Class B</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 per Class A Nonvoting Common Share: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per Class B Voting Common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per Class A Nonvoting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Net (loss) earnings per Class B Voting Common Share: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ASC 260, “Earnings per Share,” dilutive options were not included in the computation of diluted loss per share for fiscal 2013 since to do so would be anti-dilutive.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Options to purchase approximately 3,760,098, 4,592,486 and 3,049,611 shares of Class A Nonvoting Common Stock for fiscal years ended July 31, 2013, 2012, and 2011, respectively, were not included in the computation of diluted net earnings (loss) per share as the impact of the inclusion of the options would have been anti-dilutive.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continuing operations on a straight-line basis was $18,108, $15,196, and $19,118 for the years ended July 31, 2013, 2012, and 2011, respectively. Future minimum lease payments required under such leases in effect at July 31, 2013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Years ending July 31,</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2015</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12,829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8,162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18,170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9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70,997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adopted accounting guidance on fair value measurements on August 1, 2008 as it relates to financial assets and liabilities. The Company adopted the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accounting guidance on fair value measurements establishes a fair market value hierarchy for the pricing inputs used to measure fair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market value are classified in one of the following categories: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Level 1 — Assets or liabilities for which fair value is based on quoted market prices in active markets for identical instruments as of the reporting date.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Level 2 — Assets or liabilities for which fair value is based on valuation models for which pricing inputs were either directly or indirectly observable.</w:t>
      </w:r>
    </w:p>
    <w:p>
      <w:pPr>
        <w:spacing w:after="0" w:line="1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 3 — Assets or liabilities for which fair value is based on valuation models with significant unobservable pricing inputs and which result in the use of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the Company’s financial assets and liabilities that were accounted for at fair value on a recurring basis at July 31, 2013, and July 31, 2012,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33020</wp:posOffset>
            </wp:positionV>
            <wp:extent cx="22123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Quoted Prices in Active</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80" w:type="dxa"/>
            <w:vAlign w:val="bottom"/>
          </w:tcPr>
          <w:p>
            <w:pPr>
              <w:ind w:left="440"/>
              <w:spacing w:after="0"/>
              <w:rPr>
                <w:sz w:val="20"/>
                <w:szCs w:val="20"/>
                <w:color w:val="auto"/>
              </w:rPr>
            </w:pPr>
            <w:r>
              <w:rPr>
                <w:rFonts w:ascii="Arial" w:cs="Arial" w:eastAsia="Arial" w:hAnsi="Arial"/>
                <w:sz w:val="16"/>
                <w:szCs w:val="16"/>
                <w:b w:val="1"/>
                <w:bCs w:val="1"/>
                <w:color w:val="auto"/>
              </w:rPr>
              <w:t>Balance Sheet Classifications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July 31, 2013</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15,269</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9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rPr>
              <w:t>Foreign currency denominated debt</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Long term obligations, less current</w:t>
            </w: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103,635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103,635</w:t>
            </w:r>
          </w:p>
        </w:tc>
        <w:tc>
          <w:tcPr>
            <w:tcW w:w="1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maturities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104,525</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July 31,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13,910</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denominated debt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obligations, less current</w:t>
            </w:r>
          </w:p>
        </w:tc>
        <w:tc>
          <w:tcPr>
            <w:tcW w:w="0" w:type="dxa"/>
            <w:vAlign w:val="bottom"/>
          </w:tcPr>
          <w:p>
            <w:pPr>
              <w:spacing w:after="0"/>
              <w:rPr>
                <w:sz w:val="1"/>
                <w:szCs w:val="1"/>
                <w:color w:val="auto"/>
              </w:rPr>
            </w:pPr>
          </w:p>
        </w:tc>
      </w:tr>
      <w:tr>
        <w:trPr>
          <w:trHeight w:val="239"/>
        </w:trPr>
        <w:tc>
          <w:tcPr>
            <w:tcW w:w="2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99,081</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maturities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99,362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99,362</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22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12, “Derivatives and Hedging Activities” for additional information.</w:t>
      </w:r>
    </w:p>
    <w:p>
      <w:pPr>
        <w:spacing w:after="0" w:line="18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i w:val="1"/>
          <w:iCs w:val="1"/>
          <w:color w:val="auto"/>
        </w:rPr>
        <w:t xml:space="preserve">Foreign currency denominated debt: </w:t>
      </w:r>
      <w:r>
        <w:rPr>
          <w:rFonts w:ascii="Arial" w:cs="Arial" w:eastAsia="Arial" w:hAnsi="Arial"/>
          <w:sz w:val="17"/>
          <w:szCs w:val="17"/>
          <w:color w:val="auto"/>
        </w:rPr>
        <w:t>The Company’s foreign currency denominated debt designated as a net investment hedge was classified as Level 2, as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was based on the present value of the future cash flows using external models that use observable inputs, such as interest rates, yield curves and foreign currency exchange rates. See Note 12, “Derivatives and Hedging Activities” for additional information.</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2013 and July 31, 2012.</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 See Note 5 for information regarding the fair values of the Company's short-term and long-term debt.</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fiscal 2013, the Company implemented a plan to divest its Asia Die-Cut business, including Balkhausen. As such, the assets and liabilities of the Asia Die-Cut disposal group were recorded at approximate fair value less cost to sell and classified as "Assets held for sale" and "Liabilities held for sale." This resulted in a loss on the write-down of the disposal group of $15,658, recorded within discontinued operations for the fiscal year ended July 31, 2013. Fair value was determined utilizing a combination of external market factors and internal projections.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2013, goodwill with a carrying amount of $183,146 in the WPS Americas reporting unit was written down to its estimated implied fair value of $10,866, resulting in a non-cash impairment charge of $172,280. In order to arrive at the implied fair value of goodwill, the Company calculated the fair value of all of the assets and liabilities of the reporting unit as if the reporting unit had been acquired in a business combination. After assigning fair value to the assets and liabilities of the reporting unit, the result was the implied fair value of goodwill of $10,866, which represented a Level 3 asset measured at fair value on a nonrecurring basis subsequent to its original recognition.</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WPS Americas reporting unit had intangible assets consisting of tradenames and customer relationships, which were valued using the income approach as part of the goodwill impairment test described above. The valuation was based upon current sales projections and profitability for each asset group, and the relief from royalty method was applied. As a result of the analysis, indefinite-lived tradenames with a carrying amount of $25,449 were written down to the estimated fair value of $14,881, resulting in a non-cash impairment charge of $10,568 within the WPS segment.</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fiscal 2013, goodwill with a carrying amount of $18,225 in the IDS APAC reporting unit was written off, resulting in a non-cash impairment charge of $18,225. When management compared the fair value to the carrying value of the reporting unit as part of the annual goodwill impairment test (Step One), a qualitative assessment was completed for Step Two because the amount by which the carrying value exceeded fair value was more than the balance of goodwill remaining. The fair value of the reporting unit was determined utilizing a combination of external market factors, internal projections, and other relevant Level 3 measurements. As such, the Company recognized a goodwill impairment charge of the entire remaining goodwill balance of $18,225 during the year ended July 31, 2013. As a result of the goodwill impairment, the Company analyzed fixed assets for potential impairment within the IDS APAC reporting unit by comparing undiscounted future cash flows to the carrying amount of the assets. Undiscounted future cash flows were determined using the Company's internal projections and other relevant Level 3 measurements. As a result, the Company concluded that fixed assets with a carrying amount of $4,367 was written down to their estimated fair value of $1,100 during the year ended July 31, 2013.</w:t>
      </w:r>
    </w:p>
    <w:p>
      <w:pPr>
        <w:spacing w:after="0" w:line="18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2012, goodwill with a carrying amount of $163,702 in the former North/South Asia reporting unit was written down to its estimated implied fair value of $48,014, resulting in a non-cash impairment charge of $115,688. In order to arrive at the implied fair value of goodwill, the Company assigned the fair value to all of the assets and liabilities of the reporting unit as if the reporting unit had been acquired in a business combination. Intangible assets consisted of customer lists, and were valued using the income approach based upon customers in existence at the valuation date. After assigning fair value to the assets and liabilities of the reporting unit, the result was the implied fair value of goodwill of $48,014, which represented a Level 3 asset measured at fair value on a nonrecurring basis subsequent to its original recognition.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fiscal 2011, the Company continued executing its restructuring actions initiated in the prior periods and recorded restructuring charges of $6,451 in continuing operations. The fiscal 2011 restructuring charges consisted of $4,338 of employee separation costs, $1,577 of non-cash fixed asset write-offs, $293 of other facility closure related costs, and $243 of contract termination costs. Of the $6,451 of restructuring charges recorded during the fiscal year ended July 31, 2011, $2,896 was incurred within IDS and $3,555 within WPS. The costs related to these restructuring activities have been recorded on the consolidated statements of earnings as restructuring charges.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2012, the Company took various measures to address its cost structure in response to weaker sales forecasts across the Company. As a result of these actions, the Company recorded restructuring charges in continuing operations of $6,084, which consisted of $4,947 of employee separation costs, $458 of fixed asset write-offs, $653 of other facility closure related costs, and $26 of contract termination costs. Of the $6,084 of restructuring charges recorded during fiscal 2012, $4,254 was incurred within IDS and $1,830 within WPS.</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fiscal 2013, the Company announced a restructuring action to reduce its global workforce by approximately 5-7% in order to address its cost structure. In connection with this restructuring action, the Company incurred restructuring charges of $26,046 in continuing operations. These charges consisted of $18,350 of employee separation costs, $4,125 of fixed asset write-offs and $3,571 of other facility closure related costs. Of the $26,046 of restructuring charges recorded during fiscal 2013, $15,870 was incurred within IDS and $10,176 within WPS. The charges for employee separation costs consisted of severance pay, outplacement services, medical and other benefits. Long-lived asset write-offs include both the net book value of property, plant and equipment written off in conjunction with facility consolidations, as well as indefinite-lived tradenames written off in conjunction with brand consolidations within the WPS segment.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costs related to these restructuring activities were recorded on the consolidated statements of earnings as restructuring charges. The Company expects the majority of the remaining cash payments to be made during the next twelve months. The liability is included in wages and amounts withheld from employees on the consolidated balance sheet.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roll-forward of the Company’s restructuring activity for fiscal 2011, 2012 and 2013 is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Employee</w:t>
            </w:r>
          </w:p>
        </w:tc>
        <w:tc>
          <w:tcPr>
            <w:tcW w:w="24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Asset</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Related</w:t>
            </w: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Write-offs</w:t>
            </w:r>
          </w:p>
        </w:tc>
        <w:tc>
          <w:tcPr>
            <w:tcW w:w="30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liability ending balance, July 31, 2010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charges in continuing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6,451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Non-cash write-offs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(10,938)</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Restructuring liability ending balance, July 31, 2011</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73"/>
        </w:trPr>
        <w:tc>
          <w:tcPr>
            <w:tcW w:w="51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Restructuring charges in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5,997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6,026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write-offs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liability ending balance, July 31, 2012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charges in continuing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18,350</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4,125</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3,571</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26,046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Non-cash write-offs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liability ending balance, July 31, 2013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11,475</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14,206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 As of July 31, 2013 and July 31, 2012, the notional amount of outstanding forward foreign exchange contracts was $157,500 and $61,169, respectively.</w:t>
      </w:r>
    </w:p>
    <w:p>
      <w:pPr>
        <w:spacing w:after="0" w:line="11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hedges a portion of known exposures using forward foreign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2013 and July 31, 2012, unrealized gains of $118 and $1,348 have been included in OCI, respectively. These balances are expected to be reclassified from OCI to earnings during the next two months when the hedged transactions impact earnings. For the years ended July 31, 2013, 2012, and 2011, the Company reclassified gains of $578, losses of $494, and losses of $1,793 from OCI into cost of goods sold,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At July 31, 2013 the Company had no outstanding forward foreign exchange contracts designated as cash flow hedges. At July 31, 2012, the Company had $1,156 of forward foreign exchange contracts designated as cash flow hedges included in “Prepaid expenses and other current assets” on the accompanying consolidated balance sheet. At July 31, 2012, the Company had $210 of forward foreign exchange contracts designated as cash flow hedges included in “Other current liabilities” on the accompanying consolidated balance sheet. At July 31, 2012, the U.S. dollar equivalent of these outstanding forward foreign exchange contracts totaled $39,458, including contracts to sell Euros, Canadian Dollars, Australian Dollars, British Pounds and U.S. Dollars.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During 2013, the Company designated certain British Pound intercompany loans as net investment hedges to hedge portions of its net investment in British foreign operations. At July 31, 2013, the Company had £25.0 million of intercompany loans so designated. As of July 31, 2013 and 2012, the Company recognized in OCI gains of $2,121 and $547, respectively, on its intercompany loans designated as net investment hedges. During 2013, the Company repaid intercompany loans previously designated as net investment hedges of European foreign operations. At July 31, 2013 and 2012, the Company had zero and €4.6 million, respectively, of intercompany loans designated as net investment hedges to hedge portions of its net investment in Euro-denominated foreign operations.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As of July 31, 2013 and 2012, the cumulative balance recognized in accumulated other comprehensive income were losses of $4,835 and gains of $2,635, respectively, on the Euro-denominated debt obligation. The changes recognized in other comprehensive income during the years ended July 31, 2013, 2012 and 2011 were losses of $7,470, gains of $15,705, and losses of $10,238, respectively, on the Euro-denominated debt obligation. The Company’s foreign denominated debt obligations are valued under a market approach using publicized spot prices.</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contracts designated as hedge instruments to hedge portions of its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 operation. At July 31, 2013 and 2012, the U.S dollar equivalent of these outstanding forward foreign exchange contracts totaled $4,500 and $10,650, respectively. As of July 31, 2013 and 2012, the Company recognized in OCI losses of $150 and losses of $1,041, respectively, on its net investment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fiscal year ended July 31, 2013, the Company recognized a loss of $1,594 in “Investment and other income” on the consolidated statements of earnings related to non-designated hedges. For the fiscal year ended July 31, 2012, the Company recognized a gain of $188 in "Investment and other income" on the consolidated statement of earnings related to non-designated hedges.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July 31, 2013</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2012</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2013</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2012</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2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99,750</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99,081</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99,750</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99,362</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implemented a plan to divest its Asia Die-Cut business during the three months ended April 30, 2013, and incorporated its Balkhausen business into that plan during the three months ended July 31, 2013. As a result, the businesses have been classified as assets and liabilities held for sale as of July 31, 2013. The disposal groups have been recorded based on the estimated fair value less costs to sell, which resulted in a write down of $15,658, recorded in the three months ended April 30, 2013. The operating results have been reported as discontinued operations for the comparative periods ended July 31, 2013, 2012, and 2011, including the operating results of the following four previously divested businesses: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gridSpan w:val="2"/>
          </w:tcPr>
          <w:p>
            <w:pPr>
              <w:ind w:left="40"/>
              <w:spacing w:after="0"/>
              <w:rPr>
                <w:sz w:val="20"/>
                <w:szCs w:val="20"/>
                <w:color w:val="auto"/>
              </w:rPr>
            </w:pPr>
            <w:r>
              <w:rPr>
                <w:rFonts w:ascii="Arial" w:cs="Arial" w:eastAsia="Arial" w:hAnsi="Arial"/>
                <w:sz w:val="16"/>
                <w:szCs w:val="16"/>
                <w:b w:val="1"/>
                <w:bCs w:val="1"/>
                <w:color w:val="auto"/>
              </w:rPr>
              <w:t>Divestitures</w:t>
            </w: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Segment</w:t>
            </w:r>
          </w:p>
        </w:tc>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Date Completed</w:t>
            </w:r>
          </w:p>
        </w:tc>
      </w:tr>
      <w:tr>
        <w:trPr>
          <w:trHeight w:val="33"/>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Etimark</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2012</w:t>
            </w: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Precision Converting, LLC (“Brady Medical”)</w:t>
            </w: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Pr>
          <w:p>
            <w:pPr>
              <w:ind w:left="20"/>
              <w:spacing w:after="0"/>
              <w:rPr>
                <w:sz w:val="20"/>
                <w:szCs w:val="20"/>
                <w:color w:val="auto"/>
              </w:rPr>
            </w:pPr>
            <w:r>
              <w:rPr>
                <w:rFonts w:ascii="Arial" w:cs="Arial" w:eastAsia="Arial" w:hAnsi="Arial"/>
                <w:sz w:val="16"/>
                <w:szCs w:val="16"/>
                <w:color w:val="auto"/>
              </w:rPr>
              <w:t>August 2012</w:t>
            </w:r>
          </w:p>
        </w:tc>
      </w:tr>
      <w:tr>
        <w:trPr>
          <w:trHeight w:val="33"/>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Teklynx</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2010</w:t>
            </w: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Varitronics</w:t>
            </w: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Pr>
          <w:p>
            <w:pPr>
              <w:ind w:left="20"/>
              <w:spacing w:after="0"/>
              <w:rPr>
                <w:sz w:val="20"/>
                <w:szCs w:val="20"/>
                <w:color w:val="auto"/>
              </w:rPr>
            </w:pPr>
            <w:r>
              <w:rPr>
                <w:rFonts w:ascii="Arial" w:cs="Arial" w:eastAsia="Arial" w:hAnsi="Arial"/>
                <w:sz w:val="16"/>
                <w:szCs w:val="16"/>
                <w:color w:val="auto"/>
              </w:rPr>
              <w:t>October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operating results of discontinued operations for the fiscal years ending July 31, 2013, 2012 and 2011: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r>
      <w:tr>
        <w:trPr>
          <w:trHeight w:val="33"/>
        </w:trPr>
        <w:tc>
          <w:tcPr>
            <w:tcW w:w="5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289,407</w:t>
            </w:r>
          </w:p>
        </w:tc>
      </w:tr>
      <w:tr>
        <w:trPr>
          <w:trHeight w:val="217"/>
        </w:trPr>
        <w:tc>
          <w:tcPr>
            <w:tcW w:w="5420" w:type="dxa"/>
            <w:vAlign w:val="bottom"/>
          </w:tcPr>
          <w:p>
            <w:pPr>
              <w:ind w:left="40"/>
              <w:spacing w:after="0"/>
              <w:rPr>
                <w:sz w:val="20"/>
                <w:szCs w:val="20"/>
                <w:color w:val="auto"/>
              </w:rPr>
            </w:pPr>
            <w:r>
              <w:rPr>
                <w:rFonts w:ascii="Arial" w:cs="Arial" w:eastAsia="Arial" w:hAnsi="Arial"/>
                <w:sz w:val="16"/>
                <w:szCs w:val="16"/>
                <w:color w:val="auto"/>
              </w:rPr>
              <w:t>Earnings (loss) from operations of discontinued businesses (1)</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(116,673)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16,434</w:t>
            </w:r>
          </w:p>
        </w:tc>
      </w:tr>
      <w:tr>
        <w:trPr>
          <w:trHeight w:val="33"/>
        </w:trPr>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write-down of disposal group (2)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Income tax expense (3)</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(13,739)</w:t>
            </w:r>
          </w:p>
        </w:tc>
      </w:tr>
      <w:tr>
        <w:trPr>
          <w:trHeight w:val="33"/>
        </w:trPr>
        <w:tc>
          <w:tcPr>
            <w:tcW w:w="5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net of income tax</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line="258"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from operations of discontinued businesses in fiscal 2012 was primarily attributable to the $115.7 million goodwill impairment charge recorded during the three months ending January 31, 2012, which was related to the Asia Die-Cut disposal group.</w:t>
      </w:r>
    </w:p>
    <w:p>
      <w:pPr>
        <w:spacing w:after="0" w:line="1"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$15.7 million loss relates to the write-down of the Asia Die-Cut disposal group to its estimated fair value less costs to sell and was recorded in the three months ending April 30, 2013.</w:t>
      </w:r>
    </w:p>
    <w:p>
      <w:pPr>
        <w:ind w:left="420" w:hanging="412"/>
        <w:spacing w:after="0" w:line="261"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Fiscal 2013 income tax expense was significantly impacted by the fiscal 2013 losses in China and Sweden, which had no tax benefit, and the increase in valuation allowance related to Shenzhen, China.</w:t>
      </w:r>
    </w:p>
    <w:p>
      <w:pPr>
        <w:spacing w:after="0" w:line="18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7"/>
          <w:szCs w:val="17"/>
          <w:color w:val="auto"/>
        </w:rPr>
        <w:t>The following table details assets and liabilities of the Asia Die-Cut &amp; Balkhausen disposal groups classified as held for sale as of July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July 31, 2013</w:t>
            </w: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47,499</w:t>
            </w:r>
          </w:p>
        </w:tc>
      </w:tr>
      <w:tr>
        <w:trPr>
          <w:trHeight w:val="224"/>
        </w:trPr>
        <w:tc>
          <w:tcPr>
            <w:tcW w:w="784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20,200</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1,469</w:t>
            </w:r>
          </w:p>
        </w:tc>
      </w:tr>
      <w:tr>
        <w:trPr>
          <w:trHeight w:val="217"/>
        </w:trPr>
        <w:tc>
          <w:tcPr>
            <w:tcW w:w="78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69,168</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7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37,347</w:t>
            </w:r>
          </w:p>
        </w:tc>
      </w:tr>
      <w:tr>
        <w:trPr>
          <w:trHeight w:val="224"/>
        </w:trPr>
        <w:tc>
          <w:tcPr>
            <w:tcW w:w="7840" w:type="dxa"/>
            <w:vAlign w:val="bottom"/>
          </w:tcPr>
          <w:p>
            <w:pPr>
              <w:ind w:left="280"/>
              <w:spacing w:after="0"/>
              <w:rPr>
                <w:sz w:val="20"/>
                <w:szCs w:val="20"/>
                <w:color w:val="auto"/>
              </w:rPr>
            </w:pPr>
            <w:r>
              <w:rPr>
                <w:rFonts w:ascii="Arial" w:cs="Arial" w:eastAsia="Arial" w:hAnsi="Arial"/>
                <w:sz w:val="16"/>
                <w:szCs w:val="16"/>
                <w:color w:val="auto"/>
              </w:rPr>
              <w:t>Other intangible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r>
      <w:tr>
        <w:trPr>
          <w:trHeight w:val="224"/>
        </w:trPr>
        <w:tc>
          <w:tcPr>
            <w:tcW w:w="7840" w:type="dxa"/>
            <w:vAlign w:val="bottom"/>
          </w:tcPr>
          <w:p>
            <w:pPr>
              <w:ind w:left="40"/>
              <w:spacing w:after="0"/>
              <w:rPr>
                <w:sz w:val="20"/>
                <w:szCs w:val="20"/>
                <w:color w:val="auto"/>
              </w:rPr>
            </w:pPr>
            <w:r>
              <w:rPr>
                <w:rFonts w:ascii="Arial" w:cs="Arial" w:eastAsia="Arial" w:hAnsi="Arial"/>
                <w:sz w:val="16"/>
                <w:szCs w:val="16"/>
                <w:color w:val="auto"/>
              </w:rPr>
              <w:t>Property, plant and equipment—net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26,156</w:t>
            </w: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135,522</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7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78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29,769</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Wages and amounts withheld from employees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r>
      <w:tr>
        <w:trPr>
          <w:trHeight w:val="224"/>
        </w:trPr>
        <w:tc>
          <w:tcPr>
            <w:tcW w:w="78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1,671</w:t>
            </w: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34,583</w:t>
            </w:r>
          </w:p>
        </w:tc>
      </w:tr>
      <w:tr>
        <w:trPr>
          <w:trHeight w:val="284"/>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of disposal group</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100,939</w:t>
            </w:r>
          </w:p>
        </w:tc>
      </w:tr>
      <w:tr>
        <w:trPr>
          <w:trHeight w:val="224"/>
        </w:trPr>
        <w:tc>
          <w:tcPr>
            <w:tcW w:w="7840" w:type="dxa"/>
            <w:vAlign w:val="bottom"/>
          </w:tcPr>
          <w:p>
            <w:pPr>
              <w:ind w:left="40"/>
              <w:spacing w:after="0"/>
              <w:rPr>
                <w:sz w:val="20"/>
                <w:szCs w:val="20"/>
                <w:color w:val="auto"/>
              </w:rPr>
            </w:pPr>
            <w:r>
              <w:rPr>
                <w:rFonts w:ascii="Arial" w:cs="Arial" w:eastAsia="Arial" w:hAnsi="Arial"/>
                <w:sz w:val="16"/>
                <w:szCs w:val="16"/>
                <w:color w:val="auto"/>
              </w:rPr>
              <w:t>Less: write-down on disposal group</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(15,658)</w:t>
            </w: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of disposal group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85,281</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accordance with authoritative literature, accumulated other comprehensive income will be reclassified to the statement of earnings upon liquidation or substantial liquidation of the disposal group.</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Unaudited Quarterly Financial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Quarters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First</w:t>
            </w:r>
          </w:p>
        </w:tc>
        <w:tc>
          <w:tcPr>
            <w:tcW w:w="2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Second</w:t>
            </w:r>
          </w:p>
        </w:tc>
        <w:tc>
          <w:tcPr>
            <w:tcW w:w="22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Third</w:t>
            </w: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Fourth</w:t>
            </w: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2013</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4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270,866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271,175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300,971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309,097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1,152,109</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149,524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606,080</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 *</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42,628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20,968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30,115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(179,338)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(85,627)</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(140,816)</w:t>
            </w: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Net earnings (loss) from continuing operations per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255,052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269,089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1,068,688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150,450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141,237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150,430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147,453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589,570</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156,432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Earnings from continuing operations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27,855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26,436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27,311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20,869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102,471</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per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1.94</w:t>
            </w:r>
          </w:p>
        </w:tc>
      </w:tr>
    </w:tbl>
    <w:p>
      <w:pPr>
        <w:spacing w:after="0" w:line="235" w:lineRule="exact"/>
        <w:rPr>
          <w:sz w:val="20"/>
          <w:szCs w:val="20"/>
          <w:color w:val="auto"/>
        </w:rPr>
      </w:pPr>
    </w:p>
    <w:p>
      <w:pPr>
        <w:ind w:left="60" w:right="20" w:firstLine="405"/>
        <w:spacing w:after="0" w:line="277" w:lineRule="auto"/>
        <w:rPr>
          <w:sz w:val="20"/>
          <w:szCs w:val="20"/>
          <w:color w:val="auto"/>
        </w:rPr>
      </w:pPr>
      <w:r>
        <w:rPr>
          <w:rFonts w:ascii="Arial" w:cs="Arial" w:eastAsia="Arial" w:hAnsi="Arial"/>
          <w:sz w:val="18"/>
          <w:szCs w:val="18"/>
          <w:color w:val="auto"/>
        </w:rPr>
        <w:t>The quarterly financial data has been impacted by the reclassification of the Asia Die-Cut &amp; Balkhausen businesses into discontinued operations. Refer to Note 13 within Item 8 for further information on discontinued operations.</w:t>
      </w:r>
    </w:p>
    <w:p>
      <w:pPr>
        <w:spacing w:after="0" w:line="170" w:lineRule="exact"/>
        <w:rPr>
          <w:sz w:val="20"/>
          <w:szCs w:val="20"/>
          <w:color w:val="auto"/>
        </w:rPr>
      </w:pPr>
    </w:p>
    <w:p>
      <w:pPr>
        <w:ind w:left="340" w:right="2320" w:hanging="278"/>
        <w:spacing w:after="0" w:line="279" w:lineRule="auto"/>
        <w:tabs>
          <w:tab w:leader="none" w:pos="2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fiscal 2013, the Company recorded before tax impairment charges of $204,448 in the fourth quarter ended July 31, 2013 and before tax restructuring charges of $1,933, $8,540 and $15,573 in the second, third and fourth quarters of fiscal 2013, respectively, for a total of $26,046. In fiscal 2012, the Company recorded before tax restructuring charges of $1,977 and $4,107 in the third and fourth quarters of fiscal 2012, respectively, for a total of $6,084.</w:t>
      </w:r>
    </w:p>
    <w:p>
      <w:pPr>
        <w:spacing w:after="0" w:line="171" w:lineRule="exact"/>
        <w:rPr>
          <w:sz w:val="20"/>
          <w:szCs w:val="20"/>
          <w:color w:val="auto"/>
        </w:rPr>
      </w:pPr>
    </w:p>
    <w:p>
      <w:pPr>
        <w:ind w:left="460" w:right="2300" w:hanging="398"/>
        <w:spacing w:after="0" w:line="258"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the quarters does not equal the year-to-date total for fiscal 2013 and fiscal 2012 due to the quarterly changes in weighted-average shares outstanding.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and Chief Executive Officer and Executive Vice President and Chief Financial Officer concluded that the Company’s disclosure controls and procedures are effective as of the end of the period covered by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With the participation of the Chief Executive Officer and the Chief Financial Officer, management conducted an evaluation of the effectiveness of our internal control over financial reporting as of July 31, 2013,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the assessment, management concluded that, as of July 31, 2013, the Company’s internal control over financial reporting is effective based on those criteria. The Company’s internal control over financial reporting, as of July 31, 2013, has been audited by Deloitte &amp; Touche LLP, an independent registered public accounting firm, as stated in their report, which is included herein.</w:t>
      </w:r>
    </w:p>
    <w:p>
      <w:pPr>
        <w:spacing w:after="0" w:line="1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Brady Corporation and subsidiaries (the "Company") as of July 31, 2013, based on criteria established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31, 2013,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2013, of the Company and our report dated September 30, 2013,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Frank M. Jaehnert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CEO and 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Thomas J. Felmer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CFO</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Stephen Millar</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shd w:val="clear" w:color="auto" w:fill="CCEEFF"/>
          </w:tcPr>
          <w:p>
            <w:pPr>
              <w:spacing w:after="0"/>
              <w:rPr>
                <w:sz w:val="19"/>
                <w:szCs w:val="19"/>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President - Die Cut, President - Brady Asia Pacific and V.P., Brady</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Corporation</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Scott R. Hoffman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 Workplace Safety and V.P., Brady Corporation</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O. Williamson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President - Identification Solutions and V.P., Brady Corporation</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 xml:space="preserve">Allan J. Klotsche </w:t>
            </w:r>
            <w:r>
              <w:rPr>
                <w:rFonts w:ascii="Arial" w:cs="Arial" w:eastAsia="Arial" w:hAnsi="Arial"/>
                <w:sz w:val="16"/>
                <w:szCs w:val="16"/>
                <w:color w:val="auto"/>
              </w:rPr>
              <w:t>(1)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 Human Resources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Secretary and General Counsel</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Lee E. Marks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V.P. - Global Operations and Supply Chain</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Bentley N. Curran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V.P. - Digital Business and Chief Information Officer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Kathleen M. Johnson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V.P. and Chief Accounting Officer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T. Meyer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Treasurer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Patrick W. Allender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S. Balkema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9"/>
                <w:szCs w:val="19"/>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9"/>
              </w:rPr>
              <w:t>Nominee for Director at the November 2013 Annual Meeting of</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Shareholders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 Pungello</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Bradley C. Richardson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188" w:lineRule="exact"/>
        <w:rPr>
          <w:sz w:val="20"/>
          <w:szCs w:val="20"/>
          <w:color w:val="auto"/>
        </w:rPr>
      </w:pPr>
    </w:p>
    <w:p>
      <w:pPr>
        <w:ind w:right="20" w:firstLine="8"/>
        <w:spacing w:after="0" w:line="277" w:lineRule="auto"/>
        <w:tabs>
          <w:tab w:leader="none" w:pos="2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July 10, 2013, Mr. Klotsche informed the Company of his intent to resign effective upon the hiring of his successor and a period of transition thereafter.</w:t>
      </w:r>
    </w:p>
    <w:p>
      <w:pPr>
        <w:spacing w:after="0" w:line="13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Frank M. Jaehnert - </w:t>
      </w:r>
      <w:r>
        <w:rPr>
          <w:rFonts w:ascii="Arial" w:cs="Arial" w:eastAsia="Arial" w:hAnsi="Arial"/>
          <w:sz w:val="17"/>
          <w:szCs w:val="17"/>
          <w:color w:val="auto"/>
        </w:rPr>
        <w:t>Mr. Jaehnert has served on the Company's Board of Directors and as the Company's President and CEO since 2003. Mr. Jaehnert</w:t>
      </w:r>
      <w:r>
        <w:rPr>
          <w:rFonts w:ascii="Arial" w:cs="Arial" w:eastAsia="Arial" w:hAnsi="Arial"/>
          <w:sz w:val="17"/>
          <w:szCs w:val="17"/>
          <w:i w:val="1"/>
          <w:iCs w:val="1"/>
          <w:color w:val="auto"/>
        </w:rPr>
        <w:t xml:space="preserve"> </w:t>
      </w:r>
      <w:r>
        <w:rPr>
          <w:rFonts w:ascii="Arial" w:cs="Arial" w:eastAsia="Arial" w:hAnsi="Arial"/>
          <w:sz w:val="17"/>
          <w:szCs w:val="17"/>
          <w:color w:val="auto"/>
        </w:rPr>
        <w:t>joined the Company in 1995 and served in leadership positions in a variety of different functions and businesses, including that of CFO from 1996 to 2002, before his promotion to President and CEO in 2003. Previously, he served in a variety of financial roles at Robert Bosch, GmbH, including Treasurer of a subsidiary. His broad operating and functional experience and in-depth knowledge of Brady's businesses are particularly valuable given the diverse nature of Brady's portfolio. These experiences, combined with Mr. Jaehnert's talent for leadership and his long-term strategic perspective, have helped drive the Company's growth and performance during his tenure as Director and CEO. He currently sits on the Board of Regents of the Milwaukee School of Engineering; the Board of Trustees of the Manufacturers Alliance/MAPI; the Business Advisory Council of the Sheldon B. Lubar School of Business at the University of Wisconsin - Milwaukee; and the Board of Directors of the Metro Milwaukee Association of Commerce. In 2012, Mr. Jaehnert was elected to the Board of Directors of Nordson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(NASDAQ:NDSN). Mr. Jaehnert received the equivalent of a master's degree in business administration from the University of Stuttgart, Germany.</w:t>
      </w:r>
    </w:p>
    <w:p>
      <w:pPr>
        <w:spacing w:after="0" w:line="19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Thomas J. Felmer - </w:t>
      </w:r>
      <w:r>
        <w:rPr>
          <w:rFonts w:ascii="Arial" w:cs="Arial" w:eastAsia="Arial" w:hAnsi="Arial"/>
          <w:sz w:val="17"/>
          <w:szCs w:val="17"/>
          <w:color w:val="auto"/>
        </w:rPr>
        <w:t>Mr. Felmer joined the Company in 1989 and has held several sales and marketing positions until being named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Manager of Brady's U.S. Signmark Division in 1994. In 1999, Mr. Felmer moved to Europe where he led the European Signmark business for two years, then gained additional responsibility for the European direct marketing business platforms, which he also led for two years. In 2003, Mr. Felmer returned to the United States where he was responsible for Brady's global sales and marketing processes, Brady Software businesses, and integration leader of the EMED acquisition. In June 2004, he was appointed President - Direct Marketing Americas, and was named Chief Financial Officer in January 2008. Mr. Felmer received a bachelor's degree in business administration from the University of Wisconsin - Green Bay.</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Stephen Millar - </w:t>
      </w:r>
      <w:r>
        <w:rPr>
          <w:rFonts w:ascii="Arial" w:cs="Arial" w:eastAsia="Arial" w:hAnsi="Arial"/>
          <w:sz w:val="17"/>
          <w:szCs w:val="17"/>
          <w:color w:val="auto"/>
        </w:rPr>
        <w:t>Mr. Millar joined the Company in 1999 as Managing Director of Brady Australia, a position he held until 2008 when he joined Brady</w:t>
      </w:r>
      <w:r>
        <w:rPr>
          <w:rFonts w:ascii="Arial" w:cs="Arial" w:eastAsia="Arial" w:hAnsi="Arial"/>
          <w:sz w:val="17"/>
          <w:szCs w:val="17"/>
          <w:i w:val="1"/>
          <w:iCs w:val="1"/>
          <w:color w:val="auto"/>
        </w:rPr>
        <w:t xml:space="preserve"> </w:t>
      </w:r>
      <w:r>
        <w:rPr>
          <w:rFonts w:ascii="Arial" w:cs="Arial" w:eastAsia="Arial" w:hAnsi="Arial"/>
          <w:sz w:val="17"/>
          <w:szCs w:val="17"/>
          <w:color w:val="auto"/>
        </w:rPr>
        <w:t>Americas' leadership team as Vice President and General Manager responsible for its portfolio of people identification, medical and education businesses. In 2010, he returned to Asia in the role of MRO Director for the region. He was appointed President - Brady Asia Pacific in March 2011 and was appointed President - Die Cut in February 2013. Prior to joining Brady, Mr. Millar served in a variety of leadership positions in Australia and New Zealand with GNB Technologies, a global manufacturer of automotive and industrial batteries. He holds a bachelor's of commerce and administration degree from Victoria University of Wellington, New Zealand and is a member of the institute of Chartered Accountants of New Zealand.</w:t>
      </w:r>
    </w:p>
    <w:p>
      <w:pPr>
        <w:spacing w:after="0" w:line="13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Scott R. Hoffman </w:t>
      </w:r>
      <w:r>
        <w:rPr>
          <w:rFonts w:ascii="Arial" w:cs="Arial" w:eastAsia="Arial" w:hAnsi="Arial"/>
          <w:sz w:val="17"/>
          <w:szCs w:val="17"/>
          <w:color w:val="auto"/>
        </w:rPr>
        <w:t>- Mr. Hoffman was appointed President - Workplace Safety effective May 1, 2013, and has responsibility for the workplace safety</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platform globally. Since joining the Company in 1986 as a sales representative, he has held a variety of sales, marketing and leadership roles, including regional sales manager, global industry manager, director of North American sales, Vice President - Sales and Marketing for North America, global business leader for power and communication identification, Vice President of the Company's global die-cut business and Vice President and General Manager - Americas. He holds a bachelor's degree in marketing and finance from the University of Wisconsin - Madison.</w:t>
      </w:r>
    </w:p>
    <w:p>
      <w:pPr>
        <w:spacing w:after="0" w:line="17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Matthew O. Williamson - </w:t>
      </w:r>
      <w:r>
        <w:rPr>
          <w:rFonts w:ascii="Arial" w:cs="Arial" w:eastAsia="Arial" w:hAnsi="Arial"/>
          <w:sz w:val="17"/>
          <w:szCs w:val="17"/>
          <w:color w:val="auto"/>
        </w:rPr>
        <w:t>Mr. Williamson joined the Company in 1979. From 1979 to 1994, he served in a variety of sales and marketing leadership</w:t>
      </w:r>
      <w:r>
        <w:rPr>
          <w:rFonts w:ascii="Arial" w:cs="Arial" w:eastAsia="Arial" w:hAnsi="Arial"/>
          <w:sz w:val="17"/>
          <w:szCs w:val="17"/>
          <w:i w:val="1"/>
          <w:iCs w:val="1"/>
          <w:color w:val="auto"/>
        </w:rPr>
        <w:t xml:space="preserve"> </w:t>
      </w:r>
      <w:r>
        <w:rPr>
          <w:rFonts w:ascii="Arial" w:cs="Arial" w:eastAsia="Arial" w:hAnsi="Arial"/>
          <w:sz w:val="17"/>
          <w:szCs w:val="17"/>
          <w:color w:val="auto"/>
        </w:rPr>
        <w:t>roles. From 1995 to 2003, Mr. Williamson served as the Vice President and General Manager of the Company's specialty tape and identification solution businesses. From 1996 to 1998, Mr. Williamson served as the Vice President and General Manager of the Identification Solutions and Specialty Tapes Division. From 1998 to 2001, he served as Vice President and General Manager of the Identification Solutions Division. From 2001 to 2003, he served as Vice President and General Manager of the Global High Performance Identification Business. In April 2003, he was appointed President of the Brady Americas business, and in January 2008, Mr. Williamson assumed responsibility for the Direct Marketing Americas business. Effective May 1, 2013, Mr. Williamson was appointed President - Identification Solutions, and has responsibility for the Identification Solutions business platform globally. He holds a bachelor's degree in marketing from the University of Wisconsin - Milwaukee.</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Allan J. Klotsche - </w:t>
      </w:r>
      <w:r>
        <w:rPr>
          <w:rFonts w:ascii="Arial" w:cs="Arial" w:eastAsia="Arial" w:hAnsi="Arial"/>
          <w:sz w:val="18"/>
          <w:szCs w:val="18"/>
          <w:color w:val="auto"/>
        </w:rPr>
        <w:t>Mr. Klotsche joined the Company in 1989. He served in a variety of sales, marketing, technical, and management roles until 1998,</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was appointed Vice President and General Manager of the Precision Tapes Group. He served as President - Brady Asia Pacific from 2003 until his current appointment as Senior Vice President leading Brady's global human resources function in October 2010. He holds a master's degree in business administration from the University of Wisconsin-Milwaukee.</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Louis T. Bolognini - </w:t>
      </w:r>
      <w:r>
        <w:rPr>
          <w:rFonts w:ascii="Arial" w:cs="Arial" w:eastAsia="Arial" w:hAnsi="Arial"/>
          <w:sz w:val="18"/>
          <w:szCs w:val="18"/>
          <w:color w:val="auto"/>
        </w:rPr>
        <w:t>Mr. Bolognini joined the Company as Senior Vice President, General Counsel and Secretary in January 2013.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 served as Senior Vice President, General Counsel and Secretary of Imperial Sugar Company from June 2008 through September 2012 and was Vice President and General Counsel of BioLab, Inc., a pool and spa manufacturing and marketing company from 1999 to 2008. Mr. Bolognini served as Assistant General Counsel to BioLab's parent company, Great Lakes Chemical Corporation, from 1990 to 1999. Mr. Bolognini served as an officer of BioLab, Inc. within a two-year period prior to the March 18, 2009 Chapter 11 bankruptcy petition filed by BioLab's parent company, Chemtura Corporation, on behalf of itself and 26 U.S. affiliates, including BioLab. He holds a bachelor's degree in political science from Miami University and a Juris Doctor degree from the University of Toledo.</w:t>
      </w:r>
    </w:p>
    <w:p>
      <w:pPr>
        <w:spacing w:after="0" w:line="3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Lee E. Marks </w:t>
      </w:r>
      <w:r>
        <w:rPr>
          <w:rFonts w:ascii="Arial" w:cs="Arial" w:eastAsia="Arial" w:hAnsi="Arial"/>
          <w:sz w:val="18"/>
          <w:szCs w:val="18"/>
          <w:color w:val="auto"/>
        </w:rPr>
        <w:t>- Mr. Marks joined the Company in 2009 as Vice President of Operations for the Americas region and was named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Global Operations and Supply Chain in 2012. In this role, he is responsible for all manufacturing and distribution operations, corporate real estate, environmental, health and safety compliance, procurement, global engineering services and quality systems. Prior to joining the Company, he held a number of executive positions in operations with Pentair, Inc. from 1994 to 2009. He also served as a consultant for Arthur Anderson and Deloitte &amp; Touche. Mr. Marks holds a bachelor's degree in accounting from the University of Wisconsin - LaCrosse and is certified by the American Production &amp; Inventory Control Society. He is also a Certified Public Accountant and Adjunct Professor at Marquette University, where he teaches Applied Procurement in the Operations Management Program.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Bentley N. Curran - </w:t>
      </w:r>
      <w:r>
        <w:rPr>
          <w:rFonts w:ascii="Arial" w:cs="Arial" w:eastAsia="Arial" w:hAnsi="Arial"/>
          <w:sz w:val="18"/>
          <w:szCs w:val="18"/>
          <w:color w:val="auto"/>
        </w:rPr>
        <w:t>Mr. Curran joined the Company in 1999 and has held several technology leadership positions until being named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in 2005. In October 2007, he was appointed Chief Information Officer of Brady globally. In February 2012, he was appointed to his current position, Vice President of Digital Business and Chief Information Officer. Prior to joining Brady, Mr. Curran served in a variety of technology leadership roles for Compucom and the Speed Queen Company. He holds a bachelor's degree in business administration from Marian University and holds an associate of science degree in electronics and engineering systems.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Kathleen M. Johnson - </w:t>
      </w:r>
      <w:r>
        <w:rPr>
          <w:rFonts w:ascii="Arial" w:cs="Arial" w:eastAsia="Arial" w:hAnsi="Arial"/>
          <w:sz w:val="18"/>
          <w:szCs w:val="18"/>
          <w:color w:val="auto"/>
        </w:rPr>
        <w:t>Ms. Johnson joined the Company in 1989 as controller of a division of Brady and became group finance director in 1996. In</w:t>
      </w:r>
      <w:r>
        <w:rPr>
          <w:rFonts w:ascii="Arial" w:cs="Arial" w:eastAsia="Arial" w:hAnsi="Arial"/>
          <w:sz w:val="18"/>
          <w:szCs w:val="18"/>
          <w:i w:val="1"/>
          <w:iCs w:val="1"/>
          <w:color w:val="auto"/>
        </w:rPr>
        <w:t xml:space="preserve"> </w:t>
      </w:r>
      <w:r>
        <w:rPr>
          <w:rFonts w:ascii="Arial" w:cs="Arial" w:eastAsia="Arial" w:hAnsi="Arial"/>
          <w:sz w:val="18"/>
          <w:szCs w:val="18"/>
          <w:color w:val="auto"/>
        </w:rPr>
        <w:t>2000, she was appointed Vice President. In 2008, she was appointed Chief Accounting Officer. Prior to joining Brady, she spent six years with Kraft Food Service. She started her career as a Certified Public Accountant with Deloitte &amp; Touche. She holds a bachelor's degree in accounting from the University of Wisconsin - Whitewater.</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Paul T. Meyer --- </w:t>
      </w:r>
      <w:r>
        <w:rPr>
          <w:rFonts w:ascii="Arial" w:cs="Arial" w:eastAsia="Arial" w:hAnsi="Arial"/>
          <w:sz w:val="18"/>
          <w:szCs w:val="18"/>
          <w:color w:val="auto"/>
        </w:rPr>
        <w:t>Mr. Meyer joined the Company in 2009 as Global Tax Director. In May 2013, he was appointed Treasurer, in addition to his duties as</w:t>
      </w:r>
      <w:r>
        <w:rPr>
          <w:rFonts w:ascii="Arial" w:cs="Arial" w:eastAsia="Arial" w:hAnsi="Arial"/>
          <w:sz w:val="18"/>
          <w:szCs w:val="18"/>
          <w:i w:val="1"/>
          <w:iCs w:val="1"/>
          <w:color w:val="auto"/>
        </w:rPr>
        <w:t xml:space="preserve"> </w:t>
      </w:r>
      <w:r>
        <w:rPr>
          <w:rFonts w:ascii="Arial" w:cs="Arial" w:eastAsia="Arial" w:hAnsi="Arial"/>
          <w:sz w:val="18"/>
          <w:szCs w:val="18"/>
          <w:color w:val="auto"/>
        </w:rPr>
        <w:t>Global Tax Director. Prior to joining the Company, Mr. Meyer worked in the corporate tax departments of GE Healthcare and JohnsonDiversey. He began his career as a tax consultant with Ernst &amp; Young. He holds a bachelor's degree in accounting and a master's degree in taxation from the University of Wisconsin-Milwaukee.</w:t>
      </w:r>
    </w:p>
    <w:p>
      <w:pPr>
        <w:spacing w:after="0" w:line="3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Patrick W. Allender - </w:t>
      </w:r>
      <w:r>
        <w:rPr>
          <w:rFonts w:ascii="Arial" w:cs="Arial" w:eastAsia="Arial" w:hAnsi="Arial"/>
          <w:sz w:val="18"/>
          <w:szCs w:val="18"/>
          <w:color w:val="auto"/>
        </w:rPr>
        <w:t>Mr. Allender was elected to the Board of Directors in 2007. He serves as the Chair of the Finance Committee and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and Corporate Governance Committees. He served as Executive Vice President and CFO of Danaher Corporation from 1998 to 2005 and Executive Vice President from 2005 to 2007. Additionally, he served as a public accountant at Arthur Andersen from 1968 to 1985. He has served as a director of Colfax Corporation since 2008 and Diebold, Inc. since May 2011. Mr. Allender's strong background in finance and accounting, as well as his past experience as the CFO of a public company, provides the Board with financial expertise and insight.</w:t>
      </w:r>
    </w:p>
    <w:p>
      <w:pPr>
        <w:spacing w:after="0" w:line="1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Gary S. Balkema - </w:t>
      </w:r>
      <w:r>
        <w:rPr>
          <w:rFonts w:ascii="Arial" w:cs="Arial" w:eastAsia="Arial" w:hAnsi="Arial"/>
          <w:sz w:val="17"/>
          <w:szCs w:val="17"/>
          <w:color w:val="auto"/>
        </w:rPr>
        <w:t>Mr. Balkema was elected to the Board of Directors in 2010. He currently serves as the Chair of the Management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is a member of the Audit and Technology Committees. From 2000 to 2011, he served as the President of Bayer Healthcare LLC and Worldwide Consumer Care Division. He was also responsible for overseeing Bayer LLC USA's compliance program. He has over 20 years of general management experience. Mr. Balkema brings strong experience in consumer marketing skills and mergers and acquisitions and integrations. His broad operating and functional experience are valuable to the Company given the diverse nature of the Company's portfolio.</w:t>
      </w:r>
    </w:p>
    <w:p>
      <w:pPr>
        <w:spacing w:after="0" w:line="11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Nancy L. Gioia - </w:t>
      </w:r>
      <w:r>
        <w:rPr>
          <w:rFonts w:ascii="Arial" w:cs="Arial" w:eastAsia="Arial" w:hAnsi="Arial"/>
          <w:sz w:val="17"/>
          <w:szCs w:val="17"/>
          <w:color w:val="auto"/>
        </w:rPr>
        <w:t>Ms. Gioia has been nominated for election to the Board of Directors at the Annual Shareholders Meeting in November 2013. Ms.</w:t>
      </w:r>
      <w:r>
        <w:rPr>
          <w:rFonts w:ascii="Arial" w:cs="Arial" w:eastAsia="Arial" w:hAnsi="Arial"/>
          <w:sz w:val="17"/>
          <w:szCs w:val="17"/>
          <w:i w:val="1"/>
          <w:iCs w:val="1"/>
          <w:color w:val="auto"/>
        </w:rPr>
        <w:t xml:space="preserve"> </w:t>
      </w:r>
      <w:r>
        <w:rPr>
          <w:rFonts w:ascii="Arial" w:cs="Arial" w:eastAsia="Arial" w:hAnsi="Arial"/>
          <w:sz w:val="17"/>
          <w:szCs w:val="17"/>
          <w:color w:val="auto"/>
        </w:rPr>
        <w:t>Gioia was nominated through a process conducted by the Corporate Governance Committee of the Board, which utilized the services of an executive search firm. Ms. Gioia is Director, Global User Interface and Connectivity of Ford Motor Company. Since joining Ford in 1982, she has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FWD/RWD Car Platforms-North America; and Vehicle Programs Director, Lifestyle Vehicles. She previously served as a Director of Auto Alliance International, a joint venture of Ford Motor Company and Mazda Corporation; Director of the Electric Drive Transportation Association; and Director of the California Plug-in EV Collaborative. She currently serves as a Director of Inforum and the State of Michigan, Governor's Talent Investment Board. If elected to the Board of Directors, Ms. Gioia's extensive experience in technology and engineering solutions, as well as her general business experience, will provide the Board with important expertise in product development and operations.</w:t>
      </w:r>
    </w:p>
    <w:p>
      <w:pPr>
        <w:spacing w:after="0" w:line="29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 xml:space="preserve">Conrad G. Goodkind - </w:t>
      </w:r>
      <w:r>
        <w:rPr>
          <w:rFonts w:ascii="Arial" w:cs="Arial" w:eastAsia="Arial" w:hAnsi="Arial"/>
          <w:sz w:val="16"/>
          <w:szCs w:val="16"/>
          <w:color w:val="auto"/>
        </w:rPr>
        <w:t>Mr. Goodkind was elected to the Board of Directors in 2007. He currently serves as the Lead Independent Director, Chair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Committee and as a member of the Finance and Audit Committees. He previously served as Secretary of the Company from 1999 to 2007. Mr. Goodkind was a partner in the law firm of Quarles &amp; Brady, LLP, where his practice concentrated in corporate and securities law from 1979 to</w:t>
      </w:r>
    </w:p>
    <w:p>
      <w:pPr>
        <w:jc w:val="both"/>
        <w:spacing w:after="0" w:line="254" w:lineRule="auto"/>
        <w:rPr>
          <w:sz w:val="20"/>
          <w:szCs w:val="20"/>
          <w:color w:val="auto"/>
        </w:rPr>
      </w:pPr>
      <w:r>
        <w:rPr>
          <w:rFonts w:ascii="Arial" w:cs="Arial" w:eastAsia="Arial" w:hAnsi="Arial"/>
          <w:sz w:val="18"/>
          <w:szCs w:val="18"/>
          <w:color w:val="auto"/>
        </w:rPr>
        <w:t>2009. Prior to 1979, he served as Wisconsin's Deputy Commissioner of Securities.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14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Frank W. Harris, Ph.D - </w:t>
      </w:r>
      <w:r>
        <w:rPr>
          <w:rFonts w:ascii="Arial" w:cs="Arial" w:eastAsia="Arial" w:hAnsi="Arial"/>
          <w:sz w:val="18"/>
          <w:szCs w:val="18"/>
          <w:color w:val="auto"/>
        </w:rPr>
        <w:t>Dr. Harris was elected to the Board of Directors in 1991. He serves as the Chair of the Technology Committee and as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Management Development and Compensation Committee. He served as the Distinguished Professor of Polymer Science and Biomedical Engineering at the University of Akron from 1983 to 2008 and Professor of Chemistry at Wright State University from 1970 to 1983. He is the founder of several technology based companies including Akron Polymer Systems where he serves as President and CEO. Dr. Harris is the inventor of several commercialized products including an optical film that realized over one billion dollars in sales. His extensive experience in technology and engineering solutions provides the Board with important expertise in new product development.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Elizabeth P. Pungello, Ph.D - </w:t>
      </w:r>
      <w:r>
        <w:rPr>
          <w:rFonts w:ascii="Arial" w:cs="Arial" w:eastAsia="Arial" w:hAnsi="Arial"/>
          <w:sz w:val="18"/>
          <w:szCs w:val="18"/>
          <w:color w:val="auto"/>
        </w:rPr>
        <w:t>Dr. Pungello was elected to the Board of Directors in 2003. She serves as a member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Corporate Governance and Technology Committees. Dr. Pungello is the President of the Brady Education Foundation in Chapel Hill, North Carolina and a Research Assistant Professor in the Developmental Psychology Program at the University of North Carolina at Chapel Hill. She also has appointments as a Scientist at the Frank Porter Graham Development Institute and a Mentor Faculty Member at the Center for Developmental Science. Dr. Pungello also serves on the editorial board of the Journal of Marriage and Family, as a reviewer for several other journals, and on a number of other non-profit boards.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Bradley C. Richardson - </w:t>
      </w:r>
      <w:r>
        <w:rPr>
          <w:rFonts w:ascii="Arial" w:cs="Arial" w:eastAsia="Arial" w:hAnsi="Arial"/>
          <w:sz w:val="16"/>
          <w:szCs w:val="16"/>
          <w:color w:val="auto"/>
        </w:rPr>
        <w:t>Mr. Richardson was elected to the Board of Directors in 2007. He serves as the Chair of the Audit Committee and is a member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Management Development and Compensation, Corporate Governance and Finance Committees. He is the Executive Vice President and CFO of Diebold, Inc. He previously served as the Executive Vice President Corporate Strategy and CFO of Modine Manufacturing from 2003 to 2009. Prior to Modine, he spent 21 years with BP Amoco serving in various financial and operational roles with assignments in North America, South America and Europe. Mr. Richardson has served on the boards of Modine Manufacturing and Tronox, Inc. He brings to the Company extensive knowledge and experience in the areas of operations, strategy, accounting, tax accounting and finance, which are areas of critical importance to the Company as a global public company.</w:t>
      </w:r>
    </w:p>
    <w:p>
      <w:pPr>
        <w:spacing w:after="0" w:line="12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0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 xml:space="preserve">Board Leadership Structure - </w:t>
      </w:r>
      <w:r>
        <w:rPr>
          <w:rFonts w:ascii="Arial" w:cs="Arial" w:eastAsia="Arial" w:hAnsi="Arial"/>
          <w:sz w:val="16"/>
          <w:szCs w:val="16"/>
          <w:color w:val="auto"/>
        </w:rPr>
        <w:t>The Board does not have a formal policy regarding the separation of the roles of Chief Executive Officer and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as the Board believes it is in the best interests of the Company to make that determination based on the position and direction of the Company and the membership of the Board. The Board currently has not appointed a Chairman of the Board. In fiscal 2010, the Board formalized the position of Lead Independent Director, which is elected on an annual basis from among the independent Directors of the Board based upon the recommendation of the Corporate Governance Committee. In fiscal 2011, upon the recommendation of the Corporate Governance Committee, the Board enhanced the duties of the Lead Independent Director, which include, among others: chairing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 Mr. Galbato served as the Lead Independent Director in fiscal 2013 until his resignation from the Board of Directors on May 19, 2013. On June 20, 2013, Mr. Goodkind was appointed to serve as Lead Independent Director for the balance of the term vacated by Mr. Galbato, which expires in November 2013.</w:t>
      </w:r>
    </w:p>
    <w:p>
      <w:pPr>
        <w:spacing w:after="0" w:line="169"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The Board believes that its current leadership structure has enhanced the Board's oversight of, and independence from, Company management; the ability of the Board to carry out its roles and responsibilities on behalf of our shareholders; and our overall corporate governance.</w:t>
      </w:r>
    </w:p>
    <w:p>
      <w:pPr>
        <w:spacing w:after="0" w:line="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Risk Oversight - </w:t>
      </w:r>
      <w:r>
        <w:rPr>
          <w:rFonts w:ascii="Arial" w:cs="Arial" w:eastAsia="Arial" w:hAnsi="Arial"/>
          <w:sz w:val="17"/>
          <w:szCs w:val="17"/>
          <w:color w:val="auto"/>
        </w:rPr>
        <w:t>The Board oversees the Company's risk management processes directly and through its committees. In general, the Board oversees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executives at the quarterly disclosure committee meeting. The significance of the risk is assessed by executive management and escalation to the respective board committee and Board of Directors is determined. The Company reviews its risk assessment with the Audit Committee annually.</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Company's Board of Directors has determined that at least one Audit Committee financial expert is serving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Audit Committee. Messrs. Richardson, Chair of the Audit Committee, and Allender and Balkema, members of the Audit Committee, are financial experts and are independent as that term is used in Item 7(d)(3)(iv) of Schedule 14A under the Exchange Act.</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Director Independence - </w:t>
      </w:r>
      <w:r>
        <w:rPr>
          <w:rFonts w:ascii="Arial" w:cs="Arial" w:eastAsia="Arial" w:hAnsi="Arial"/>
          <w:sz w:val="18"/>
          <w:szCs w:val="18"/>
          <w:color w:val="auto"/>
        </w:rPr>
        <w:t>A majority of the Directors must meet the criteria for independence established by the Board in accordance with the rules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Mr. Jaehnert, President and CEO, are deemed independent. All members of the Audit, Management Development and Compensation, and Corporate Governance Committees are deemed independent.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Meetings of Non-management Directors - </w:t>
      </w:r>
      <w:r>
        <w:rPr>
          <w:rFonts w:ascii="Arial" w:cs="Arial" w:eastAsia="Arial" w:hAnsi="Arial"/>
          <w:sz w:val="16"/>
          <w:szCs w:val="16"/>
          <w:color w:val="auto"/>
        </w:rPr>
        <w:t>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The Lead Independent Director, currently Mr. Goodkind, is the presiding Director at these sessions. In fiscal 2013, there were 5 executive sessions. Interested parties can raise concerns to be addressed at these meetings by calling the confidential Brady hotline at 1-800-368-3613.</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(Chairman), Balkema, Goodkind and Allender. On June 20, 2013, Mr. Balkema was appointed to the Audit Committee to the position vacated by Mr. Galbato upon his resignation from the Board on May 19, 2013. Each member of the Audit Committee has been determined by the Board to be independent under the rules of the SEC and NYSE. The charter for the Audit Committee is available on the Company's corporate website at www.bradycorp.com.</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4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Corporate Governance Guidelines - </w:t>
      </w:r>
      <w:r>
        <w:rPr>
          <w:rFonts w:ascii="Arial" w:cs="Arial" w:eastAsia="Arial" w:hAnsi="Arial"/>
          <w:sz w:val="16"/>
          <w:szCs w:val="16"/>
          <w:color w:val="auto"/>
        </w:rPr>
        <w:t>Brady's Corporate Governance Principles, as well as the charters of the Audit Committee,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Management Development and Compensation Committee, are available on the Company's Corporate website, www.bradycorp.com. Shareholders may request printed copies of these documents from Brady Corporation, Investor Relations, P.O. Box 571, Milwaukee, WI 53201.</w:t>
      </w:r>
    </w:p>
    <w:p>
      <w:pPr>
        <w:spacing w:after="0" w:line="10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2013, all Section 16(a) filing requirements applicable to its officers, directors and greater than 10 percent beneficial owners were complied with, other than with respect to the following:</w:t>
      </w:r>
    </w:p>
    <w:p>
      <w:pPr>
        <w:spacing w:after="0" w:line="343" w:lineRule="exact"/>
        <w:rPr>
          <w:sz w:val="20"/>
          <w:szCs w:val="20"/>
          <w:color w:val="auto"/>
        </w:rPr>
      </w:pPr>
    </w:p>
    <w:p>
      <w:pPr>
        <w:jc w:val="both"/>
        <w:ind w:left="640" w:hanging="321"/>
        <w:spacing w:after="0" w:line="286"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Form 4 for Mr. Goodkind that was filed on March 29, 2012 to report the acquisition of 285 shares of Class A Nonvoting Common Stock from a dividend reinvestment on February 1, 2012 did not correctly report the acquisition of those shares and the amount of securities beneficially owned following this transaction, and thereafter, this was corrected on a Form 4/A for Mr. Goodkind that was filed on August 26, 2013;</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Form 4 for Mr. Jaehnert that was not filed on or before June 13, 2013 as required to report the sale of 18,777 shares of Class A Nonvoting Common Stock. This transaction was reported on a Form 4 for Mr. Jaehnert that was filed on June 20, 2013;</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Forms 4 for Ms. Pungello that were filed on October 4, 2011 and September 25, 2012 to report the acquisition of 1,450 shares of Class A Nonvoting Common Stock on each of September 30, 2011 and September 21, 2012, respectively, pursuant to an equity compensation plan for non-management Directors, did not correctly report the direct ownership of such shares outside of a trust and did not correctly report the amount of securities beneficially owned following these transactions, and this was corrected on a Form 4/A for Ms. Pungello that was filed on September 3, 2013.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Forms 4 for Mr. Harris that were not filed on or before (i) November 22, 2012 as required to report the sale of 1,000 shares of Class A Nonvoting Common Stock on November 20, 2012 and (ii) July 1, 2013 as required to report the sale of 2,000 shares of Class A Nonvoting Common Stock on June 27, 2013. These transactions were reported, and the amount of securities beneficially owned as of July 31, 2013 was corrected, on a Form 4/A for Mr. Harris that was filed on September 10,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Compensation Discussion and Analysis focuses upon the Company's total compensation philosophy, the role of the Management Development &amp; Compensation Committee (for purposes of the Compensation Discussion and Analysis section, the “Committee”), total compensation components, market and peer group data, and the approach used by the Committee when determining each element of the total compensation package inclusive of base salary, short-term incentives, long-term incentives, benefits, perquisites and employment agreements for our executive officers.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fiscal 2013, the following executive officers' compensation is disclosed and discussed in this section (the “named executive officers” or “NEOs”):</w:t>
      </w:r>
    </w:p>
    <w:p>
      <w:pPr>
        <w:spacing w:after="0" w:line="4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Frank M. Jaehnert, President, Chief Executive Officer and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Thomas J. Felmer, Senior Vice President and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Allan J. Klotsche, Senior Vice President-Human Resources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Stephen Millar, President-Die Cut, President-Brady Asia Pacific and Vice President, Brady Corporation;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Matthew O. Williamson, President-Identification Solutions and Vice President, Brady Corporation,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Peter C. Sephton, Former President-Brady EMEA and Vice President, Brady Corporation (2)</w:t>
      </w:r>
    </w:p>
    <w:p>
      <w:pPr>
        <w:spacing w:after="0" w:line="211" w:lineRule="exact"/>
        <w:rPr>
          <w:sz w:val="20"/>
          <w:szCs w:val="20"/>
          <w:color w:val="auto"/>
        </w:rPr>
      </w:pPr>
    </w:p>
    <w:p>
      <w:pPr>
        <w:ind w:right="500" w:firstLine="251"/>
        <w:spacing w:after="0" w:line="277" w:lineRule="auto"/>
        <w:tabs>
          <w:tab w:leader="none" w:pos="4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July 10, 2013, Mr. Klotsche informed the Company of his intent to resign effective upon the hiring of his successor and a period of transition thereafter.</w:t>
      </w:r>
    </w:p>
    <w:p>
      <w:pPr>
        <w:spacing w:after="0" w:line="170" w:lineRule="exact"/>
        <w:rPr>
          <w:rFonts w:ascii="Arial" w:cs="Arial" w:eastAsia="Arial" w:hAnsi="Arial"/>
          <w:sz w:val="18"/>
          <w:szCs w:val="18"/>
          <w:color w:val="auto"/>
        </w:rPr>
      </w:pPr>
    </w:p>
    <w:p>
      <w:pPr>
        <w:ind w:right="660" w:firstLine="251"/>
        <w:spacing w:after="0" w:line="277" w:lineRule="auto"/>
        <w:tabs>
          <w:tab w:leader="none" w:pos="4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Sephton resigned as President-Brady Europe and Vice President, Brady Corporation effective April 30, 2013 and his employment with the Company terminated on July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Since our founding in 1914, we have grown the Company by developing innovative high-performing products, participating in growing markets, delivering on-time solutions and leveraging our core competencies across our businesses. Our strategy is to be the market leader in each of the global businesses we are focused on.</w:t>
      </w:r>
    </w:p>
    <w:p>
      <w:pPr>
        <w:spacing w:after="0" w:line="12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Our passion around market leadership is tempered only by the fact that when we win, we win the right way. Our values have been, and will be, the cornerstone of everything that we do at Brady. Focus on the Customer, Invest in our People, Embrace Teamwork, Excel at Everything We Do, Be Bold and Decisive, Protect Our Future and Win the Right Way describe the behaviors that we expect and reward at Brady.</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order to achieve our goals, we recognize it is critical to assemble and maintain a leadership team with the integrity, skills and dedication needed to execute our strategic growth plan. We design and use our compensation plans to help us achieve these objectives and align our rewards with the intended behaviors and outcomes.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Fiscal 2013 Performance and Link to Pay Decisions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2013 Resulted in No Cash Bonuses and Unvested Performance-Based Restricted Stock Awards for NEOs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Fiscal 2013 was a year of challenge and unprecedented change for Brady. We were challenged by the changing competitive environment in our Workplace Safety business as new market entrants and the ongoing shift of buying patterns to the web have had a negative impact on our business.</w:t>
      </w:r>
    </w:p>
    <w:p>
      <w:pPr>
        <w:spacing w:after="0" w:line="147"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In response to our organic sales growth, we made significant portfolio changes - the largest in Brady's nearly 100-year history. These portfolio changes are a meaningful shift in the industries we serve as we are reducing our reliance on the more-volatile and less-profitable consumer electronics industry and increasing our exposure to the healthcare identification space, which we believe is less volatile and supported by longer-term macro growth trends.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 GAAP basis, we incurred a fiscal 2013 net loss from continuing operations of $140.8 million.</w:t>
      </w:r>
    </w:p>
    <w:p>
      <w:pPr>
        <w:spacing w:after="0" w:line="23" w:lineRule="exact"/>
        <w:rPr>
          <w:rFonts w:ascii="Arial" w:cs="Arial" w:eastAsia="Arial" w:hAnsi="Arial"/>
          <w:sz w:val="18"/>
          <w:szCs w:val="18"/>
          <w:color w:val="auto"/>
        </w:rPr>
      </w:pPr>
    </w:p>
    <w:p>
      <w:pPr>
        <w:ind w:left="820" w:hanging="326"/>
        <w:spacing w:after="0" w:line="250" w:lineRule="auto"/>
        <w:tabs>
          <w:tab w:leader="none" w:pos="6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Brady continues to demonstrate strong cash generation as we generated $143.5 million of cash flow from operating activities during the year ended July 31, 2013.</w:t>
      </w:r>
    </w:p>
    <w:p>
      <w:pPr>
        <w:ind w:left="820" w:hanging="326"/>
        <w:spacing w:after="0" w:line="261" w:lineRule="auto"/>
        <w:tabs>
          <w:tab w:leader="none" w:pos="6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sales from continuing operations for the full year were $1.15 billion, up 7.8% from fiscal 2012. Organic sales were down 2.6%, the acquisitions increased sales by 11.3%, and foreign currency translation decreased sales by 0.9%.</w:t>
      </w:r>
    </w:p>
    <w:p>
      <w:pPr>
        <w:spacing w:after="0" w:line="184"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Our balance sheet remains strong. Even after completing the largest acquisition in Brady's history in the second quarter, our gross debt-to-EBITDA remains at approximately 1.7, inclusive of the trailing twelve months of PDC's EBITDA. Having a strong balance sheet and such a strong cash-generating business puts us in a solid financial position to fund future organic and inorganic growth opportunities.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fiscal 2013, with the exception of Mr. Williamson, we did not increase the base salary or target bonus opportunities of our named executive officers. Mr. Williamson received a three percent (3.0%) increase in base salary over fiscal 2012 levels in recognition of his leadership in delivering the results of the Americas' business in fiscal 2012. Organic sales growth, income from operations and net income financial metrics served as performance objectives under our fiscal 2013 bonus plan. Since we did not achieve the threshold level of performance relative to our regional or total company objectives, our named executive officers did not receive a bonus for fiscal 2013.</w:t>
      </w:r>
    </w:p>
    <w:p>
      <w:pPr>
        <w:spacing w:after="0" w:line="2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a group, the grant date fair market value of all equity compensation granted to our named executive officers in fiscal 2013 was 93.0% of salary and was in the form of time-based stock options, which are inherently performance-based and have value only to the extent that the price of our stock increases. The grant date value of awards granted to named executive officers in fiscal 2013 were 54.0% lower than in fiscal 2012 due to the elimination of stock option awards that vest only upon the achievement of pre-established annual performance goals. At management's recommendation to the Committee, grants of performance-based stock options were not made in fiscal 2013 in order to fund initiatives important to the long-term success of the business and to fund merit rewards for the general employee population globally. The elimination of the performance-based stock options resulted in target total compensation for our named executive officers below the median target total compensation of the peer group companies for fiscal 2013.</w:t>
      </w:r>
    </w:p>
    <w:p>
      <w:pPr>
        <w:spacing w:after="0" w:line="1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Finally, the earnings per share goal established by the Committee for the 2008 award of performance-based restricted stock was not achieved; therefore, none of these shares have vested. The named executive officers who are currently employed by the Company and who have received this award (Messrs. Jaehnert, Felmer, Klotsche and Williamson) have an additional opportunity for these awards to vest through earnings per share growth for the fiscal year ending July 31, 2014 and a service vesting requirement through July 31, 2014.</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September 21, 2012, Mr. Millar was awarded 10,000 restricted stock units with both a performance vesting requirement and a service vesting requirement (two years). This award was approved to align Mr. Millar's incentive opportunity with the earnings per share goal established for the other NEOs in 2008. As of July 31, 2013, the vesting criteria for this award have not been met.</w:t>
      </w:r>
    </w:p>
    <w:p>
      <w:pPr>
        <w:spacing w:after="0" w:line="20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the improvement in earnings per share required in fiscal 2014 for the performance-based restricted stock/unit awards described above to meet the performance requirement, it is unlikely that the awards will vest.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input from an external compensation consultant and the Committee's desire to provide an incentive for retention and improved Company performance, effective August 2, 2010, a grant of 100,000 shares of performance-based restricted stock was issued to Mr. Jaehnert. This grant of performance-based restricted stock included both a performance vesting requirement based upon earnings per share growth and a service vesting requirement. The earnings per share growth goal was satisfied during fiscal 2011 and as of July 31, 2013, 33,333 shares of this award have vested. The remaining 66,667 shares will vest in equal installments on July 31, 2014 and July 31,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part of the Company's pay for performance philosophy, the Company's compensation program includes several features that maintain alignment with shareholders: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Emphasis on Variable Compensation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Over 60% of the named executive officers' possible compensation is tied to Company performance which the Company believes drives shareholder value.</w:t>
      </w:r>
    </w:p>
    <w:p>
      <w:pPr>
        <w:spacing w:after="0" w:line="17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Ownership Requirements</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The chief executive officer is required to own at least 100,000 shares of stock in the Company and all other named executive officers are required to hold at least 30,000 shares of stock.</w:t>
      </w:r>
    </w:p>
    <w:p>
      <w:pPr>
        <w:spacing w:after="0" w:line="17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ind w:right="180"/>
        <w:spacing w:after="0" w:line="285" w:lineRule="auto"/>
        <w:rPr>
          <w:sz w:val="20"/>
          <w:szCs w:val="20"/>
          <w:color w:val="auto"/>
        </w:rPr>
      </w:pPr>
      <w:r>
        <w:rPr>
          <w:rFonts w:ascii="Arial" w:cs="Arial" w:eastAsia="Arial" w:hAnsi="Arial"/>
          <w:sz w:val="16"/>
          <w:szCs w:val="16"/>
          <w:color w:val="auto"/>
        </w:rPr>
        <w:t>Following a review and analysis of relevant governance and incentive compensation practices and policies across our compensation peer group and other public companies, the Committee instituted a recoupment policy, effective August 2013, under which incentive compensation payments and/or awards may be recouped by the Company if such payments and/or awards were based on erroneous results. If the Committee determines that an executive officer or other key executive of the Company who participates in any of the Company's incentive plans has engaged in intentional misconduct that results in a material inaccuracy in the Company's financial statements or fraudulent or other willful and deliberate conduct that is detrimental to the Company or there is a material, negative revision of a performance measure for which incentive compensation was paid or awarded, the Committee may take a variety of actions including, among others, seeking repayment of incentive compensation (cash and/or equity) that is greater than what would have been awarded if the payments/awards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expects that the implementation of this policy will serve to enhance the Company's compensation risk mitigation efforts. While the implemented policy affords the Committee discretion regarding the application and enforcement of the policy, the Company and the Committee will conform the policy to any requirements that may be promulgated by the national stock exchanges in the future, as mandated by the Dodd-Frank Wall Street Reform and Consumer Protection Act.</w:t>
      </w:r>
    </w:p>
    <w:p>
      <w:pPr>
        <w:spacing w:after="0" w:line="20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spacing w:after="0" w:line="187"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Performance Thresholds and Caps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Generally, 100% of annual cash and equity incentive awards are performance-based. In addition, the annual cash incentive plan has a maximum payment cap.</w:t>
      </w:r>
    </w:p>
    <w:p>
      <w:pPr>
        <w:spacing w:after="0" w:line="17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Securities Trading Policy</w:t>
      </w:r>
    </w:p>
    <w:p>
      <w:pPr>
        <w:spacing w:after="0" w:line="20" w:lineRule="exact"/>
        <w:rPr>
          <w:sz w:val="20"/>
          <w:szCs w:val="20"/>
          <w:color w:val="auto"/>
        </w:rPr>
      </w:pPr>
      <w:r>
        <w:rPr>
          <w:sz w:val="20"/>
          <w:szCs w:val="20"/>
          <w:color w:val="auto"/>
        </w:rPr>
        <w:br w:type="column"/>
      </w:r>
    </w:p>
    <w:p>
      <w:pPr>
        <w:ind w:right="220"/>
        <w:spacing w:after="0" w:line="259" w:lineRule="auto"/>
        <w:rPr>
          <w:sz w:val="20"/>
          <w:szCs w:val="20"/>
          <w:color w:val="auto"/>
        </w:rPr>
      </w:pPr>
      <w:r>
        <w:rPr>
          <w:rFonts w:ascii="Arial" w:cs="Arial" w:eastAsia="Arial" w:hAnsi="Arial"/>
          <w:sz w:val="18"/>
          <w:szCs w:val="18"/>
          <w:color w:val="auto"/>
        </w:rPr>
        <w:t>We prohibit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 and which have not been publicly disclosed.</w:t>
      </w:r>
    </w:p>
    <w:p>
      <w:pPr>
        <w:spacing w:after="0" w:line="187"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Annual Risk Reviews</w:t>
      </w:r>
    </w:p>
    <w:p>
      <w:pPr>
        <w:spacing w:after="0" w:line="20" w:lineRule="exact"/>
        <w:rPr>
          <w:sz w:val="20"/>
          <w:szCs w:val="20"/>
          <w:color w:val="auto"/>
        </w:rPr>
      </w:pPr>
      <w:r>
        <w:rPr>
          <w:sz w:val="20"/>
          <w:szCs w:val="20"/>
          <w:color w:val="auto"/>
        </w:rPr>
        <w:br w:type="column"/>
      </w:r>
    </w:p>
    <w:p>
      <w:pPr>
        <w:ind w:right="160"/>
        <w:spacing w:after="0" w:line="342" w:lineRule="auto"/>
        <w:rPr>
          <w:sz w:val="20"/>
          <w:szCs w:val="20"/>
          <w:color w:val="auto"/>
        </w:rPr>
      </w:pPr>
      <w:r>
        <w:rPr>
          <w:rFonts w:ascii="Arial" w:cs="Arial" w:eastAsia="Arial" w:hAnsi="Arial"/>
          <w:sz w:val="16"/>
          <w:szCs w:val="16"/>
          <w:color w:val="auto"/>
        </w:rPr>
        <w:t>The Company conducts an annual compensation-related risk review and presents findings and suggested risk mitigation actions to both the Audit and Management Development and Compensation Committees.</w:t>
      </w:r>
    </w:p>
    <w:p>
      <w:pPr>
        <w:spacing w:after="0" w:line="20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compensation programs also maintain alignment with shareholders by not including certain features:</w:t>
      </w:r>
    </w:p>
    <w:p>
      <w:pPr>
        <w:sectPr>
          <w:pgSz w:w="11900" w:h="16838" w:orient="portrait"/>
          <w:cols w:equalWidth="0" w:num="1">
            <w:col w:w="11420"/>
          </w:cols>
          <w:pgMar w:left="240" w:top="121" w:right="239" w:bottom="1440" w:gutter="0" w:footer="0" w:header="0"/>
        </w:sectPr>
      </w:pPr>
    </w:p>
    <w:p>
      <w:pPr>
        <w:spacing w:after="0" w:line="19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No Excessive Severance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Control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For the chief executive officer, the maximum cash benefit is equal to 3x salary and the average bonus payment received in the three years immediately prior to the date the change of control occurs. For all other named executive officers, the maximum cash benefit is equal to 2x salary and the average bonus payment received in the three years immediately prior to the date the change of control occurs. Unexercised stock options become fully exercisable or, if cancelled, each named executive officer shall be given cash or stock equal to the in-the-money value of the cancelled stock options</w:t>
      </w:r>
    </w:p>
    <w:p>
      <w:pPr>
        <w:spacing w:after="0" w:line="200" w:lineRule="exact"/>
        <w:rPr>
          <w:sz w:val="20"/>
          <w:szCs w:val="20"/>
          <w:color w:val="auto"/>
        </w:rPr>
      </w:pPr>
    </w:p>
    <w:p>
      <w:pPr>
        <w:sectPr>
          <w:pgSz w:w="11900" w:h="16838" w:orient="portrait"/>
          <w:cols w:equalWidth="0" w:num="5">
            <w:col w:w="1200" w:space="240"/>
            <w:col w:w="540" w:space="240"/>
            <w:col w:w="140" w:space="240"/>
            <w:col w:w="540" w:space="520"/>
            <w:col w:w="7760"/>
          </w:cols>
          <w:pgMar w:left="240" w:top="121" w:right="239" w:bottom="1440" w:gutter="0" w:footer="0" w:header="0"/>
          <w:type w:val="continuous"/>
        </w:sect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 Employment Agreements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maintain any employment agreements with its executives.</w:t>
      </w:r>
    </w:p>
    <w:p>
      <w:pPr>
        <w:spacing w:after="0" w:line="200" w:lineRule="exact"/>
        <w:rPr>
          <w:sz w:val="20"/>
          <w:szCs w:val="20"/>
          <w:color w:val="auto"/>
        </w:rPr>
      </w:pPr>
    </w:p>
    <w:p>
      <w:pPr>
        <w:sectPr>
          <w:pgSz w:w="11900" w:h="16838" w:orient="portrait"/>
          <w:cols w:equalWidth="0" w:num="2">
            <w:col w:w="2940" w:space="720"/>
            <w:col w:w="7760"/>
          </w:cols>
          <w:pgMar w:left="240" w:top="121" w:right="239" w:bottom="1440" w:gutter="0" w:footer="0" w:header="0"/>
          <w:type w:val="continuous"/>
        </w:sectPr>
      </w:pPr>
    </w:p>
    <w:p>
      <w:pPr>
        <w:spacing w:after="0" w:line="4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200" w:lineRule="exact"/>
        <w:rPr>
          <w:sz w:val="20"/>
          <w:szCs w:val="20"/>
          <w:color w:val="auto"/>
        </w:rPr>
      </w:pPr>
    </w:p>
    <w:p>
      <w:pPr>
        <w:sectPr>
          <w:pgSz w:w="11900" w:h="16838" w:orient="portrait"/>
          <w:cols w:equalWidth="0" w:num="2">
            <w:col w:w="3040" w:space="620"/>
            <w:col w:w="7760"/>
          </w:cols>
          <w:pgMar w:left="240" w:top="12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seek to align the interests of our executives with those of our investors by evaluating performance on the basis of key financial measurements which we believe closely correlate to long-term shareholder value. To this end, we have structured our compensation program around the following principles:</w:t>
      </w:r>
    </w:p>
    <w:p>
      <w:pPr>
        <w:spacing w:after="0" w:line="20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targeted at the median of our compensation peers;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Incentivize long-term shareholder value creation by encouraging behaviors which facilitate long-term success without undue risk taking;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Realize top-tier company performance through a merit-based, pay-for-performance culture that is aligned with our Company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and Compensation Committee’s Role</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Committee is responsible for monitoring and approving the compensation of the Company's named executive officers.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including compliance with executive share ownership requirements; approves all severance policies; and consults with management regarding employee compensation generally. With respect to executive officers, at the beginning of each year, the Committee sets base salaries, approves the cash and equity incentive awards and establishes the objective performance targets to be achieved for the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Neither the Committee nor management engaged with a compensation consultant in fiscal 2013. Management obtained data regarding comparable executive officer compensation through a standard data subscription with Equliar, Inc. at the end of fiscal 2012. As further described in this Compensation Discussion and Analysis, management used this data to make recommendations to the Committee regarding compensation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chief executive officer makes recommendations to the Committee concerning compensation for each named executive officer other than himself. In setting compensation for our named executive officers, the Committee takes into consideration these recommendations, along with the results of the Company during the fiscal year, the level of responsibility, demonstrated leadership capability, the compensation levels of executives in comparable roles from within our peer group and the results of annual performance reviews which, for our chief executive officer, includes feedback from his direct reports and a self-appraisal. Our chief executive officer did not attend the portion of any committee meeting during which the Committee discussed matters related specifically to his compensation.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Committee reviews executive officer compensation tally sheets each year. These summaries set forth the dollar amount of all components of each named executive officer's compensation, including base salary, annual target and actual cash incentive compensation, annual equity incentive compensation, value of outstanding equity, stock option exercises during the year, value of Brady's contribution to retirement plans, value of company-provided health and welfare benefits and taxes. Reviewing this information allows the Committee to see what an executive officer's total compensation is and how a potential change to an element of our compensation program would affect an executive officer's overall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total compensation program includes five components: base salary, annual cash incentives, long-term equity incentives, employee benefits and perquisites. Each component serves a particular purpose and, therefore, each is considered independent of the other components, although all five components combine to provide a holistic total compensation approach. We use these components of compensation to attract, retain, motivate, develop and reward our executives.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base salary, annual cash and long-term equity incentive components are determined through a pay-for-performance approach, targeted at market median for the achievement of performance goals with an opportunity for upper quartile pay when top-tier performance is achieved. Our compensation structure is balanced by the payment of below market median compensation to our named executive officers when actual fiscal results do not meet or exceed expected fiscal results, such as in fiscal 2012 and 2013. The following table describes the purpose of each performance-based component and how that component is related to our pay-for-performance approach:</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ind w:left="860"/>
              <w:spacing w:after="0"/>
              <w:rPr>
                <w:sz w:val="20"/>
                <w:szCs w:val="20"/>
                <w:color w:val="auto"/>
              </w:rPr>
            </w:pPr>
            <w:r>
              <w:rPr>
                <w:rFonts w:ascii="Arial" w:cs="Arial" w:eastAsia="Arial" w:hAnsi="Arial"/>
                <w:sz w:val="14"/>
                <w:szCs w:val="14"/>
                <w:b w:val="1"/>
                <w:bCs w:val="1"/>
                <w:color w:val="auto"/>
              </w:rPr>
              <w:t>Compensation</w:t>
            </w:r>
          </w:p>
        </w:tc>
        <w:tc>
          <w:tcPr>
            <w:tcW w:w="3260" w:type="dxa"/>
            <w:vAlign w:val="bottom"/>
          </w:tcPr>
          <w:p>
            <w:pPr>
              <w:ind w:left="840"/>
              <w:spacing w:after="0"/>
              <w:rPr>
                <w:sz w:val="20"/>
                <w:szCs w:val="20"/>
                <w:color w:val="auto"/>
              </w:rPr>
            </w:pPr>
            <w:r>
              <w:rPr>
                <w:rFonts w:ascii="Arial" w:cs="Arial" w:eastAsia="Arial" w:hAnsi="Arial"/>
                <w:sz w:val="14"/>
                <w:szCs w:val="14"/>
                <w:b w:val="1"/>
                <w:bCs w:val="1"/>
                <w:color w:val="auto"/>
              </w:rPr>
              <w:t>Purpose of Compensation</w:t>
            </w:r>
          </w:p>
        </w:tc>
      </w:tr>
      <w:tr>
        <w:trPr>
          <w:trHeight w:val="192"/>
        </w:trPr>
        <w:tc>
          <w:tcPr>
            <w:tcW w:w="26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Component</w:t>
            </w:r>
          </w:p>
        </w:tc>
        <w:tc>
          <w:tcPr>
            <w:tcW w:w="120" w:type="dxa"/>
            <w:vAlign w:val="bottom"/>
          </w:tcPr>
          <w:p>
            <w:pPr>
              <w:spacing w:after="0"/>
              <w:rPr>
                <w:sz w:val="16"/>
                <w:szCs w:val="16"/>
                <w:color w:val="auto"/>
              </w:rPr>
            </w:pPr>
          </w:p>
        </w:tc>
        <w:tc>
          <w:tcPr>
            <w:tcW w:w="32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Component</w:t>
            </w:r>
          </w:p>
        </w:tc>
      </w:tr>
      <w:tr>
        <w:trPr>
          <w:trHeight w:val="228"/>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Base salary</w:t>
            </w:r>
          </w:p>
        </w:tc>
        <w:tc>
          <w:tcPr>
            <w:tcW w:w="3260" w:type="dxa"/>
            <w:vAlign w:val="bottom"/>
          </w:tcPr>
          <w:p>
            <w:pPr>
              <w:ind w:left="20"/>
              <w:spacing w:after="0"/>
              <w:rPr>
                <w:sz w:val="20"/>
                <w:szCs w:val="20"/>
                <w:color w:val="auto"/>
              </w:rPr>
            </w:pPr>
            <w:r>
              <w:rPr>
                <w:rFonts w:ascii="Arial" w:cs="Arial" w:eastAsia="Arial" w:hAnsi="Arial"/>
                <w:sz w:val="18"/>
                <w:szCs w:val="18"/>
                <w:color w:val="auto"/>
              </w:rPr>
              <w:t>A fixed level of income security used to</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attract and retain employees by</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compensating them for the primary</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functions and responsibilities of the</w:t>
            </w: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position.</w:t>
            </w:r>
          </w:p>
        </w:tc>
      </w:tr>
      <w:tr>
        <w:trPr>
          <w:trHeight w:val="418"/>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Annual cash incentive awards</w:t>
            </w:r>
          </w:p>
        </w:tc>
        <w:tc>
          <w:tcPr>
            <w:tcW w:w="3260" w:type="dxa"/>
            <w:vAlign w:val="bottom"/>
          </w:tcPr>
          <w:p>
            <w:pPr>
              <w:ind w:left="20"/>
              <w:spacing w:after="0"/>
              <w:rPr>
                <w:sz w:val="20"/>
                <w:szCs w:val="20"/>
                <w:color w:val="auto"/>
              </w:rPr>
            </w:pPr>
            <w:r>
              <w:rPr>
                <w:rFonts w:ascii="Arial" w:cs="Arial" w:eastAsia="Arial" w:hAnsi="Arial"/>
                <w:sz w:val="18"/>
                <w:szCs w:val="18"/>
                <w:color w:val="auto"/>
              </w:rPr>
              <w:t>To attract, retain, motivate and reward</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employees for achieving or exceeding</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w w:val="94"/>
              </w:rPr>
              <w:t>annual performance goals at company and</w:t>
            </w: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regional levels.</w:t>
            </w:r>
          </w:p>
        </w:tc>
      </w:tr>
      <w:tr>
        <w:trPr>
          <w:trHeight w:val="418"/>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Annual equity incentive awards:</w:t>
            </w:r>
          </w:p>
        </w:tc>
        <w:tc>
          <w:tcPr>
            <w:tcW w:w="3260" w:type="dxa"/>
            <w:vAlign w:val="bottom"/>
          </w:tcPr>
          <w:p>
            <w:pPr>
              <w:ind w:left="20"/>
              <w:spacing w:after="0"/>
              <w:rPr>
                <w:sz w:val="20"/>
                <w:szCs w:val="20"/>
                <w:color w:val="auto"/>
              </w:rPr>
            </w:pPr>
            <w:r>
              <w:rPr>
                <w:rFonts w:ascii="Arial" w:cs="Arial" w:eastAsia="Arial" w:hAnsi="Arial"/>
                <w:sz w:val="18"/>
                <w:szCs w:val="18"/>
                <w:color w:val="auto"/>
                <w:w w:val="96"/>
              </w:rPr>
              <w:t>To attract, retain, motivate and reward top</w:t>
            </w:r>
          </w:p>
        </w:tc>
      </w:tr>
      <w:tr>
        <w:trPr>
          <w:trHeight w:val="216"/>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Time-based stock options</w:t>
            </w:r>
          </w:p>
        </w:tc>
        <w:tc>
          <w:tcPr>
            <w:tcW w:w="3260" w:type="dxa"/>
            <w:vAlign w:val="bottom"/>
          </w:tcPr>
          <w:p>
            <w:pPr>
              <w:ind w:left="20"/>
              <w:spacing w:after="0"/>
              <w:rPr>
                <w:sz w:val="20"/>
                <w:szCs w:val="20"/>
                <w:color w:val="auto"/>
              </w:rPr>
            </w:pPr>
            <w:r>
              <w:rPr>
                <w:rFonts w:ascii="Arial" w:cs="Arial" w:eastAsia="Arial" w:hAnsi="Arial"/>
                <w:sz w:val="18"/>
                <w:szCs w:val="18"/>
                <w:color w:val="auto"/>
                <w:w w:val="99"/>
              </w:rPr>
              <w:t>talent for the successful creation of long-</w:t>
            </w: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term stockholder value.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Compensation Component in Relation</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13335</wp:posOffset>
            </wp:positionV>
            <wp:extent cx="32931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base salary increase an employee receives depends upon the employee's individual performance, the employee's displayed skills and competencies and market competitiveness.</w:t>
      </w:r>
    </w:p>
    <w:p>
      <w:pPr>
        <w:spacing w:after="0" w:line="200" w:lineRule="exact"/>
        <w:rPr>
          <w:sz w:val="20"/>
          <w:szCs w:val="20"/>
          <w:color w:val="auto"/>
        </w:rPr>
      </w:pPr>
    </w:p>
    <w:p>
      <w:pPr>
        <w:spacing w:after="0" w:line="39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Financial performance determines the actual amount of the executive's annual cash incentive award. Award amounts are “self-funded” because they are included in the financial performance results when determining actual financial performance.</w:t>
      </w:r>
    </w:p>
    <w:p>
      <w:pPr>
        <w:spacing w:after="0" w:line="17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Market competitive grant levels are used to determine the amount of equity granted to each executive, established within an equity grant budget based on the Black-Scholes methodology for valuing stock options.</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Stock options are inherently performance-based in that the stock price must increase over time to provide compensation value to the executive.</w:t>
      </w:r>
    </w:p>
    <w:p>
      <w:pPr>
        <w:spacing w:after="0" w:line="200" w:lineRule="exact"/>
        <w:rPr>
          <w:sz w:val="20"/>
          <w:szCs w:val="20"/>
          <w:color w:val="auto"/>
        </w:rPr>
      </w:pPr>
    </w:p>
    <w:p>
      <w:pPr>
        <w:sectPr>
          <w:pgSz w:w="11900" w:h="16838" w:orient="portrait"/>
          <w:cols w:equalWidth="0" w:num="2">
            <w:col w:w="6000" w:space="140"/>
            <w:col w:w="5280"/>
          </w:cols>
          <w:pgMar w:left="240" w:top="121"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Our Total Compensation Component Levels</w:t>
      </w:r>
    </w:p>
    <w:p>
      <w:pPr>
        <w:spacing w:after="0" w:line="17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Committee uses peer group data to test the reasonableness and competitiveness of several components of compensation, including base salaries, annual cash incentives, and long-term equity incentives of positions similar to those of our named executive officers. A total compensation benchmarking analysis of peer companies selected on the basis of revenue size and industry was conducted using publicly available data sourced through Equilar, Inc. The peer group used for the fiscal 2013 analysis included the following 32 companies: Actuant Corporation; Acuity Brands Inc.; AMETEK Inc.; Amphenol Corporation; A.O. Smith Corporation; Avery Dennison Corporation; Barnes Group Inc; Bemis Company Inc.; Curtiss-Wright Corporation; Donaldson Company, Inc; Dover Corporation; Fastenal Company; Graco Inc; H.B. Fuller Company; Hexcel Corporation; HNI Corporation; IDEX Corporation; Lincoln Electric Holdings, Inc.; Mine Safety Appliances Company; Molex Incorporated; MSC Industrial Direct Co.; Nordson Corporation; Plexus Corp; Polaris Industries Inc; PolyOne Corporation; Regal-Beloit Corp; Rogers Corporation; Roper Industries; Snap-On Incorporated; The Toro Company; W.W. Grainger, Inc. and; Zebra Technologies Corporation. The Committee continued to assess the revenue of the companies in the fiscal 2013 peer group and, based on that assessment, additional revisions to the group were made for fiscal 2014 to more closely align the Company with a peer group of companies with similar annual revenue(s).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Based on our analysis of the fiscal 2013 peer group used for determining fiscal 2013 compensation, performed in July 2012, the base salaries of our named executive officers were generally at the median of our peers and fiscal 2012 target total compensation of our named executive officers, inclusive of base salary, cash incentives and time- and performance-vested stock options, was above the median of our peer companies, although certain of the named executive officers were above and others were below such mark. At management's recommendation to the Committee, grants of performance-based stock options were not made in fiscal 2013 in order to fund initiatives important to the long-term success of the business and to fund merit rewards for the general employee population globally. The elimination of the performance-based stock options resulted in target total compensation below the median target total compensation of the peer group companies for fiscal 2013.</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Named Executive Officer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Other than with respect to Mr. Williamson, Mr. Jaehnert did not recommend and the Committee did not approve increases in base salary for the named executive officers because they were paid base salaries consistent with the median of base salaries for similar positions at our peer group companies. Although Mr. Williamson's base salary is above the median of our peer companies, Mr. Jaehnert recommended and the Committee agreed to provide a 3% increase in base salary for Mr. Williamson for fiscal 2013, which was reflective of his performance during the prior year in driving profitability growth within the Americas. The Committee has determined that Mr. Jaehnert's base salary continues to be competitive with the median base salary of CEOs at our peer companies; therefore, it has not increased his base salary since the start of fiscal 2011.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2013</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Percentage Increase</w:t>
            </w:r>
          </w:p>
        </w:tc>
        <w:tc>
          <w:tcPr>
            <w:tcW w:w="100" w:type="dxa"/>
            <w:vAlign w:val="bottom"/>
            <w:tcBorders>
              <w:bottom w:val="single" w:sz="8" w:color="CCEEFF"/>
            </w:tcBorders>
          </w:tcPr>
          <w:p>
            <w:pPr>
              <w:spacing w:after="0"/>
              <w:rPr>
                <w:sz w:val="16"/>
                <w:szCs w:val="16"/>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Frank M. Jaehnert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Thomas J. Felmer</w:t>
            </w: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377,500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377,500</w:t>
            </w:r>
          </w:p>
        </w:tc>
        <w:tc>
          <w:tcPr>
            <w:tcW w:w="100" w:type="dxa"/>
            <w:vAlign w:val="bottom"/>
          </w:tcPr>
          <w:p>
            <w:pPr>
              <w:spacing w:after="0"/>
              <w:rPr>
                <w:sz w:val="21"/>
                <w:szCs w:val="21"/>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Allan J. Klotsche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321,500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Stephen Millar (1)</w:t>
            </w: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307,611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304,313</w:t>
            </w:r>
          </w:p>
        </w:tc>
        <w:tc>
          <w:tcPr>
            <w:tcW w:w="100" w:type="dxa"/>
            <w:vAlign w:val="bottom"/>
          </w:tcPr>
          <w:p>
            <w:pPr>
              <w:spacing w:after="0"/>
              <w:rPr>
                <w:sz w:val="21"/>
                <w:szCs w:val="21"/>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 Sephton (2)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360,226</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Matthew O. Williamson</w:t>
            </w: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372,500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383,675</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bl>
    <w:p>
      <w:pPr>
        <w:spacing w:after="0" w:line="229"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table for Mr. Millar, who lived and worked in Australia, were paid to him in Australian Dollars. The amounts shown in U.S. dollars in the table above were converted from Australian Dollars at the average exchange rate for fiscal 2013: 1USD = 0.9825AUD; 2012: 1USD = 0.9720AUD. The difference between fiscal 2012 and fiscal 2013 base salaries is entirely related to exchange rate fluctuation. Mr. Millar did not experience a base salary decrease in fiscal 2013.</w:t>
      </w:r>
    </w:p>
    <w:p>
      <w:pPr>
        <w:spacing w:after="0" w:line="186"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table for Mr. Sephton, who lived and worked in the United Kingdom, were paid to him in British Pounds. The amounts shown in U.S. dollars in the table above were converted from British Pounds at the average exchange rate for fiscal 2013: 1USD = 0.6385GBP; 2012: 1USD =0.6336GBP. The difference between the fiscal 2012 and fiscal 2013 base salaries is entirely related to exchange rate fluctuation. Mr. Sephton did not experience a base salary decrease in fiscal 2013.</w:t>
      </w:r>
    </w:p>
    <w:p>
      <w:pPr>
        <w:spacing w:after="0" w:line="13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salary detail in the table above reflects the annualized 12-month salary for each executive. The salaries in the Summary Compensation Table reflect fiscal year compensation earned including three (3) months at fiscal 2012 rates and nine (9) months at fiscal 2013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named executive officers participate in an annual cash incentive plan, which is based on fiscal year financial results. Set forth below is a description of the fiscal 2013 financial measures:</w:t>
      </w:r>
    </w:p>
    <w:p>
      <w:pPr>
        <w:spacing w:after="0" w:line="333" w:lineRule="exact"/>
        <w:rPr>
          <w:sz w:val="20"/>
          <w:szCs w:val="20"/>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Core Sales Growth: Core sales are defined as total sales adjusted for foreign currency exchange and acquisitions and divestitures in the last 12 months. Core sales are also known as “organic sales” and “base sales.” Regional and total Company core sales growth is reported quarterly and annually in the Company's 10-Q and 10-K SEC filings.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Income from Operations (IFO) growth before expenses for R&amp;D: Total Company and regional IFO is defined as total Company sales less cost of goods sold, selling and group leadership expenses. IFO growth excludes currency translation. IFO for the prior year and the current year is restated at the current budgeted exchange rates for the growth calculation.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Income Growth: Net income is defined as SEC reported net income. Net income growth is reported net income at actual exchange rates for the current year compared to reported net income for the prior year. Net income is reported quarterly and annually in the Company's 10-Q and 10-K SEC filings.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Individual Performance: Funded by the achievement of net income growth, each named executive officer is evaluated on the attainment of goals agreed at the start of the fiscal year to be critical to the execution of the Company's strategy.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Jaehnert, Felmer and Klotsche</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cash incentive payable to Messrs. Jaehnert, Felmer and Klotsche for fiscal 2013 was based on total company core sales growth, IFO growth before expenses for R&amp;D, net income growth and individual performance. We use core sales growth because we believe that the long-term value of our enterprise depends on our ability to grow revenue without regard for acquisitions. We use IFO before R&amp;D growth because we believe it aligns to the management of sales and expenses, and we use net income growth to focus on effectively managing our costs while growing our revenue. Funded by the achievement of our net income goals, individual performance is used to assess the delivery upon key performance indicators (KPIs) determined to be critical to the execution of the Company's strategy. For 2013, we set the target core sales growth performance goal at 5%, the IFO growth before expenses for R&amp;D goal at 10% and the target net income growth goal at 32.9%. Additionally, the Committee established that for any bonus to be payable for the achievement of sales growth or IFO growth before expenses for R&amp;D, the Company must achieve at least the threshold level of net income growth, 20.7%.</w:t>
      </w:r>
    </w:p>
    <w:p>
      <w:pPr>
        <w:spacing w:after="0" w:line="2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fiscal 2013, no bonus was payable as the total company organic sales, IFO before R&amp;D and net income threshold were not achieved. The threshold, target, maximum and actual amounts for Messrs. Jaehnert, Felmer and Klotsche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20" w:type="dxa"/>
            <w:vAlign w:val="bottom"/>
            <w:vMerge w:val="restart"/>
          </w:tcPr>
          <w:p>
            <w:pPr>
              <w:spacing w:after="0"/>
              <w:rPr>
                <w:sz w:val="14"/>
                <w:szCs w:val="14"/>
                <w:color w:val="auto"/>
              </w:rPr>
            </w:pPr>
          </w:p>
        </w:tc>
        <w:tc>
          <w:tcPr>
            <w:tcW w:w="13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Threshold</w:t>
            </w:r>
          </w:p>
        </w:tc>
        <w:tc>
          <w:tcPr>
            <w:tcW w:w="120" w:type="dxa"/>
            <w:vAlign w:val="bottom"/>
            <w:vMerge w:val="restart"/>
          </w:tcPr>
          <w:p>
            <w:pPr>
              <w:spacing w:after="0"/>
              <w:rPr>
                <w:sz w:val="14"/>
                <w:szCs w:val="14"/>
                <w:color w:val="auto"/>
              </w:rPr>
            </w:pPr>
          </w:p>
        </w:tc>
        <w:tc>
          <w:tcPr>
            <w:tcW w:w="13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vMerge w:val="restart"/>
          </w:tcPr>
          <w:p>
            <w:pPr>
              <w:spacing w:after="0"/>
              <w:rPr>
                <w:sz w:val="14"/>
                <w:szCs w:val="14"/>
                <w:color w:val="auto"/>
              </w:rPr>
            </w:pPr>
          </w:p>
        </w:tc>
        <w:tc>
          <w:tcPr>
            <w:tcW w:w="1500" w:type="dxa"/>
            <w:vAlign w:val="bottom"/>
            <w:gridSpan w:val="2"/>
          </w:tcPr>
          <w:p>
            <w:pPr>
              <w:ind w:left="500"/>
              <w:spacing w:after="0"/>
              <w:rPr>
                <w:sz w:val="20"/>
                <w:szCs w:val="20"/>
                <w:color w:val="auto"/>
              </w:rPr>
            </w:pPr>
            <w:r>
              <w:rPr>
                <w:rFonts w:ascii="Arial" w:cs="Arial" w:eastAsia="Arial" w:hAnsi="Arial"/>
                <w:sz w:val="14"/>
                <w:szCs w:val="14"/>
                <w:b w:val="1"/>
                <w:bCs w:val="1"/>
                <w:color w:val="auto"/>
              </w:rPr>
              <w:t>Actual</w:t>
            </w:r>
          </w:p>
        </w:tc>
        <w:tc>
          <w:tcPr>
            <w:tcW w:w="1320" w:type="dxa"/>
            <w:vAlign w:val="bottom"/>
          </w:tcPr>
          <w:p>
            <w:pPr>
              <w:jc w:val="right"/>
              <w:ind w:right="377"/>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 of Salary)</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Core Sales Growth (30%)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12.5% or more</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IFO Growth before expenses for R&amp;D (30%)</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15.0% or more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Growth (20%)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51.3% or more</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Individual Performance (20%)</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Varies by Individual</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Award as a Percentage of Base Salary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720"/>
              <w:spacing w:after="0"/>
              <w:rPr>
                <w:sz w:val="20"/>
                <w:szCs w:val="20"/>
                <w:color w:val="auto"/>
              </w:rPr>
            </w:pPr>
            <w:r>
              <w:rPr>
                <w:rFonts w:ascii="Arial" w:cs="Arial" w:eastAsia="Arial" w:hAnsi="Arial"/>
                <w:sz w:val="18"/>
                <w:szCs w:val="18"/>
                <w:color w:val="auto"/>
              </w:rPr>
              <w:t>F. Jaehnert</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 Felmer</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700" w:type="dxa"/>
            <w:vAlign w:val="bottom"/>
            <w:gridSpan w:val="2"/>
          </w:tcPr>
          <w:p>
            <w:pPr>
              <w:ind w:left="720"/>
              <w:spacing w:after="0"/>
              <w:rPr>
                <w:sz w:val="20"/>
                <w:szCs w:val="20"/>
                <w:color w:val="auto"/>
              </w:rPr>
            </w:pPr>
            <w:r>
              <w:rPr>
                <w:rFonts w:ascii="Arial" w:cs="Arial" w:eastAsia="Arial" w:hAnsi="Arial"/>
                <w:sz w:val="18"/>
                <w:szCs w:val="18"/>
                <w:color w:val="auto"/>
              </w:rPr>
              <w:t>A. Klotsche</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Millar, Sephton and Williamson</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cash incentive payable to Messrs. Millar, Sephton and Williamson for fiscal 2013 was based on achievement of regional core sales growth, regional IFO growth before expenses for R&amp;D, net income and individual performance. We use regional sales and regional IFO growth before expenses for R&amp;D because we believe it aligns Messrs. Millar, Sephton and Williamson to the management of sales and expenses directly within their control as the President-Brady Asia Pacific, Former President-Brady EMEA and President-Americas, respectively. Like the other named executive officers, the company-wide performance measures for Messrs. Millar, Sephton and Williamson focused on driving greater overall profitability. Funded by the achievement of our net income goals, individual performance is evaluated against key performance indicators (KPIs) determined to be critical to the execution of the Company's strategy. Messrs. Millar, Sephton and Williamson did not earn a bonus payout for fiscal 2013 because the Asia Pacific, EMEA and Americas operating segments did not achieve the core sales and IFO growth before expenses for R&amp;D thresholds set for each region or platform and the Company did not achieve the threshold level of net income for the year.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2013, the threshold, target, maximum and actual amounts for Messrs. Millar, Sephton and Williamson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20" w:type="dxa"/>
            <w:vAlign w:val="bottom"/>
            <w:vMerge w:val="restart"/>
          </w:tcPr>
          <w:p>
            <w:pPr>
              <w:spacing w:after="0"/>
              <w:rPr>
                <w:sz w:val="14"/>
                <w:szCs w:val="14"/>
                <w:color w:val="auto"/>
              </w:rPr>
            </w:pPr>
          </w:p>
        </w:tc>
        <w:tc>
          <w:tcPr>
            <w:tcW w:w="13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Threshold</w:t>
            </w:r>
          </w:p>
        </w:tc>
        <w:tc>
          <w:tcPr>
            <w:tcW w:w="100" w:type="dxa"/>
            <w:vAlign w:val="bottom"/>
            <w:vMerge w:val="restart"/>
          </w:tcPr>
          <w:p>
            <w:pPr>
              <w:spacing w:after="0"/>
              <w:rPr>
                <w:sz w:val="14"/>
                <w:szCs w:val="14"/>
                <w:color w:val="auto"/>
              </w:rPr>
            </w:pPr>
          </w:p>
        </w:tc>
        <w:tc>
          <w:tcPr>
            <w:tcW w:w="14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4"/>
                <w:szCs w:val="14"/>
                <w:color w:val="auto"/>
              </w:rPr>
            </w:pPr>
          </w:p>
        </w:tc>
        <w:tc>
          <w:tcPr>
            <w:tcW w:w="15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Maximum</w:t>
            </w:r>
          </w:p>
        </w:tc>
        <w:tc>
          <w:tcPr>
            <w:tcW w:w="120" w:type="dxa"/>
            <w:vAlign w:val="bottom"/>
            <w:vMerge w:val="restart"/>
          </w:tcPr>
          <w:p>
            <w:pPr>
              <w:spacing w:after="0"/>
              <w:rPr>
                <w:sz w:val="14"/>
                <w:szCs w:val="14"/>
                <w:color w:val="auto"/>
              </w:rPr>
            </w:pPr>
          </w:p>
        </w:tc>
        <w:tc>
          <w:tcPr>
            <w:tcW w:w="1500" w:type="dxa"/>
            <w:vAlign w:val="bottom"/>
            <w:gridSpan w:val="2"/>
          </w:tcPr>
          <w:p>
            <w:pPr>
              <w:ind w:left="500"/>
              <w:spacing w:after="0"/>
              <w:rPr>
                <w:sz w:val="20"/>
                <w:szCs w:val="20"/>
                <w:color w:val="auto"/>
              </w:rPr>
            </w:pPr>
            <w:r>
              <w:rPr>
                <w:rFonts w:ascii="Arial" w:cs="Arial" w:eastAsia="Arial" w:hAnsi="Arial"/>
                <w:sz w:val="14"/>
                <w:szCs w:val="14"/>
                <w:b w:val="1"/>
                <w:bCs w:val="1"/>
                <w:color w:val="auto"/>
              </w:rPr>
              <w:t>Actual</w:t>
            </w:r>
          </w:p>
        </w:tc>
        <w:tc>
          <w:tcPr>
            <w:tcW w:w="1320" w:type="dxa"/>
            <w:vAlign w:val="bottom"/>
          </w:tcPr>
          <w:p>
            <w:pPr>
              <w:jc w:val="right"/>
              <w:ind w:right="377"/>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 of Salary)</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Regional Core Sales Growth (30%)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12.5% or more</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IFO Growth before expenses for R&amp;D (30%)</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15.0% or more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Growth (20%)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51.3% or more</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Individual Performance (20%)</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Varies by Individual</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Award as a Percentage of Base Salary</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720"/>
              <w:spacing w:after="0"/>
              <w:rPr>
                <w:sz w:val="20"/>
                <w:szCs w:val="20"/>
                <w:color w:val="auto"/>
              </w:rPr>
            </w:pPr>
            <w:r>
              <w:rPr>
                <w:rFonts w:ascii="Arial" w:cs="Arial" w:eastAsia="Arial" w:hAnsi="Arial"/>
                <w:sz w:val="18"/>
                <w:szCs w:val="18"/>
                <w:color w:val="auto"/>
              </w:rPr>
              <w:t>S. Millar</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P. Sephton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840" w:type="dxa"/>
            <w:vAlign w:val="bottom"/>
            <w:gridSpan w:val="2"/>
          </w:tcPr>
          <w:p>
            <w:pPr>
              <w:ind w:left="720"/>
              <w:spacing w:after="0"/>
              <w:rPr>
                <w:sz w:val="20"/>
                <w:szCs w:val="20"/>
                <w:color w:val="auto"/>
              </w:rPr>
            </w:pPr>
            <w:r>
              <w:rPr>
                <w:rFonts w:ascii="Arial" w:cs="Arial" w:eastAsia="Arial" w:hAnsi="Arial"/>
                <w:sz w:val="18"/>
                <w:szCs w:val="18"/>
                <w:color w:val="auto"/>
              </w:rPr>
              <w:t>M. Williamson</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target annual cash incentive award that would be payable to each executive officer is calculated as a percentage of the officer's eligible compensation defined as base salary in effect during the fiscal year, pro-rated to reflect base salary adjustments throughout the fiscal year.</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2013, the Committee reviewed the impact of unusual and unforeseen events on the payout of bonuses and determined that none would be considered in the calculation of bonus payouts. In general, the Committee regularly reviews and makes decisions on the impact of unusual events on a case-by-case basis and continually evaluates compensation policies and practices in light of ongoing developments and best practices in the area of incentive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historically utilized a combination of performance-based stock options, time-based stock options and performance-based restricted shares to attract, retain and motivate key employees who directly impact the long-term performance of the Company. The size and type of equity awards for executives other than the chief executive officer are determined annually by the Committee with input from the chief executive officer. With regard to the award size given to the chief executive officer, the Committee uses its discretion in combination with market competitive information obtained periodically from Equilar Inc.</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fiscal 2013, the Committee reviewed the Black-Scholes valuations of historical grants and the estimated value of the proposed grants and then authorized fiscal 2013 awards consisting only of time-based stock options equal to the value of such similar options granted in fiscal 2012. At management's recommendation to the Committee, grants of performance-based stock options were not made in fiscal 2013 in order to fund initiatives important to the long-term success of the business and to fund merit rewards for the general employee population globally. The elimination of the performance-based stock options resulted in target total compensation below the median target total compensation of the peer group companies for fiscal 2013.</w:t>
      </w:r>
    </w:p>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Performance-based Stock Options: </w:t>
      </w:r>
      <w:r>
        <w:rPr>
          <w:rFonts w:ascii="Arial" w:cs="Arial" w:eastAsia="Arial" w:hAnsi="Arial"/>
          <w:sz w:val="16"/>
          <w:szCs w:val="16"/>
          <w:color w:val="auto"/>
        </w:rPr>
        <w:t>Although stock options are inherently performance-based in that options have no value unless the stock price increases,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believes that using additional performance criteria for vesting of stock options can serve as an additional motivator for executives to further drive company performance. Performance-based stock options granted in fiscal 2012 have vesting criteria based upon year-over-year diluted EPS growth and an additional opportunity to vest over a two- or three-year period if the compound annual growth rate exceeds the annual target. Performance-based stock options granted prior to fiscal 2012 have vesting criteria based only upon year-over-year diluted EPS growth as measured against the S&amp;P 600.</w:t>
      </w:r>
    </w:p>
    <w:p>
      <w:pPr>
        <w:spacing w:after="0" w:line="10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Time-based Stock Options: </w:t>
      </w:r>
      <w:r>
        <w:rPr>
          <w:rFonts w:ascii="Arial" w:cs="Arial" w:eastAsia="Arial" w:hAnsi="Arial"/>
          <w:sz w:val="16"/>
          <w:szCs w:val="16"/>
          <w:color w:val="auto"/>
        </w:rPr>
        <w:t>Time-based stock option grants in fiscal 2013 were reviewed and approved by the Committee on September 5, 2012,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grant date of September 21, 2012. The grant price was the fair market value of the stock on the grant date, which was calculated as the average of the high and low stock price on that date. The time-based stock options generally vest one-third each year for the first three years and have a ten-year life.</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Performance-based Restricted Stock/Units: </w:t>
      </w:r>
      <w:r>
        <w:rPr>
          <w:rFonts w:ascii="Arial" w:cs="Arial" w:eastAsia="Arial" w:hAnsi="Arial"/>
          <w:sz w:val="18"/>
          <w:szCs w:val="18"/>
          <w:color w:val="auto"/>
        </w:rPr>
        <w:t>Periodically, the Company issues restricted stock or restricted stock units to key executives as an element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overall compensation. In January 2008, the Committee approved the issuance of performance-based restricted stock awards to five of Brady's senior executives including Messrs. Jaehnert, Felmer, Klotsche, Sephton and Williamson. A total of 210,000 restricted shares were issued and included both a performance vesting requirement (earnings per share) and a service vesting requirement (five years). In addition to the original vesting criteria, the restricted stock awards were amended effective July 20, 2011, to include an additional vesting opportunity based upon earnings per share growth for the fiscal years ending July 31, 2013 or July 31, 2014, and a service vesting requirement through July 31, 2014. As of July 31, 2013, none of the vesting criteria for this award have been met.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21, 2012, Mr. Millar was awarded 10,000 restricted stock units with both a performance vesting requirement and a service vesting requirement (two years). This award was approved to align Mr. Millar's incentive opportunity with the earnings per share goal established for the other NEOs in 2008. As of July 31, 2013, the vesting criteria for this award has not been met.</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Based upon input from an external compensation consultant and the Committee's desire to provide an incentive for retention and improved Company performance, effective August 2, 2010, a grant of 100,000 shares of performance-based restricted stock was issued to Mr. Jaehnert. This grant of performance-based restricted stock included both a performance vesting requirement based upon earnings per share growth and a service vesting requirement. The earnings per share growth was satisfied during fiscal 2011 and as of July 31, 2013, 33,333 shares of this award have vested. The remaining 66,667 shares will vest in equal installments on July 31, 2014 and July 31, 2015.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2013 Annual Equity Grants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Officers</w:t>
            </w:r>
          </w:p>
        </w:tc>
        <w:tc>
          <w:tcPr>
            <w:tcW w:w="3500" w:type="dxa"/>
            <w:vAlign w:val="bottom"/>
          </w:tcPr>
          <w:p>
            <w:pPr>
              <w:jc w:val="right"/>
              <w:ind w:right="294"/>
              <w:spacing w:after="0"/>
              <w:rPr>
                <w:sz w:val="20"/>
                <w:szCs w:val="20"/>
                <w:color w:val="auto"/>
              </w:rPr>
            </w:pPr>
            <w:r>
              <w:rPr>
                <w:rFonts w:ascii="Arial" w:cs="Arial" w:eastAsia="Arial" w:hAnsi="Arial"/>
                <w:sz w:val="14"/>
                <w:szCs w:val="14"/>
                <w:b w:val="1"/>
                <w:bCs w:val="1"/>
                <w:color w:val="auto"/>
              </w:rPr>
              <w:t>Number of Time-Based</w:t>
            </w:r>
          </w:p>
        </w:tc>
        <w:tc>
          <w:tcPr>
            <w:tcW w:w="1560" w:type="dxa"/>
            <w:vAlign w:val="bottom"/>
          </w:tcPr>
          <w:p>
            <w:pPr>
              <w:jc w:val="right"/>
              <w:ind w:right="474"/>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Number of Performance-</w:t>
            </w: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2"/>
        </w:trPr>
        <w:tc>
          <w:tcPr>
            <w:tcW w:w="2820" w:type="dxa"/>
            <w:vAlign w:val="bottom"/>
            <w:vMerge w:val="continue"/>
          </w:tcPr>
          <w:p>
            <w:pPr>
              <w:spacing w:after="0"/>
              <w:rPr>
                <w:sz w:val="16"/>
                <w:szCs w:val="16"/>
                <w:color w:val="auto"/>
              </w:rPr>
            </w:pPr>
          </w:p>
        </w:tc>
        <w:tc>
          <w:tcPr>
            <w:tcW w:w="3500" w:type="dxa"/>
            <w:vAlign w:val="bottom"/>
          </w:tcPr>
          <w:p>
            <w:pPr>
              <w:jc w:val="right"/>
              <w:ind w:right="574"/>
              <w:spacing w:after="0"/>
              <w:rPr>
                <w:sz w:val="20"/>
                <w:szCs w:val="20"/>
                <w:color w:val="auto"/>
              </w:rPr>
            </w:pPr>
            <w:r>
              <w:rPr>
                <w:rFonts w:ascii="Arial" w:cs="Arial" w:eastAsia="Arial" w:hAnsi="Arial"/>
                <w:sz w:val="14"/>
                <w:szCs w:val="14"/>
                <w:b w:val="1"/>
                <w:bCs w:val="1"/>
                <w:color w:val="auto"/>
              </w:rPr>
              <w:t>Stock Options</w:t>
            </w:r>
          </w:p>
        </w:tc>
        <w:tc>
          <w:tcPr>
            <w:tcW w:w="1560" w:type="dxa"/>
            <w:vAlign w:val="bottom"/>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940" w:type="dxa"/>
            <w:vAlign w:val="bottom"/>
          </w:tcPr>
          <w:p>
            <w:pPr>
              <w:jc w:val="right"/>
              <w:ind w:right="594"/>
              <w:spacing w:after="0"/>
              <w:rPr>
                <w:sz w:val="20"/>
                <w:szCs w:val="20"/>
                <w:color w:val="auto"/>
              </w:rPr>
            </w:pPr>
            <w:r>
              <w:rPr>
                <w:rFonts w:ascii="Arial" w:cs="Arial" w:eastAsia="Arial" w:hAnsi="Arial"/>
                <w:sz w:val="14"/>
                <w:szCs w:val="14"/>
                <w:b w:val="1"/>
                <w:bCs w:val="1"/>
                <w:color w:val="auto"/>
              </w:rPr>
              <w:t>Based RSUs</w:t>
            </w:r>
          </w:p>
        </w:tc>
        <w:tc>
          <w:tcPr>
            <w:tcW w:w="1480" w:type="dxa"/>
            <w:vAlign w:val="bottom"/>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6"/>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 Jaehnert</w:t>
            </w:r>
          </w:p>
        </w:tc>
        <w:tc>
          <w:tcPr>
            <w:tcW w:w="35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90,000</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$834,741</w:t>
            </w:r>
          </w:p>
        </w:tc>
        <w:tc>
          <w:tcPr>
            <w:tcW w:w="19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_</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T. Felmer</w:t>
            </w:r>
          </w:p>
        </w:tc>
        <w:tc>
          <w:tcPr>
            <w:tcW w:w="3500" w:type="dxa"/>
            <w:vAlign w:val="bottom"/>
          </w:tcPr>
          <w:p>
            <w:pPr>
              <w:jc w:val="right"/>
              <w:ind w:right="214"/>
              <w:spacing w:after="0"/>
              <w:rPr>
                <w:sz w:val="20"/>
                <w:szCs w:val="20"/>
                <w:color w:val="auto"/>
              </w:rPr>
            </w:pPr>
            <w:r>
              <w:rPr>
                <w:rFonts w:ascii="Arial" w:cs="Arial" w:eastAsia="Arial" w:hAnsi="Arial"/>
                <w:sz w:val="18"/>
                <w:szCs w:val="18"/>
                <w:color w:val="auto"/>
              </w:rPr>
              <w:t>45,500</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$422,008</w:t>
            </w:r>
          </w:p>
        </w:tc>
        <w:tc>
          <w:tcPr>
            <w:tcW w:w="1940" w:type="dxa"/>
            <w:vAlign w:val="bottom"/>
          </w:tcPr>
          <w:p>
            <w:pPr>
              <w:jc w:val="right"/>
              <w:ind w:right="234"/>
              <w:spacing w:after="0"/>
              <w:rPr>
                <w:sz w:val="20"/>
                <w:szCs w:val="20"/>
                <w:color w:val="auto"/>
              </w:rPr>
            </w:pPr>
            <w:r>
              <w:rPr>
                <w:rFonts w:ascii="Arial" w:cs="Arial" w:eastAsia="Arial" w:hAnsi="Arial"/>
                <w:sz w:val="18"/>
                <w:szCs w:val="18"/>
                <w:color w:val="auto"/>
              </w:rPr>
              <w:t>_</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 Klotsche</w:t>
            </w:r>
          </w:p>
        </w:tc>
        <w:tc>
          <w:tcPr>
            <w:tcW w:w="35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30,000</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$278,247</w:t>
            </w:r>
          </w:p>
        </w:tc>
        <w:tc>
          <w:tcPr>
            <w:tcW w:w="19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_</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 Millar</w:t>
            </w:r>
          </w:p>
        </w:tc>
        <w:tc>
          <w:tcPr>
            <w:tcW w:w="3500" w:type="dxa"/>
            <w:vAlign w:val="bottom"/>
          </w:tcPr>
          <w:p>
            <w:pPr>
              <w:jc w:val="right"/>
              <w:ind w:right="214"/>
              <w:spacing w:after="0"/>
              <w:rPr>
                <w:sz w:val="20"/>
                <w:szCs w:val="20"/>
                <w:color w:val="auto"/>
              </w:rPr>
            </w:pPr>
            <w:r>
              <w:rPr>
                <w:rFonts w:ascii="Arial" w:cs="Arial" w:eastAsia="Arial" w:hAnsi="Arial"/>
                <w:sz w:val="18"/>
                <w:szCs w:val="18"/>
                <w:color w:val="auto"/>
              </w:rPr>
              <w:t>30,000</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$278,247</w:t>
            </w:r>
          </w:p>
        </w:tc>
        <w:tc>
          <w:tcPr>
            <w:tcW w:w="1940" w:type="dxa"/>
            <w:vAlign w:val="bottom"/>
          </w:tcPr>
          <w:p>
            <w:pPr>
              <w:jc w:val="right"/>
              <w:ind w:right="234"/>
              <w:spacing w:after="0"/>
              <w:rPr>
                <w:sz w:val="20"/>
                <w:szCs w:val="20"/>
                <w:color w:val="auto"/>
              </w:rPr>
            </w:pPr>
            <w:r>
              <w:rPr>
                <w:rFonts w:ascii="Arial" w:cs="Arial" w:eastAsia="Arial" w:hAnsi="Arial"/>
                <w:sz w:val="18"/>
                <w:szCs w:val="18"/>
                <w:color w:val="auto"/>
              </w:rPr>
              <w:t>10,000</w:t>
            </w:r>
          </w:p>
        </w:tc>
        <w:tc>
          <w:tcPr>
            <w:tcW w:w="1480" w:type="dxa"/>
            <w:vAlign w:val="bottom"/>
          </w:tcPr>
          <w:p>
            <w:pPr>
              <w:jc w:val="right"/>
              <w:spacing w:after="0"/>
              <w:rPr>
                <w:sz w:val="20"/>
                <w:szCs w:val="20"/>
                <w:color w:val="auto"/>
              </w:rPr>
            </w:pPr>
            <w:r>
              <w:rPr>
                <w:rFonts w:ascii="Arial" w:cs="Arial" w:eastAsia="Arial" w:hAnsi="Arial"/>
                <w:sz w:val="18"/>
                <w:szCs w:val="18"/>
                <w:color w:val="auto"/>
              </w:rPr>
              <w:t>$302,100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 Sephton</w:t>
            </w:r>
          </w:p>
        </w:tc>
        <w:tc>
          <w:tcPr>
            <w:tcW w:w="35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30,000</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$278,247</w:t>
            </w:r>
          </w:p>
        </w:tc>
        <w:tc>
          <w:tcPr>
            <w:tcW w:w="19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_</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M. Williamson</w:t>
            </w:r>
          </w:p>
        </w:tc>
        <w:tc>
          <w:tcPr>
            <w:tcW w:w="3500" w:type="dxa"/>
            <w:vAlign w:val="bottom"/>
          </w:tcPr>
          <w:p>
            <w:pPr>
              <w:jc w:val="right"/>
              <w:ind w:right="214"/>
              <w:spacing w:after="0"/>
              <w:rPr>
                <w:sz w:val="20"/>
                <w:szCs w:val="20"/>
                <w:color w:val="auto"/>
              </w:rPr>
            </w:pPr>
            <w:r>
              <w:rPr>
                <w:rFonts w:ascii="Arial" w:cs="Arial" w:eastAsia="Arial" w:hAnsi="Arial"/>
                <w:sz w:val="18"/>
                <w:szCs w:val="18"/>
                <w:color w:val="auto"/>
              </w:rPr>
              <w:t>34,500</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$319,984</w:t>
            </w:r>
          </w:p>
        </w:tc>
        <w:tc>
          <w:tcPr>
            <w:tcW w:w="1940" w:type="dxa"/>
            <w:vAlign w:val="bottom"/>
          </w:tcPr>
          <w:p>
            <w:pPr>
              <w:jc w:val="right"/>
              <w:ind w:right="234"/>
              <w:spacing w:after="0"/>
              <w:rPr>
                <w:sz w:val="20"/>
                <w:szCs w:val="20"/>
                <w:color w:val="auto"/>
              </w:rPr>
            </w:pPr>
            <w:r>
              <w:rPr>
                <w:rFonts w:ascii="Arial" w:cs="Arial" w:eastAsia="Arial" w:hAnsi="Arial"/>
                <w:sz w:val="18"/>
                <w:szCs w:val="18"/>
                <w:color w:val="auto"/>
              </w:rPr>
              <w:t>_</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Health and Welfare Benefits: </w:t>
      </w:r>
      <w:r>
        <w:rPr>
          <w:rFonts w:ascii="Arial" w:cs="Arial" w:eastAsia="Arial" w:hAnsi="Arial"/>
          <w:sz w:val="18"/>
          <w:szCs w:val="18"/>
          <w:color w:val="auto"/>
        </w:rPr>
        <w:t>We provide subsidized health and welfare benefits which include medical, dental, life and accidental death or dismemberment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provides employer-paid long-term care insurance and maintains a supplemental executive disability policy for executives. The supplemental disability policy provides for Group Long Term Disability insurance (LTD) of up to 60% of pre-tax base salary and bonus, up to a monthly maximum benefit of $25,000. Brady Corporation pays the premiums for these benefits; therefore, these benefits are taxable to the executive.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named executive officers) in the United States and certain expatriate employees working for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subsidiaries are eligible to participate in the Brady Corporation Matched 401(k) Plan (the “Matched 401(k) Plan”). In addition, named executive officers in the United States and employees at many of our United States locations are also eligible to participate in the Brady Corporation Funded Retirement Plan (“Funded Retirement Plan”).</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Funded Retirement Plan, the Company contributes 4% of the eligible earnings of each employee covered by the Funded Retirement Plan. In addition, participants may elect to have their annual pay reduced by up to 5% and have the amount of this reduction contributed to their Matched 401(k) Plan and matched with an additional 4% contribution by the Company. Participants may also elect to have up to another 45% of their eligible earnings contributed to the Matched 401(k) Plan (without an additional matching contribution by the Company and up to the maximum allowed by the IRS). The assets of the Matched 401(k) Plan and Funded Retirement Plan credited to each participant are invested by the trustee of the Plans as directed by each plan participant in a variety of investment funds as permitted by the Matched 401(k) Plan and the Funded Retirement Plan.</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IRS income limitations for participating in the Matched 401(k) Plan and the Funded Retirement Plan, the named executive officers are eligible to participate in the Brady Restoration Plan. The Brady Restoration Plan is a non-qualified deferred compensation plan that allows an equivalent benefit to the Matched 401(k) Plan and the Funded Retirement Plan for named executive officer income above the IRS compensation limits.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if required for certain emergencies. Under certain specified circumstances, the Matched 401(k) Plan allows loans to be drawn on a participant's account. The participant is immediately fully vested with respect to employee contributions; all other contributions become fully vested over a two-year period of continuous service for the Matched 401(k) Plan and after six years of continuous service for the Funded Retirement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Deferred Compensation Arrangements: </w:t>
      </w:r>
      <w:r>
        <w:rPr>
          <w:rFonts w:ascii="Arial" w:cs="Arial" w:eastAsia="Arial" w:hAnsi="Arial"/>
          <w:sz w:val="17"/>
          <w:szCs w:val="17"/>
          <w:color w:val="auto"/>
        </w:rPr>
        <w:t>During fiscal 2002, the Company adopted the Brady Corporation Executive Deferred Compensation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 Distributions of the Company Class A Nonvoting Common Stock are made in-kind; distributions of other assets are in cash.</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Sephton Severance Agreement: </w:t>
      </w:r>
      <w:r>
        <w:rPr>
          <w:rFonts w:ascii="Arial" w:cs="Arial" w:eastAsia="Arial" w:hAnsi="Arial"/>
          <w:sz w:val="16"/>
          <w:szCs w:val="16"/>
          <w:color w:val="auto"/>
        </w:rPr>
        <w:t>On February 20, 2013, Mr. Sephton notified the Company of his intent to resign his positions as President-Brady EMEA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Brady Corporation, effective April 30, 2013. Mr. Sephton remained employed by the Company for the period after his resignation of these positions through July 31, 2013, at which time he retired. The Company entered into a written agreement with Mr. Sephton in connection with his resignation and retirement that provided for payment of his salary and benefits through his retirement on July 31, a severance payment of GBP 337,500, including a portion of that sum as consideration for a non-compete covenant and up to GBP 7,500 for reimbursement of legal fees. The Company entered into this agreement with Mr. Sephton in order to obtain his assistance in the Company's reorganization to three global business platforms and for an agreement not to compete with the Company or solicit its employees, customers and vendors for a period of 12 months after his retirement.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Perquisites: </w:t>
      </w:r>
      <w:r>
        <w:rPr>
          <w:rFonts w:ascii="Arial" w:cs="Arial" w:eastAsia="Arial" w:hAnsi="Arial"/>
          <w:sz w:val="17"/>
          <w:szCs w:val="17"/>
          <w:color w:val="auto"/>
        </w:rPr>
        <w:t>Brady provides the named executive officers with the following perquisites that are not available to other non-executive employees:</w:t>
      </w:r>
    </w:p>
    <w:p>
      <w:pPr>
        <w:spacing w:after="0" w:line="237" w:lineRule="exact"/>
        <w:rPr>
          <w:sz w:val="20"/>
          <w:szCs w:val="20"/>
          <w:color w:val="auto"/>
        </w:rPr>
      </w:pPr>
    </w:p>
    <w:p>
      <w:pPr>
        <w:ind w:left="920" w:hanging="318"/>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allowance for financial and tax planning</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Company car</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care insurance</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guidelines have been established.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has established the following stock ownership guidelines for our named executive officers: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 Jaehnert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shares</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T. Felmer</w:t>
            </w:r>
          </w:p>
        </w:tc>
        <w:tc>
          <w:tcPr>
            <w:tcW w:w="3000" w:type="dxa"/>
            <w:vAlign w:val="bottom"/>
          </w:tcPr>
          <w:p>
            <w:pPr>
              <w:jc w:val="right"/>
              <w:spacing w:after="0"/>
              <w:rPr>
                <w:sz w:val="20"/>
                <w:szCs w:val="20"/>
                <w:color w:val="auto"/>
              </w:rPr>
            </w:pPr>
            <w:r>
              <w:rPr>
                <w:rFonts w:ascii="Arial" w:cs="Arial" w:eastAsia="Arial" w:hAnsi="Arial"/>
                <w:sz w:val="18"/>
                <w:szCs w:val="18"/>
                <w:color w:val="auto"/>
              </w:rPr>
              <w:t>30,000 shares</w:t>
            </w:r>
          </w:p>
        </w:tc>
      </w:tr>
      <w:tr>
        <w:trPr>
          <w:trHeight w:val="27"/>
        </w:trPr>
        <w:tc>
          <w:tcPr>
            <w:tcW w:w="83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 Klotsche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 shares</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S. Millar</w:t>
            </w:r>
          </w:p>
        </w:tc>
        <w:tc>
          <w:tcPr>
            <w:tcW w:w="3000" w:type="dxa"/>
            <w:vAlign w:val="bottom"/>
          </w:tcPr>
          <w:p>
            <w:pPr>
              <w:jc w:val="right"/>
              <w:spacing w:after="0"/>
              <w:rPr>
                <w:sz w:val="20"/>
                <w:szCs w:val="20"/>
                <w:color w:val="auto"/>
              </w:rPr>
            </w:pPr>
            <w:r>
              <w:rPr>
                <w:rFonts w:ascii="Arial" w:cs="Arial" w:eastAsia="Arial" w:hAnsi="Arial"/>
                <w:sz w:val="18"/>
                <w:szCs w:val="18"/>
                <w:color w:val="auto"/>
              </w:rPr>
              <w:t>30,000 shares</w:t>
            </w:r>
          </w:p>
        </w:tc>
      </w:tr>
      <w:tr>
        <w:trPr>
          <w:trHeight w:val="27"/>
        </w:trPr>
        <w:tc>
          <w:tcPr>
            <w:tcW w:w="83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 Sephton</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 shares</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M. Williamson</w:t>
            </w:r>
          </w:p>
        </w:tc>
        <w:tc>
          <w:tcPr>
            <w:tcW w:w="3000" w:type="dxa"/>
            <w:vAlign w:val="bottom"/>
          </w:tcPr>
          <w:p>
            <w:pPr>
              <w:jc w:val="right"/>
              <w:spacing w:after="0"/>
              <w:rPr>
                <w:sz w:val="20"/>
                <w:szCs w:val="20"/>
                <w:color w:val="auto"/>
              </w:rPr>
            </w:pPr>
            <w:r>
              <w:rPr>
                <w:rFonts w:ascii="Arial" w:cs="Arial" w:eastAsia="Arial" w:hAnsi="Arial"/>
                <w:sz w:val="18"/>
                <w:szCs w:val="18"/>
                <w:color w:val="auto"/>
              </w:rPr>
              <w:t>30,000 shares</w:t>
            </w:r>
          </w:p>
        </w:tc>
      </w:tr>
      <w:tr>
        <w:trPr>
          <w:trHeight w:val="405"/>
        </w:trPr>
        <w:tc>
          <w:tcPr>
            <w:tcW w:w="8300" w:type="dxa"/>
            <w:vAlign w:val="bottom"/>
          </w:tcPr>
          <w:p>
            <w:pPr>
              <w:ind w:left="440"/>
              <w:spacing w:after="0"/>
              <w:rPr>
                <w:sz w:val="20"/>
                <w:szCs w:val="20"/>
                <w:color w:val="auto"/>
              </w:rPr>
            </w:pPr>
            <w:r>
              <w:rPr>
                <w:rFonts w:ascii="Arial" w:cs="Arial" w:eastAsia="Arial" w:hAnsi="Arial"/>
                <w:sz w:val="18"/>
                <w:szCs w:val="18"/>
                <w:color w:val="auto"/>
              </w:rPr>
              <w:t>The stock ownership guideline for each director is 5,000 shares of Company stock.</w:t>
            </w:r>
          </w:p>
        </w:tc>
        <w:tc>
          <w:tcPr>
            <w:tcW w:w="3000" w:type="dxa"/>
            <w:vAlign w:val="bottom"/>
          </w:tcPr>
          <w:p>
            <w:pPr>
              <w:spacing w:after="0"/>
              <w:rPr>
                <w:sz w:val="24"/>
                <w:szCs w:val="24"/>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All named executive officers except Mr. Millar met and retained their respective ownership levels as of fiscal 2013. Mr. Millar has until fiscal year 2016 to achieve his respective ownership level. If an executive does not meet the above ownership level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interim levels, the Committee may direct that the executive's after-tax payout on any incentive plans will be in Class A Nonvoting Common Stock to bring the executive up to the required level. The Committee reviews the actual stock ownership levels of each of the named executive officers on an annual basis to ensure the guidelines are met.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purposes of determining whether an executive meets the required ownership level, Company stock owned outright, Company stock held in the Executive Deferred Compensation Plan, Company stock owned in the Employee 401(k) Plan or pension plan and time-based restricted stock or restricted stock units are included. In addition, 20% of any vested stock options that are “in the money” are included.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on hedging transactions includes financial instruments such as prepaid variable forwards, equity swaps, collars and exchange funds.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does not have employment agreements with our executives. The Board of Directors of Brady Corporation approved change of control agreements for certain executive officers of the Company, including all the named executive officers. The agreements applicable to all of the named executive officers other than Mr. Jaehnert provide a payment of an amount equal to two times their annual base salary and two times the average bonus payment received in the three years immediately prior to the date the change of control occurs in the event of termination or resignation upon a change of control. The agreements also provide for reimbursement of any excise taxes imposed and up to $25,000 of attorney fees to enforce the executive's rights under the agreement. Payments under the agreement will be spread over two years.</w:t>
      </w:r>
    </w:p>
    <w:p>
      <w:pPr>
        <w:spacing w:after="0" w:line="13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May 2003, the Board approved a Change of Control Agreement for Mr. Jaehnert, which was subsequently amended and restated in December 2008 to comply with Internal Revenue Code Section 409A. The agreement applicable to Mr. Jaehnert provides a payment of an amount equal to three times his annual base salary and three times the average bonus payment received in the three years immediately prior to the date the change of control occurs in the event of termination or resignation upon a change of control. The agreement will also reimburse a maximum of $25,000 of legal fees incurred by Mr. Jaehnert in order to enforce the change of control agreement, in which he prevails. Payments under the agreement will be spread over three years.</w:t>
      </w:r>
    </w:p>
    <w:p>
      <w:pPr>
        <w:spacing w:after="0" w:line="10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Under the terms of the 2012 Omnibus Incentive Stock Plan, in the event of (a) the merger or consolidation of the Corporation with or into another corporation or corporations in which the Corporation is not the surviving corporation, (b) the adoption of any plan for the dissolution of the Corporation, or</w:t>
      </w:r>
    </w:p>
    <w:p>
      <w:pPr>
        <w:jc w:val="both"/>
        <w:ind w:firstLine="8"/>
        <w:spacing w:after="0" w:line="302" w:lineRule="auto"/>
        <w:tabs>
          <w:tab w:leader="none" w:pos="25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sale or exchange of all or substantially all the assets of the Corporation for cash or for shares of stock or other securities of another corporation, all then-unexercised stock options become fully exercisable. If any stock option is canceled subsequent to the events described above, the Corporation or the corporation assuming the obligations of the Corporation, shall pay an amount of cash or stock equal to the in-the-money value of the cancelled stock options.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Agreements memorializing equity awards made in fiscal 2013 under the Company's 2012 Omnibus Incentive Stock Plan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recipient, for 12 months after termination of employment with the Company, from (i) performing duties for or as a competitor of the Company which are the same or similar to those performed by the recipient in the 24 months prior to termination of employment with the Company or (ii) inducing or encouraging employees, vendors or clients of the Company to breach, modify or terminate relationships or agreements they had with the Company during the 24 month period prior to the recipient's termination of employment.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162(m) of the Internal Revenue Code, added by the Omnibus Budget Reconciliation Act of 1993, generally disallows a tax deduction to public companies for compensation over $1 million paid to the Company's chief executive officer or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Committee will continue to review these tax regulations as they apply to the Company's executive compensation program. It is the Committee's intent to preserve the deductibility of executive compensation to the extent reasonably practicable and to the extent consistent with its other compensation objectives.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Committee also considers it important to retain flexibility to design compensation programs, even where compensation payable under such programs may not be fully deductible, if such programs effectively recognize a full range of criteria important to the Company's success and result in a gain to the Company that would outweigh the limited negative tax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2013, the Board's Management Development and Compensation Committee was composed of Messrs. Balkema, Galbato, Harris, and Richardson and Ms. Pungello. After Mr. Galbato resigned his position as a director on May 19, 2013, Mr. Richardson was appointed to the Committee effective June 20, 2013.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based on the review and discussions, the Committee recommended to the Board of Directors that the Compensation Discussion and Analysis be included in the Company's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Gary Balkema,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P. Pungello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Richardson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Company's compensation policies for executive officers and all other employees are designed to avoid incentives to create undue risks to the Company. The Company's compensation programs are weighted towards offering long-term incentives that reward sustainable performance; do not offer significant short-term incentives that might drive high-risk investments at the expense of the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to evaluate and ensure that they do not foster risk taking beyond that deemed acceptable within the Company's business model. The Company believes that its compensation policies, practices and procedures do not encourage employees to take unnecessary or excessive risks that are reasonably likely to have a material adverse effect on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2013, for services rendered to the Company and its subsidiaries during the fiscal years ended July 31, 2013, July 31, 2012 and July 31, 2011.</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Fiscal</w:t>
            </w:r>
          </w:p>
        </w:tc>
        <w:tc>
          <w:tcPr>
            <w:tcW w:w="24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 Awards</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F.M. Jaehnert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834,740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117,038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1,751,778</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President, CEO &amp; Director</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2,086,727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254,136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3,140,863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793,269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2,803,500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2,470,157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1,632,548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223,329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7,922,803</w:t>
            </w:r>
          </w:p>
        </w:tc>
        <w:tc>
          <w:tcPr>
            <w:tcW w:w="0" w:type="dxa"/>
            <w:vAlign w:val="bottom"/>
          </w:tcPr>
          <w:p>
            <w:pPr>
              <w:spacing w:after="0"/>
              <w:rPr>
                <w:sz w:val="1"/>
                <w:szCs w:val="1"/>
                <w:color w:val="auto"/>
              </w:rPr>
            </w:pPr>
          </w:p>
        </w:tc>
      </w:tr>
      <w:tr>
        <w:trPr>
          <w:trHeight w:val="21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T.J. Felmer</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377,500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422,007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54,164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853,671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VP &amp; CFO</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755,909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1,237,200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363,285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914,386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523,349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93,163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1,872,133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A.J. Klotsche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278,247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645,222</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Senior VP - Human Resources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319,750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662,218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77,358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1,059,326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311,002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790,878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348,353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1,505,331</w:t>
            </w:r>
          </w:p>
        </w:tc>
        <w:tc>
          <w:tcPr>
            <w:tcW w:w="0" w:type="dxa"/>
            <w:vAlign w:val="bottom"/>
          </w:tcPr>
          <w:p>
            <w:pPr>
              <w:spacing w:after="0"/>
              <w:rPr>
                <w:sz w:val="1"/>
                <w:szCs w:val="1"/>
                <w:color w:val="auto"/>
              </w:rPr>
            </w:pPr>
          </w:p>
        </w:tc>
      </w:tr>
      <w:tr>
        <w:trPr>
          <w:trHeight w:val="20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S. Millar President - Die Cut &amp;</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APAC,VP - Brady Corporation (5)</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304,314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302,100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278,247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73,508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958,169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P.C. Sephton (6)</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360,235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278,247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655,466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1,293,948</w:t>
            </w:r>
          </w:p>
        </w:tc>
        <w:tc>
          <w:tcPr>
            <w:tcW w:w="0" w:type="dxa"/>
            <w:vAlign w:val="bottom"/>
          </w:tcPr>
          <w:p>
            <w:pPr>
              <w:spacing w:after="0"/>
              <w:rPr>
                <w:sz w:val="1"/>
                <w:szCs w:val="1"/>
                <w:color w:val="auto"/>
              </w:rPr>
            </w:pP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Former President-Brady EMEA &amp; VP -</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Brady Corporation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361,244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662,218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109,486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1,132,948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356,818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790,878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1,573,084</w:t>
            </w:r>
          </w:p>
        </w:tc>
        <w:tc>
          <w:tcPr>
            <w:tcW w:w="0" w:type="dxa"/>
            <w:vAlign w:val="bottom"/>
          </w:tcPr>
          <w:p>
            <w:pPr>
              <w:spacing w:after="0"/>
              <w:rPr>
                <w:sz w:val="1"/>
                <w:szCs w:val="1"/>
                <w:color w:val="auto"/>
              </w:rPr>
            </w:pPr>
          </w:p>
        </w:tc>
      </w:tr>
      <w:tr>
        <w:trPr>
          <w:trHeight w:val="21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M.O. Williamson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380,666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319,984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62,067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762,717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President - IDS &amp; VP - Brady</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Corporation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370,481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662,218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122,148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92,492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1,247,339</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360,071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790,878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462,461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73,093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1,664,453</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540" w:hanging="316"/>
        <w:spacing w:after="0" w:line="272"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the grant date fair value computed in accordance with accounting guidance for equity grants made or modified in the applicable year for restricted stock awards. The grant date fair value is calculated based on the number of shares of Common Stock underlying the restricted stock awards, times the average of the high and low trade prices of Brady Common Stock on the date of grant. The actual value of a restricted stock award will depend on the market value of the Company’s Common Stock on the date the stock is sold. The restricted stock award granted on January 8, 2008, was amended effective July 20, 2011, so that the shares will vest upon meeting a performance vesting requirement based upon earnings per share growth at either July 31, 2013 or July 31, 2014, provided that the senior executives remain employed through July 31, 2014. The reduction in the incremental fair value of the restricted share grant as of the modification date is included in the table above.</w:t>
      </w:r>
    </w:p>
    <w:p>
      <w:pPr>
        <w:spacing w:after="0" w:line="177" w:lineRule="exact"/>
        <w:rPr>
          <w:rFonts w:ascii="Arial" w:cs="Arial" w:eastAsia="Arial" w:hAnsi="Arial"/>
          <w:sz w:val="17"/>
          <w:szCs w:val="17"/>
          <w:color w:val="auto"/>
        </w:rPr>
      </w:pPr>
    </w:p>
    <w:p>
      <w:pPr>
        <w:jc w:val="both"/>
        <w:ind w:left="540" w:right="20"/>
        <w:spacing w:after="0" w:line="264" w:lineRule="auto"/>
        <w:rPr>
          <w:rFonts w:ascii="Arial" w:cs="Arial" w:eastAsia="Arial" w:hAnsi="Arial"/>
          <w:sz w:val="17"/>
          <w:szCs w:val="17"/>
          <w:color w:val="auto"/>
        </w:rPr>
      </w:pPr>
      <w:r>
        <w:rPr>
          <w:rFonts w:ascii="Arial" w:cs="Arial" w:eastAsia="Arial" w:hAnsi="Arial"/>
          <w:sz w:val="18"/>
          <w:szCs w:val="18"/>
          <w:color w:val="auto"/>
        </w:rPr>
        <w:t>Effective August 2, 2010, a grant of 100,000 shares of performance-based restricted stock was issued to Mr. Jaehnert, which included both a performance vesting requirement based upon earnings per share growth and a service vesting requirement prorated at July 31, 2013, July 31, 2014 and July 31, 2015. One-third, or 33,333 shares, have vested as of July 31, 2013.</w:t>
      </w:r>
    </w:p>
    <w:p>
      <w:pPr>
        <w:spacing w:after="0" w:line="262" w:lineRule="exact"/>
        <w:rPr>
          <w:rFonts w:ascii="Arial" w:cs="Arial" w:eastAsia="Arial" w:hAnsi="Arial"/>
          <w:sz w:val="17"/>
          <w:szCs w:val="17"/>
          <w:color w:val="auto"/>
        </w:rPr>
      </w:pPr>
    </w:p>
    <w:p>
      <w:pPr>
        <w:jc w:val="both"/>
        <w:ind w:left="540" w:hanging="316"/>
        <w:spacing w:after="0" w:line="255"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or modified in the applicable year for performance-based and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2013.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93" w:lineRule="exact"/>
        <w:rPr>
          <w:rFonts w:ascii="Arial" w:cs="Arial" w:eastAsia="Arial" w:hAnsi="Arial"/>
          <w:sz w:val="18"/>
          <w:szCs w:val="18"/>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540" w:hanging="316"/>
        <w:spacing w:after="0" w:line="272"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in this column for Messrs. Jaehnert, Felmer, Klotsche, and Williamson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the cost of disability insurance and other perquisites. The perquisites may include an annual allowance for financial and tax planning and the cost of an annual physical health exam. The amounts in this column for Mr. Sephton include: contributions for the Brady U.K. Pension Plan, the cost of group term life insurance, vehicle allowance and associated expenses and other perquisites as listed above. The amounts in this column for Mr. Millar include: contributions for the Brady Australia Pension Plan, vehicle allowance and associated expenses and other perquisites as listed above.</w:t>
      </w:r>
    </w:p>
    <w:p>
      <w:pPr>
        <w:spacing w:after="0" w:line="177" w:lineRule="exact"/>
        <w:rPr>
          <w:rFonts w:ascii="Arial" w:cs="Arial" w:eastAsia="Arial" w:hAnsi="Arial"/>
          <w:sz w:val="17"/>
          <w:szCs w:val="17"/>
          <w:color w:val="auto"/>
        </w:rPr>
      </w:pPr>
    </w:p>
    <w:p>
      <w:pPr>
        <w:jc w:val="both"/>
        <w:ind w:left="540" w:hanging="316"/>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table for Mr. Millar, who works and lives in Australia, were paid to him in Australian Dollars. The amounts shown in U.S. dollars in the table above were converted from Australian Dollars at the average exchange rate for fiscal 2013: $1 =0.9825 AUD. Fiscal 2013 is the first year during Mr. Millar's term as officer in which he met the criteria as a Named Executive Officer.</w:t>
      </w:r>
    </w:p>
    <w:p>
      <w:pPr>
        <w:spacing w:after="0" w:line="181" w:lineRule="exact"/>
        <w:rPr>
          <w:rFonts w:ascii="Arial" w:cs="Arial" w:eastAsia="Arial" w:hAnsi="Arial"/>
          <w:sz w:val="18"/>
          <w:szCs w:val="18"/>
          <w:color w:val="auto"/>
        </w:rPr>
      </w:pPr>
    </w:p>
    <w:p>
      <w:pPr>
        <w:jc w:val="both"/>
        <w:ind w:left="540" w:hanging="316"/>
        <w:spacing w:after="0" w:line="25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2013: $1 = £0.6385, 2012: $1 =£0.6336, 2011: $1 = £0.6250. Mr. Sephton resigned as President-Brady EMEA and Vice President, Brady Corporation effective April 30, 2013 and his employment with the Company terminated on July 31, 2013. Mr. Sephton's severance payment of 349,000 GBP (converted into $546,618), inclusive of 9,000 GBP in legal fees, is included in All Other Compensation in the table above .</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Retirement</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Group Term</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Long-term</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Personal</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Temporary/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Life</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Company</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Care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Liability</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Fiscal</w:t>
            </w: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Contributions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Insurance</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Insurance</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Disability</w:t>
            </w:r>
          </w:p>
        </w:tc>
        <w:tc>
          <w:tcPr>
            <w:tcW w:w="24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w:t>
            </w:r>
          </w:p>
        </w:tc>
        <w:tc>
          <w:tcPr>
            <w:tcW w:w="16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F.M. Jaehnert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117,038</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195,835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23,760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4,855</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254,136</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223,329</w:t>
            </w:r>
          </w:p>
        </w:tc>
        <w:tc>
          <w:tcPr>
            <w:tcW w:w="0" w:type="dxa"/>
            <w:vAlign w:val="bottom"/>
          </w:tcPr>
          <w:p>
            <w:pPr>
              <w:spacing w:after="0"/>
              <w:rPr>
                <w:sz w:val="1"/>
                <w:szCs w:val="1"/>
                <w:color w:val="auto"/>
              </w:rPr>
            </w:pPr>
          </w:p>
        </w:tc>
      </w:tr>
      <w:tr>
        <w:trPr>
          <w:trHeight w:val="237"/>
        </w:trPr>
        <w:tc>
          <w:tcPr>
            <w:tcW w:w="860" w:type="dxa"/>
            <w:vAlign w:val="bottom"/>
          </w:tcPr>
          <w:p>
            <w:pPr>
              <w:ind w:left="40"/>
              <w:spacing w:after="0"/>
              <w:rPr>
                <w:sz w:val="20"/>
                <w:szCs w:val="20"/>
                <w:color w:val="auto"/>
              </w:rPr>
            </w:pPr>
            <w:r>
              <w:rPr>
                <w:rFonts w:ascii="Arial" w:cs="Arial" w:eastAsia="Arial" w:hAnsi="Arial"/>
                <w:sz w:val="16"/>
                <w:szCs w:val="16"/>
                <w:color w:val="auto"/>
                <w:w w:val="98"/>
              </w:rPr>
              <w:t>T.J. Felmer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30,200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14,940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4,496</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54,164</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72,759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105,811</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57,931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25,311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5,356</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93,163</w:t>
            </w:r>
          </w:p>
        </w:tc>
        <w:tc>
          <w:tcPr>
            <w:tcW w:w="0" w:type="dxa"/>
            <w:vAlign w:val="bottom"/>
          </w:tcPr>
          <w:p>
            <w:pPr>
              <w:spacing w:after="0"/>
              <w:rPr>
                <w:sz w:val="1"/>
                <w:szCs w:val="1"/>
                <w:color w:val="auto"/>
              </w:rPr>
            </w:pPr>
          </w:p>
        </w:tc>
      </w:tr>
      <w:tr>
        <w:trPr>
          <w:trHeight w:val="33"/>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A.J. Klotsche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45,475</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53,747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15,509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4,189</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77,358</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77,148</w:t>
            </w:r>
          </w:p>
        </w:tc>
        <w:tc>
          <w:tcPr>
            <w:tcW w:w="0" w:type="dxa"/>
            <w:vAlign w:val="bottom"/>
          </w:tcPr>
          <w:p>
            <w:pPr>
              <w:spacing w:after="0"/>
              <w:rPr>
                <w:sz w:val="1"/>
                <w:szCs w:val="1"/>
                <w:color w:val="auto"/>
              </w:rPr>
            </w:pPr>
          </w:p>
        </w:tc>
      </w:tr>
      <w:tr>
        <w:trPr>
          <w:trHeight w:val="237"/>
        </w:trPr>
        <w:tc>
          <w:tcPr>
            <w:tcW w:w="860" w:type="dxa"/>
            <w:vAlign w:val="bottom"/>
          </w:tcPr>
          <w:p>
            <w:pPr>
              <w:ind w:left="40"/>
              <w:spacing w:after="0"/>
              <w:rPr>
                <w:sz w:val="20"/>
                <w:szCs w:val="20"/>
                <w:color w:val="auto"/>
              </w:rPr>
            </w:pPr>
            <w:r>
              <w:rPr>
                <w:rFonts w:ascii="Arial" w:cs="Arial" w:eastAsia="Arial" w:hAnsi="Arial"/>
                <w:sz w:val="16"/>
                <w:szCs w:val="16"/>
                <w:color w:val="auto"/>
                <w:w w:val="97"/>
              </w:rPr>
              <w:t>S. Millar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49,227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73,508</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P.C.</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Sephton(2)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57,264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549,222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655,466</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57,231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12,156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32,508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109,486</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106,249</w:t>
            </w:r>
          </w:p>
        </w:tc>
        <w:tc>
          <w:tcPr>
            <w:tcW w:w="0" w:type="dxa"/>
            <w:vAlign w:val="bottom"/>
          </w:tcPr>
          <w:p>
            <w:pPr>
              <w:spacing w:after="0"/>
              <w:rPr>
                <w:sz w:val="1"/>
                <w:szCs w:val="1"/>
                <w:color w:val="auto"/>
              </w:rPr>
            </w:pPr>
          </w:p>
        </w:tc>
      </w:tr>
      <w:tr>
        <w:trPr>
          <w:trHeight w:val="157"/>
        </w:trPr>
        <w:tc>
          <w:tcPr>
            <w:tcW w:w="860" w:type="dxa"/>
            <w:vAlign w:val="bottom"/>
          </w:tcPr>
          <w:p>
            <w:pPr>
              <w:ind w:left="40"/>
              <w:spacing w:after="0" w:line="157" w:lineRule="exact"/>
              <w:rPr>
                <w:sz w:val="20"/>
                <w:szCs w:val="20"/>
                <w:color w:val="auto"/>
              </w:rPr>
            </w:pPr>
            <w:r>
              <w:rPr>
                <w:rFonts w:ascii="Arial" w:cs="Arial" w:eastAsia="Arial" w:hAnsi="Arial"/>
                <w:sz w:val="14"/>
                <w:szCs w:val="14"/>
                <w:color w:val="auto"/>
              </w:rPr>
              <w:t>M.</w:t>
            </w:r>
          </w:p>
        </w:tc>
        <w:tc>
          <w:tcPr>
            <w:tcW w:w="300" w:type="dxa"/>
            <w:vAlign w:val="bottom"/>
            <w:gridSpan w:val="2"/>
          </w:tcPr>
          <w:p>
            <w:pPr>
              <w:spacing w:after="0" w:line="157" w:lineRule="exact"/>
              <w:rPr>
                <w:sz w:val="20"/>
                <w:szCs w:val="20"/>
                <w:color w:val="auto"/>
              </w:rPr>
            </w:pPr>
            <w:r>
              <w:rPr>
                <w:rFonts w:ascii="Arial" w:cs="Arial" w:eastAsia="Arial" w:hAnsi="Arial"/>
                <w:sz w:val="14"/>
                <w:szCs w:val="14"/>
                <w:color w:val="auto"/>
              </w:rPr>
              <w:t>O.</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40,581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10,847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3"/>
                <w:szCs w:val="13"/>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62,067</w:t>
            </w:r>
          </w:p>
        </w:tc>
        <w:tc>
          <w:tcPr>
            <w:tcW w:w="0" w:type="dxa"/>
            <w:vAlign w:val="bottom"/>
          </w:tcPr>
          <w:p>
            <w:pPr>
              <w:spacing w:after="0"/>
              <w:rPr>
                <w:sz w:val="1"/>
                <w:szCs w:val="1"/>
                <w:color w:val="auto"/>
              </w:rPr>
            </w:pPr>
          </w:p>
        </w:tc>
      </w:tr>
      <w:tr>
        <w:trPr>
          <w:trHeight w:val="188"/>
        </w:trPr>
        <w:tc>
          <w:tcPr>
            <w:tcW w:w="860" w:type="dxa"/>
            <w:vAlign w:val="bottom"/>
          </w:tcPr>
          <w:p>
            <w:pPr>
              <w:ind w:left="40"/>
              <w:spacing w:after="0"/>
              <w:rPr>
                <w:sz w:val="20"/>
                <w:szCs w:val="20"/>
                <w:color w:val="auto"/>
              </w:rPr>
            </w:pPr>
            <w:r>
              <w:rPr>
                <w:rFonts w:ascii="Arial" w:cs="Arial" w:eastAsia="Arial" w:hAnsi="Arial"/>
                <w:sz w:val="14"/>
                <w:szCs w:val="14"/>
                <w:color w:val="auto"/>
              </w:rPr>
              <w:t>Williamson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92,492</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47,059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5,277</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73,093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40" w:hanging="316"/>
        <w:spacing w:after="0" w:line="264" w:lineRule="auto"/>
        <w:tabs>
          <w:tab w:leader="none" w:pos="4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table for Mr. Millar, who works and lives in Australia, were paid to him in Australian Dollars. The amounts shown in U.S. dollars in the table above were converted from Australian Dollars at the average exchange rate for fiscal 2013: $1 =0.9825 AUD. Fiscal 2013 is the first year during Mr. Millar's term as officer in which he met the criteria as a Named Executive Officer.</w:t>
      </w:r>
    </w:p>
    <w:p>
      <w:pPr>
        <w:spacing w:after="0" w:line="181" w:lineRule="exact"/>
        <w:rPr>
          <w:rFonts w:ascii="Arial" w:cs="Arial" w:eastAsia="Arial" w:hAnsi="Arial"/>
          <w:sz w:val="18"/>
          <w:szCs w:val="18"/>
          <w:color w:val="auto"/>
        </w:rPr>
      </w:pPr>
    </w:p>
    <w:p>
      <w:pPr>
        <w:jc w:val="both"/>
        <w:ind w:left="540" w:hanging="316"/>
        <w:spacing w:after="0" w:line="25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2013: $1 = £0.6385, 2012: $1 =£0.6336, 2011: $1 = £0.6250. Mr. Sephton resigned as President-Brady EMEA and Vice President, Brady Corporation effective April 30, 2013 and his employment with the Company terminated on July 31, 2013. Mr. Sephton's severance payment of 349,000 GBP (converted into $546,618), inclusive of 9,000 GBP in legal fees, is included in Other in the table above.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2013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grants of plan-based awards made during fiscal 2013 to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c>
          <w:tcPr>
            <w:tcW w:w="8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Option</w:t>
            </w:r>
          </w:p>
        </w:tc>
        <w:tc>
          <w:tcPr>
            <w:tcW w:w="116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or Base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rPr>
              <w:t>All Other</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 of</w:t>
            </w:r>
          </w:p>
        </w:tc>
        <w:tc>
          <w:tcPr>
            <w:tcW w:w="160" w:type="dxa"/>
            <w:vAlign w:val="bottom"/>
          </w:tcPr>
          <w:p>
            <w:pPr>
              <w:spacing w:after="0"/>
              <w:rPr>
                <w:sz w:val="12"/>
                <w:szCs w:val="12"/>
                <w:color w:val="auto"/>
              </w:rPr>
            </w:pPr>
          </w:p>
        </w:tc>
        <w:tc>
          <w:tcPr>
            <w:tcW w:w="8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vMerge w:val="continue"/>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8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160" w:type="dxa"/>
            <w:vAlign w:val="bottom"/>
          </w:tcPr>
          <w:p>
            <w:pPr>
              <w:spacing w:after="0"/>
              <w:rPr>
                <w:sz w:val="12"/>
                <w:szCs w:val="12"/>
                <w:color w:val="auto"/>
              </w:rPr>
            </w:pPr>
          </w:p>
        </w:tc>
        <w:tc>
          <w:tcPr>
            <w:tcW w:w="8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Estimated Future Payouts Under</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Under-</w:t>
            </w:r>
          </w:p>
        </w:tc>
        <w:tc>
          <w:tcPr>
            <w:tcW w:w="11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8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Committee</w:t>
            </w:r>
          </w:p>
        </w:tc>
        <w:tc>
          <w:tcPr>
            <w:tcW w:w="24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lying</w:t>
            </w:r>
          </w:p>
        </w:tc>
        <w:tc>
          <w:tcPr>
            <w:tcW w:w="11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Shares of Stock</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8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Approval</w:t>
            </w: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9"/>
              </w:rPr>
              <w:t>Non-Equity Incentive Plan Awards (1)</w:t>
            </w:r>
          </w:p>
        </w:tc>
        <w:tc>
          <w:tcPr>
            <w:tcW w:w="10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1160" w:type="dxa"/>
            <w:vAlign w:val="bottom"/>
          </w:tcPr>
          <w:p>
            <w:pPr>
              <w:jc w:val="center"/>
              <w:ind w:right="26"/>
              <w:spacing w:after="0"/>
              <w:rPr>
                <w:sz w:val="20"/>
                <w:szCs w:val="20"/>
                <w:color w:val="auto"/>
              </w:rPr>
            </w:pPr>
            <w:r>
              <w:rPr>
                <w:rFonts w:ascii="Arial" w:cs="Arial" w:eastAsia="Arial" w:hAnsi="Arial"/>
                <w:sz w:val="14"/>
                <w:szCs w:val="14"/>
                <w:b w:val="1"/>
                <w:bCs w:val="1"/>
                <w:color w:val="auto"/>
                <w:w w:val="94"/>
              </w:rPr>
              <w:t>or Units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84"/>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6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Threshold ($)</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Target ($)</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Maximum ($)</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F.M. Jaehnert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7/24/2012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  800,000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1,600,000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9/21/2012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9/10/2012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180"/>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834,300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7/24/2012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264,250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369,950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9/21/2012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9/10/2012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45,500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421,785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A.J. Klotsche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7/24/2012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223,825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447,650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9/21/2012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9/10/2012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278,100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 Millar</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7/24/2012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213,020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298,227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9/21/2012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9/10/2012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278,100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9/21/2012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9/10/2012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10,000 (3)</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302,100</w:t>
            </w:r>
          </w:p>
        </w:tc>
        <w:tc>
          <w:tcPr>
            <w:tcW w:w="0" w:type="dxa"/>
            <w:vAlign w:val="bottom"/>
          </w:tcPr>
          <w:p>
            <w:pPr>
              <w:spacing w:after="0"/>
              <w:rPr>
                <w:sz w:val="1"/>
                <w:szCs w:val="1"/>
                <w:color w:val="auto"/>
              </w:rPr>
            </w:pP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P.C. Sephton</w:t>
            </w: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8/1/2012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7/24/2012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252,165</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353,031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9/21/2012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9/10/2012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278,100</w:t>
            </w:r>
          </w:p>
        </w:tc>
        <w:tc>
          <w:tcPr>
            <w:tcW w:w="0" w:type="dxa"/>
            <w:vAlign w:val="bottom"/>
          </w:tcPr>
          <w:p>
            <w:pPr>
              <w:spacing w:after="0"/>
              <w:rPr>
                <w:sz w:val="1"/>
                <w:szCs w:val="1"/>
                <w:color w:val="auto"/>
              </w:rPr>
            </w:pP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M.O. Williamson</w:t>
            </w: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8/1/2012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7/24/2012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266,466</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373,053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9/21/2012</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9/10/2012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30.21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278,100</w:t>
            </w:r>
          </w:p>
        </w:tc>
        <w:tc>
          <w:tcPr>
            <w:tcW w:w="0" w:type="dxa"/>
            <w:vAlign w:val="bottom"/>
          </w:tcPr>
          <w:p>
            <w:pPr>
              <w:spacing w:after="0"/>
              <w:rPr>
                <w:sz w:val="1"/>
                <w:szCs w:val="1"/>
                <w:color w:val="auto"/>
              </w:rPr>
            </w:pPr>
          </w:p>
        </w:tc>
      </w:tr>
      <w:tr>
        <w:trPr>
          <w:trHeight w:val="33"/>
        </w:trPr>
        <w:tc>
          <w:tcPr>
            <w:tcW w:w="1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274"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awards were made under the Company’s annual cash incentive plan. The structure of the plan is described in the Compensation Discussion and Analysis above. Award levels are set prior to the beginning of the fiscal year and payouts can range from 0 to 200 percent of the target.</w:t>
      </w:r>
    </w:p>
    <w:p>
      <w:pPr>
        <w:jc w:val="both"/>
        <w:ind w:left="540" w:hanging="316"/>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exercise price is the average of the high and low sale prices of the Company’s Class A Common Stock as reported by the New York Stock Exchange on the date of the grant. The average of the high and low sale prices of the Company’s Class A Common Stock as reported by the New York Stock Exchange on the grant date was $30.21 on September 21, 2012.</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10,000 restricted stock units granted to Stephen Millar on September 21, 2012 at a fair value of $30.21 per RSU.</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2013 Fiscal Year End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5"/>
          </w:tcPr>
          <w:p>
            <w:pPr>
              <w:ind w:left="1060"/>
              <w:spacing w:after="0"/>
              <w:rPr>
                <w:sz w:val="20"/>
                <w:szCs w:val="20"/>
                <w:color w:val="auto"/>
              </w:rPr>
            </w:pPr>
            <w:r>
              <w:rPr>
                <w:rFonts w:ascii="Arial" w:cs="Arial" w:eastAsia="Arial" w:hAnsi="Arial"/>
                <w:sz w:val="16"/>
                <w:szCs w:val="16"/>
                <w:b w:val="1"/>
                <w:bCs w:val="1"/>
                <w:color w:val="auto"/>
              </w:rPr>
              <w:t>Option Awards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3"/>
          </w:tcPr>
          <w:p>
            <w:pPr>
              <w:ind w:left="1340"/>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1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Equity Incentive</w:t>
            </w:r>
          </w:p>
        </w:tc>
        <w:tc>
          <w:tcPr>
            <w:tcW w:w="1680" w:type="dxa"/>
            <w:vAlign w:val="bottom"/>
          </w:tcPr>
          <w:p>
            <w:pPr>
              <w:spacing w:after="0"/>
              <w:rPr>
                <w:sz w:val="18"/>
                <w:szCs w:val="18"/>
                <w:color w:val="auto"/>
              </w:rPr>
            </w:pPr>
          </w:p>
        </w:tc>
      </w:tr>
      <w:tr>
        <w:trPr>
          <w:trHeight w:val="203"/>
        </w:trPr>
        <w:tc>
          <w:tcPr>
            <w:tcW w:w="1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Plan Awards;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Equity Incentive</w:t>
            </w:r>
          </w:p>
        </w:tc>
      </w:tr>
      <w:tr>
        <w:trPr>
          <w:trHeight w:val="203"/>
        </w:trPr>
        <w:tc>
          <w:tcPr>
            <w:tcW w:w="16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20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Number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Number of</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Plan Awards:</w:t>
            </w:r>
          </w:p>
        </w:tc>
      </w:tr>
      <w:tr>
        <w:trPr>
          <w:trHeight w:val="203"/>
        </w:trPr>
        <w:tc>
          <w:tcPr>
            <w:tcW w:w="16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w:t>
            </w:r>
          </w:p>
        </w:tc>
        <w:tc>
          <w:tcPr>
            <w:tcW w:w="20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6"/>
              </w:rPr>
              <w:t>Securities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Unearned</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5"/>
              </w:rPr>
              <w:t>Market or Payout</w:t>
            </w:r>
          </w:p>
        </w:tc>
      </w:tr>
      <w:tr>
        <w:trPr>
          <w:trHeight w:val="203"/>
        </w:trPr>
        <w:tc>
          <w:tcPr>
            <w:tcW w:w="16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20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3"/>
              </w:rPr>
              <w:t>Underlying</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Shares, Units or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Value of Unearned</w:t>
            </w:r>
          </w:p>
        </w:tc>
      </w:tr>
      <w:tr>
        <w:trPr>
          <w:trHeight w:val="203"/>
        </w:trPr>
        <w:tc>
          <w:tcPr>
            <w:tcW w:w="16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Unexercised</w:t>
            </w:r>
          </w:p>
        </w:tc>
        <w:tc>
          <w:tcPr>
            <w:tcW w:w="20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0"/>
              </w:rPr>
              <w:t>Unexercised</w:t>
            </w: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Option</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Other Rights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Shares, Units or</w:t>
            </w:r>
          </w:p>
        </w:tc>
      </w:tr>
      <w:tr>
        <w:trPr>
          <w:trHeight w:val="203"/>
        </w:trPr>
        <w:tc>
          <w:tcPr>
            <w:tcW w:w="16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20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9"/>
              </w:rPr>
              <w:t>Options</w:t>
            </w: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Exercise</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That Have Not</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Other Rights That</w:t>
            </w:r>
          </w:p>
        </w:tc>
      </w:tr>
      <w:tr>
        <w:trPr>
          <w:trHeight w:val="203"/>
        </w:trPr>
        <w:tc>
          <w:tcPr>
            <w:tcW w:w="16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Exercisable</w:t>
            </w:r>
          </w:p>
        </w:tc>
        <w:tc>
          <w:tcPr>
            <w:tcW w:w="20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0"/>
              </w:rPr>
              <w:t>Unexercisable</w:t>
            </w: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Price</w:t>
            </w: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Vested</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Have Not Vested</w:t>
            </w:r>
          </w:p>
        </w:tc>
      </w:tr>
      <w:tr>
        <w:trPr>
          <w:trHeight w:val="210"/>
        </w:trPr>
        <w:tc>
          <w:tcPr>
            <w:tcW w:w="16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Expiration Date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3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1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F.M. Jaehnert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8/2/2014</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16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28.84</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11/18/2014</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
        </w:trPr>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8/1/2015</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16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37.83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11/30/2015</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
        </w:trPr>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11/30/2016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16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38.31</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12/4/2017</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
        </w:trPr>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12/4/2018</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16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56,667</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29.78</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8/3/2019</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
        </w:trPr>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70,000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28.73</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9/25/2019</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33"/>
        </w:trPr>
        <w:tc>
          <w:tcPr>
            <w:tcW w:w="16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T.J. Felmer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A.J. Klotsche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P.C. Sephton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33,334</w:t>
            </w:r>
          </w:p>
        </w:tc>
        <w:tc>
          <w:tcPr>
            <w:tcW w:w="1140" w:type="dxa"/>
            <w:vAlign w:val="bottom"/>
          </w:tcPr>
          <w:p>
            <w:pPr>
              <w:jc w:val="right"/>
              <w:spacing w:after="0"/>
              <w:rPr>
                <w:sz w:val="20"/>
                <w:szCs w:val="20"/>
                <w:color w:val="auto"/>
              </w:rPr>
            </w:pPr>
            <w:r>
              <w:rPr>
                <w:rFonts w:ascii="Arial" w:cs="Arial" w:eastAsia="Arial" w:hAnsi="Arial"/>
                <w:sz w:val="16"/>
                <w:szCs w:val="16"/>
                <w:color w:val="auto"/>
              </w:rPr>
              <w:t>83,333</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28.35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8/2/2020</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66,667</w:t>
            </w:r>
          </w:p>
        </w:tc>
        <w:tc>
          <w:tcPr>
            <w:tcW w:w="1140" w:type="dxa"/>
            <w:vAlign w:val="bottom"/>
          </w:tcPr>
          <w:p>
            <w:pPr>
              <w:jc w:val="right"/>
              <w:spacing w:after="0"/>
              <w:rPr>
                <w:sz w:val="20"/>
                <w:szCs w:val="20"/>
                <w:color w:val="auto"/>
              </w:rPr>
            </w:pPr>
            <w:r>
              <w:rPr>
                <w:rFonts w:ascii="Arial" w:cs="Arial" w:eastAsia="Arial" w:hAnsi="Arial"/>
                <w:sz w:val="16"/>
                <w:szCs w:val="16"/>
                <w:color w:val="auto"/>
              </w:rPr>
              <w:t>33,333</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29.10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9/24/2020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29.55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8/1/2021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30,000</w:t>
            </w:r>
          </w:p>
        </w:tc>
        <w:tc>
          <w:tcPr>
            <w:tcW w:w="1140" w:type="dxa"/>
            <w:vAlign w:val="bottom"/>
          </w:tcPr>
          <w:p>
            <w:pPr>
              <w:jc w:val="right"/>
              <w:spacing w:after="0"/>
              <w:rPr>
                <w:sz w:val="20"/>
                <w:szCs w:val="20"/>
                <w:color w:val="auto"/>
              </w:rPr>
            </w:pPr>
            <w:r>
              <w:rPr>
                <w:rFonts w:ascii="Arial" w:cs="Arial" w:eastAsia="Arial" w:hAnsi="Arial"/>
                <w:sz w:val="16"/>
                <w:szCs w:val="16"/>
                <w:color w:val="auto"/>
              </w:rPr>
              <w:t>60,000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27.00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9/30/2021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30.21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9/21/2022</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1,663,500</w:t>
            </w:r>
          </w:p>
        </w:tc>
      </w:tr>
      <w:tr>
        <w:trPr>
          <w:trHeight w:val="270"/>
        </w:trPr>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66,667</w:t>
            </w: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5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2,218,011</w:t>
            </w: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30,000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33.89</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8/1/2015</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37.83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11/30/2015</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38.19</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11/30/2016</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38.31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12/4/2017</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20.95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12/4/2018</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23,334</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29.78</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8/3/2019</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28.73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9/25/2019</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11,667</w:t>
            </w:r>
          </w:p>
        </w:tc>
        <w:tc>
          <w:tcPr>
            <w:tcW w:w="1140" w:type="dxa"/>
            <w:vAlign w:val="bottom"/>
          </w:tcPr>
          <w:p>
            <w:pPr>
              <w:jc w:val="right"/>
              <w:spacing w:after="0"/>
              <w:rPr>
                <w:sz w:val="20"/>
                <w:szCs w:val="20"/>
                <w:color w:val="auto"/>
              </w:rPr>
            </w:pPr>
            <w:r>
              <w:rPr>
                <w:rFonts w:ascii="Arial" w:cs="Arial" w:eastAsia="Arial" w:hAnsi="Arial"/>
                <w:sz w:val="16"/>
                <w:szCs w:val="16"/>
                <w:color w:val="auto"/>
              </w:rPr>
              <w:t>29,166</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28.35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8/2/2020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26,667</w:t>
            </w:r>
          </w:p>
        </w:tc>
        <w:tc>
          <w:tcPr>
            <w:tcW w:w="1140" w:type="dxa"/>
            <w:vAlign w:val="bottom"/>
          </w:tcPr>
          <w:p>
            <w:pPr>
              <w:jc w:val="right"/>
              <w:spacing w:after="0"/>
              <w:rPr>
                <w:sz w:val="20"/>
                <w:szCs w:val="20"/>
                <w:color w:val="auto"/>
              </w:rPr>
            </w:pPr>
            <w:r>
              <w:rPr>
                <w:rFonts w:ascii="Arial" w:cs="Arial" w:eastAsia="Arial" w:hAnsi="Arial"/>
                <w:sz w:val="16"/>
                <w:szCs w:val="16"/>
                <w:color w:val="auto"/>
              </w:rPr>
              <w:t>13,333</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29.10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9/24/2020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29.55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8/1/2021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11,667</w:t>
            </w:r>
          </w:p>
        </w:tc>
        <w:tc>
          <w:tcPr>
            <w:tcW w:w="1140" w:type="dxa"/>
            <w:vAlign w:val="bottom"/>
          </w:tcPr>
          <w:p>
            <w:pPr>
              <w:jc w:val="right"/>
              <w:spacing w:after="0"/>
              <w:rPr>
                <w:sz w:val="20"/>
                <w:szCs w:val="20"/>
                <w:color w:val="auto"/>
              </w:rPr>
            </w:pPr>
            <w:r>
              <w:rPr>
                <w:rFonts w:ascii="Arial" w:cs="Arial" w:eastAsia="Arial" w:hAnsi="Arial"/>
                <w:sz w:val="16"/>
                <w:szCs w:val="16"/>
                <w:color w:val="auto"/>
              </w:rPr>
              <w:t>23,333</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27.00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9/30/2021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30.21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9/21/2022</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35,000</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1,164,450</w:t>
            </w: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30,000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33.89</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8/1/2015</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37.83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11/30/2015</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38.19</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11/30/2016</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38.31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12/4/2017</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3"/>
        </w:trPr>
        <w:tc>
          <w:tcPr>
            <w:tcW w:w="1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23,334</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29.78</w:t>
            </w:r>
          </w:p>
        </w:tc>
        <w:tc>
          <w:tcPr>
            <w:tcW w:w="3040" w:type="dxa"/>
            <w:vAlign w:val="bottom"/>
            <w:tcBorders>
              <w:bottom w:val="single" w:sz="8" w:color="CCEEFF"/>
            </w:tcBorders>
            <w:shd w:val="clear" w:color="auto" w:fill="CCEEFF"/>
          </w:tcPr>
          <w:p>
            <w:pPr>
              <w:jc w:val="right"/>
              <w:ind w:right="1699"/>
              <w:spacing w:after="0"/>
              <w:rPr>
                <w:sz w:val="20"/>
                <w:szCs w:val="20"/>
                <w:color w:val="auto"/>
              </w:rPr>
            </w:pPr>
            <w:r>
              <w:rPr>
                <w:rFonts w:ascii="Arial" w:cs="Arial" w:eastAsia="Arial" w:hAnsi="Arial"/>
                <w:sz w:val="16"/>
                <w:szCs w:val="16"/>
                <w:color w:val="auto"/>
              </w:rPr>
              <w:t>8/3/2019</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35,000</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28.73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9/25/2019</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10,000</w:t>
            </w:r>
          </w:p>
        </w:tc>
        <w:tc>
          <w:tcPr>
            <w:tcW w:w="1140" w:type="dxa"/>
            <w:vAlign w:val="bottom"/>
          </w:tcPr>
          <w:p>
            <w:pPr>
              <w:jc w:val="right"/>
              <w:spacing w:after="0"/>
              <w:rPr>
                <w:sz w:val="20"/>
                <w:szCs w:val="20"/>
                <w:color w:val="auto"/>
              </w:rPr>
            </w:pPr>
            <w:r>
              <w:rPr>
                <w:rFonts w:ascii="Arial" w:cs="Arial" w:eastAsia="Arial" w:hAnsi="Arial"/>
                <w:sz w:val="16"/>
                <w:szCs w:val="16"/>
                <w:color w:val="auto"/>
              </w:rPr>
              <w:t>25,000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28.35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8/2/2020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23,334</w:t>
            </w:r>
          </w:p>
        </w:tc>
        <w:tc>
          <w:tcPr>
            <w:tcW w:w="1140" w:type="dxa"/>
            <w:vAlign w:val="bottom"/>
          </w:tcPr>
          <w:p>
            <w:pPr>
              <w:jc w:val="right"/>
              <w:spacing w:after="0"/>
              <w:rPr>
                <w:sz w:val="20"/>
                <w:szCs w:val="20"/>
                <w:color w:val="auto"/>
              </w:rPr>
            </w:pPr>
            <w:r>
              <w:rPr>
                <w:rFonts w:ascii="Arial" w:cs="Arial" w:eastAsia="Arial" w:hAnsi="Arial"/>
                <w:sz w:val="16"/>
                <w:szCs w:val="16"/>
                <w:color w:val="auto"/>
              </w:rPr>
              <w:t>11,666</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29.10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9/24/2020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29.55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8/1/2021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10,000</w:t>
            </w:r>
          </w:p>
        </w:tc>
        <w:tc>
          <w:tcPr>
            <w:tcW w:w="1140" w:type="dxa"/>
            <w:vAlign w:val="bottom"/>
          </w:tcPr>
          <w:p>
            <w:pPr>
              <w:jc w:val="right"/>
              <w:spacing w:after="0"/>
              <w:rPr>
                <w:sz w:val="20"/>
                <w:szCs w:val="20"/>
                <w:color w:val="auto"/>
              </w:rPr>
            </w:pPr>
            <w:r>
              <w:rPr>
                <w:rFonts w:ascii="Arial" w:cs="Arial" w:eastAsia="Arial" w:hAnsi="Arial"/>
                <w:sz w:val="16"/>
                <w:szCs w:val="16"/>
                <w:color w:val="auto"/>
              </w:rPr>
              <w:t>20,000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27.00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9/30/2021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30.21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9/21/2022</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35,000</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1,164,450</w:t>
            </w: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28.84</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11/18/2014</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3,500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37.83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11/30/2015</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38.19</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11/30/2016</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38.31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12/4/2017</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7,500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20.95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12/4/2018</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10,000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28.73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9/25/2019</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6,667</w:t>
            </w:r>
          </w:p>
        </w:tc>
        <w:tc>
          <w:tcPr>
            <w:tcW w:w="1140" w:type="dxa"/>
            <w:vAlign w:val="bottom"/>
          </w:tcPr>
          <w:p>
            <w:pPr>
              <w:jc w:val="right"/>
              <w:spacing w:after="0"/>
              <w:rPr>
                <w:sz w:val="20"/>
                <w:szCs w:val="20"/>
                <w:color w:val="auto"/>
              </w:rPr>
            </w:pPr>
            <w:r>
              <w:rPr>
                <w:rFonts w:ascii="Arial" w:cs="Arial" w:eastAsia="Arial" w:hAnsi="Arial"/>
                <w:sz w:val="16"/>
                <w:szCs w:val="16"/>
                <w:color w:val="auto"/>
              </w:rPr>
              <w:t>3,333</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29.10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9/24/2020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29.55</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8/1/2021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10,000</w:t>
            </w:r>
          </w:p>
        </w:tc>
        <w:tc>
          <w:tcPr>
            <w:tcW w:w="1140" w:type="dxa"/>
            <w:vAlign w:val="bottom"/>
          </w:tcPr>
          <w:p>
            <w:pPr>
              <w:jc w:val="right"/>
              <w:spacing w:after="0"/>
              <w:rPr>
                <w:sz w:val="20"/>
                <w:szCs w:val="20"/>
                <w:color w:val="auto"/>
              </w:rPr>
            </w:pPr>
            <w:r>
              <w:rPr>
                <w:rFonts w:ascii="Arial" w:cs="Arial" w:eastAsia="Arial" w:hAnsi="Arial"/>
                <w:sz w:val="16"/>
                <w:szCs w:val="16"/>
                <w:color w:val="auto"/>
              </w:rPr>
              <w:t>20,000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27.00</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9/30/2021</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30.21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9/21/2022</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332,700</w:t>
            </w: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30,000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28.84</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11/18/2014</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30,000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33.89</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8/1/2015</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37.83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11/30/2015</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38.19</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11/30/2016</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38.31</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12/4/2017</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23,334</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29.78</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8/3/2019</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800" w:type="dxa"/>
            <w:vAlign w:val="bottom"/>
          </w:tcPr>
          <w:p>
            <w:pPr>
              <w:jc w:val="right"/>
              <w:ind w:right="459"/>
              <w:spacing w:after="0"/>
              <w:rPr>
                <w:sz w:val="20"/>
                <w:szCs w:val="20"/>
                <w:color w:val="auto"/>
              </w:rPr>
            </w:pPr>
            <w:r>
              <w:rPr>
                <w:rFonts w:ascii="Arial" w:cs="Arial" w:eastAsia="Arial" w:hAnsi="Arial"/>
                <w:sz w:val="16"/>
                <w:szCs w:val="16"/>
                <w:color w:val="auto"/>
              </w:rPr>
              <w:t>15,000</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28.73</w:t>
            </w:r>
          </w:p>
        </w:tc>
        <w:tc>
          <w:tcPr>
            <w:tcW w:w="3040" w:type="dxa"/>
            <w:vAlign w:val="bottom"/>
          </w:tcPr>
          <w:p>
            <w:pPr>
              <w:jc w:val="right"/>
              <w:ind w:right="1699"/>
              <w:spacing w:after="0"/>
              <w:rPr>
                <w:sz w:val="20"/>
                <w:szCs w:val="20"/>
                <w:color w:val="auto"/>
              </w:rPr>
            </w:pPr>
            <w:r>
              <w:rPr>
                <w:rFonts w:ascii="Arial" w:cs="Arial" w:eastAsia="Arial" w:hAnsi="Arial"/>
                <w:sz w:val="16"/>
                <w:szCs w:val="16"/>
                <w:color w:val="auto"/>
              </w:rPr>
              <w:t>9/25/2019</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-8382635</wp:posOffset>
            </wp:positionV>
            <wp:extent cx="721233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-8039735</wp:posOffset>
            </wp:positionV>
            <wp:extent cx="721233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-7525385</wp:posOffset>
            </wp:positionV>
            <wp:extent cx="721233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-7181850</wp:posOffset>
            </wp:positionV>
            <wp:extent cx="721233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-6838950</wp:posOffset>
            </wp:positionV>
            <wp:extent cx="721233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-6496050</wp:posOffset>
            </wp:positionV>
            <wp:extent cx="721233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-6153150</wp:posOffset>
            </wp:positionV>
            <wp:extent cx="721233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-5810250</wp:posOffset>
            </wp:positionV>
            <wp:extent cx="721233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-5466715</wp:posOffset>
            </wp:positionV>
            <wp:extent cx="721233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-4952365</wp:posOffset>
            </wp:positionV>
            <wp:extent cx="721233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-4609465</wp:posOffset>
            </wp:positionV>
            <wp:extent cx="7212330"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34290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-4094480</wp:posOffset>
            </wp:positionV>
            <wp:extent cx="721233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-3751580</wp:posOffset>
            </wp:positionV>
            <wp:extent cx="721233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-3408680</wp:posOffset>
            </wp:positionV>
            <wp:extent cx="721233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-3065780</wp:posOffset>
            </wp:positionV>
            <wp:extent cx="721233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-2722880</wp:posOffset>
            </wp:positionV>
            <wp:extent cx="721233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-2379345</wp:posOffset>
            </wp:positionV>
            <wp:extent cx="721233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-2036445</wp:posOffset>
            </wp:positionV>
            <wp:extent cx="721233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-1693545</wp:posOffset>
            </wp:positionV>
            <wp:extent cx="721233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-1350645</wp:posOffset>
            </wp:positionV>
            <wp:extent cx="721233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-1007745</wp:posOffset>
            </wp:positionV>
            <wp:extent cx="721233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-664210</wp:posOffset>
            </wp:positionV>
            <wp:extent cx="721233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-321310</wp:posOffset>
            </wp:positionV>
            <wp:extent cx="721233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400"/>
            <w:col w:w="9860"/>
          </w:cols>
          <w:pgMar w:left="240" w:top="122" w:right="299" w:bottom="1440" w:gutter="0" w:footer="0" w:header="0"/>
        </w:sectPr>
      </w:pP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60"/>
          </w:cols>
          <w:pgMar w:left="240" w:top="122" w:right="29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23,334</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29.10</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9/24/2020</w:t>
            </w:r>
          </w:p>
        </w:tc>
      </w:tr>
      <w:tr>
        <w:trPr>
          <w:trHeight w:val="297"/>
        </w:trPr>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M.O.Williamson</w:t>
            </w: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30,000</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22.63</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8/2/2014</w:t>
            </w:r>
          </w:p>
        </w:tc>
      </w:tr>
      <w:tr>
        <w:trPr>
          <w:trHeight w:val="237"/>
        </w:trPr>
        <w:tc>
          <w:tcPr>
            <w:tcW w:w="1720" w:type="dxa"/>
            <w:vAlign w:val="bottom"/>
          </w:tcPr>
          <w:p>
            <w:pPr>
              <w:spacing w:after="0"/>
              <w:rPr>
                <w:sz w:val="20"/>
                <w:szCs w:val="20"/>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30,000</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28.84</w:t>
            </w:r>
          </w:p>
        </w:tc>
        <w:tc>
          <w:tcPr>
            <w:tcW w:w="5100" w:type="dxa"/>
            <w:vAlign w:val="bottom"/>
          </w:tcPr>
          <w:p>
            <w:pPr>
              <w:jc w:val="right"/>
              <w:ind w:right="3759"/>
              <w:spacing w:after="0"/>
              <w:rPr>
                <w:sz w:val="20"/>
                <w:szCs w:val="20"/>
                <w:color w:val="auto"/>
              </w:rPr>
            </w:pPr>
            <w:r>
              <w:rPr>
                <w:rFonts w:ascii="Arial" w:cs="Arial" w:eastAsia="Arial" w:hAnsi="Arial"/>
                <w:sz w:val="16"/>
                <w:szCs w:val="16"/>
                <w:color w:val="auto"/>
              </w:rPr>
              <w:t>11/18/2014</w:t>
            </w:r>
          </w:p>
        </w:tc>
      </w:tr>
      <w:tr>
        <w:trPr>
          <w:trHeight w:val="33"/>
        </w:trPr>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30,000</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33.89</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8/1/2015</w:t>
            </w:r>
          </w:p>
        </w:tc>
      </w:tr>
      <w:tr>
        <w:trPr>
          <w:trHeight w:val="237"/>
        </w:trPr>
        <w:tc>
          <w:tcPr>
            <w:tcW w:w="1720" w:type="dxa"/>
            <w:vAlign w:val="bottom"/>
          </w:tcPr>
          <w:p>
            <w:pPr>
              <w:spacing w:after="0"/>
              <w:rPr>
                <w:sz w:val="20"/>
                <w:szCs w:val="20"/>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25,000</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37.83</w:t>
            </w:r>
          </w:p>
        </w:tc>
        <w:tc>
          <w:tcPr>
            <w:tcW w:w="5100" w:type="dxa"/>
            <w:vAlign w:val="bottom"/>
          </w:tcPr>
          <w:p>
            <w:pPr>
              <w:jc w:val="right"/>
              <w:ind w:right="3759"/>
              <w:spacing w:after="0"/>
              <w:rPr>
                <w:sz w:val="20"/>
                <w:szCs w:val="20"/>
                <w:color w:val="auto"/>
              </w:rPr>
            </w:pPr>
            <w:r>
              <w:rPr>
                <w:rFonts w:ascii="Arial" w:cs="Arial" w:eastAsia="Arial" w:hAnsi="Arial"/>
                <w:sz w:val="16"/>
                <w:szCs w:val="16"/>
                <w:color w:val="auto"/>
              </w:rPr>
              <w:t>11/30/2015</w:t>
            </w:r>
          </w:p>
        </w:tc>
      </w:tr>
      <w:tr>
        <w:trPr>
          <w:trHeight w:val="33"/>
        </w:trPr>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25,000</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38.19</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11/30/2016</w:t>
            </w:r>
          </w:p>
        </w:tc>
      </w:tr>
      <w:tr>
        <w:trPr>
          <w:trHeight w:val="237"/>
        </w:trPr>
        <w:tc>
          <w:tcPr>
            <w:tcW w:w="1720" w:type="dxa"/>
            <w:vAlign w:val="bottom"/>
          </w:tcPr>
          <w:p>
            <w:pPr>
              <w:spacing w:after="0"/>
              <w:rPr>
                <w:sz w:val="20"/>
                <w:szCs w:val="20"/>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25,000</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38.31</w:t>
            </w:r>
          </w:p>
        </w:tc>
        <w:tc>
          <w:tcPr>
            <w:tcW w:w="5100" w:type="dxa"/>
            <w:vAlign w:val="bottom"/>
          </w:tcPr>
          <w:p>
            <w:pPr>
              <w:jc w:val="right"/>
              <w:ind w:right="3759"/>
              <w:spacing w:after="0"/>
              <w:rPr>
                <w:sz w:val="20"/>
                <w:szCs w:val="20"/>
                <w:color w:val="auto"/>
              </w:rPr>
            </w:pPr>
            <w:r>
              <w:rPr>
                <w:rFonts w:ascii="Arial" w:cs="Arial" w:eastAsia="Arial" w:hAnsi="Arial"/>
                <w:sz w:val="16"/>
                <w:szCs w:val="16"/>
                <w:color w:val="auto"/>
              </w:rPr>
              <w:t>12/4/2017</w:t>
            </w:r>
          </w:p>
        </w:tc>
      </w:tr>
      <w:tr>
        <w:trPr>
          <w:trHeight w:val="33"/>
        </w:trPr>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25,000</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20.95</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12/4/2018</w:t>
            </w:r>
          </w:p>
        </w:tc>
      </w:tr>
      <w:tr>
        <w:trPr>
          <w:trHeight w:val="237"/>
        </w:trPr>
        <w:tc>
          <w:tcPr>
            <w:tcW w:w="1720" w:type="dxa"/>
            <w:vAlign w:val="bottom"/>
          </w:tcPr>
          <w:p>
            <w:pPr>
              <w:spacing w:after="0"/>
              <w:rPr>
                <w:sz w:val="20"/>
                <w:szCs w:val="20"/>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23,334</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29.78</w:t>
            </w:r>
          </w:p>
        </w:tc>
        <w:tc>
          <w:tcPr>
            <w:tcW w:w="5100" w:type="dxa"/>
            <w:vAlign w:val="bottom"/>
          </w:tcPr>
          <w:p>
            <w:pPr>
              <w:jc w:val="right"/>
              <w:ind w:right="3759"/>
              <w:spacing w:after="0"/>
              <w:rPr>
                <w:sz w:val="20"/>
                <w:szCs w:val="20"/>
                <w:color w:val="auto"/>
              </w:rPr>
            </w:pPr>
            <w:r>
              <w:rPr>
                <w:rFonts w:ascii="Arial" w:cs="Arial" w:eastAsia="Arial" w:hAnsi="Arial"/>
                <w:sz w:val="16"/>
                <w:szCs w:val="16"/>
                <w:color w:val="auto"/>
              </w:rPr>
              <w:t>8/3/2019</w:t>
            </w:r>
          </w:p>
        </w:tc>
      </w:tr>
      <w:tr>
        <w:trPr>
          <w:trHeight w:val="33"/>
        </w:trPr>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35,000</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28.73</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9/25/2019</w:t>
            </w:r>
          </w:p>
        </w:tc>
      </w:tr>
      <w:tr>
        <w:trPr>
          <w:trHeight w:val="237"/>
        </w:trPr>
        <w:tc>
          <w:tcPr>
            <w:tcW w:w="1720" w:type="dxa"/>
            <w:vAlign w:val="bottom"/>
          </w:tcPr>
          <w:p>
            <w:pPr>
              <w:spacing w:after="0"/>
              <w:rPr>
                <w:sz w:val="20"/>
                <w:szCs w:val="20"/>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10,000</w:t>
            </w:r>
          </w:p>
        </w:tc>
        <w:tc>
          <w:tcPr>
            <w:tcW w:w="1100" w:type="dxa"/>
            <w:vAlign w:val="bottom"/>
          </w:tcPr>
          <w:p>
            <w:pPr>
              <w:jc w:val="right"/>
              <w:spacing w:after="0"/>
              <w:rPr>
                <w:sz w:val="20"/>
                <w:szCs w:val="20"/>
                <w:color w:val="auto"/>
              </w:rPr>
            </w:pPr>
            <w:r>
              <w:rPr>
                <w:rFonts w:ascii="Arial" w:cs="Arial" w:eastAsia="Arial" w:hAnsi="Arial"/>
                <w:sz w:val="16"/>
                <w:szCs w:val="16"/>
                <w:color w:val="auto"/>
              </w:rPr>
              <w:t>25,000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28.35</w:t>
            </w:r>
          </w:p>
        </w:tc>
        <w:tc>
          <w:tcPr>
            <w:tcW w:w="5100" w:type="dxa"/>
            <w:vAlign w:val="bottom"/>
          </w:tcPr>
          <w:p>
            <w:pPr>
              <w:jc w:val="right"/>
              <w:ind w:right="3759"/>
              <w:spacing w:after="0"/>
              <w:rPr>
                <w:sz w:val="20"/>
                <w:szCs w:val="20"/>
                <w:color w:val="auto"/>
              </w:rPr>
            </w:pPr>
            <w:r>
              <w:rPr>
                <w:rFonts w:ascii="Arial" w:cs="Arial" w:eastAsia="Arial" w:hAnsi="Arial"/>
                <w:sz w:val="16"/>
                <w:szCs w:val="16"/>
                <w:color w:val="auto"/>
              </w:rPr>
              <w:t>8/2/2020</w:t>
            </w:r>
          </w:p>
        </w:tc>
      </w:tr>
      <w:tr>
        <w:trPr>
          <w:trHeight w:val="33"/>
        </w:trPr>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23,334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11,666</w:t>
            </w:r>
          </w:p>
        </w:tc>
        <w:tc>
          <w:tcPr>
            <w:tcW w:w="6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29.10</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9/24/2020</w:t>
            </w:r>
          </w:p>
        </w:tc>
      </w:tr>
      <w:tr>
        <w:trPr>
          <w:trHeight w:val="237"/>
        </w:trPr>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29.55</w:t>
            </w:r>
          </w:p>
        </w:tc>
        <w:tc>
          <w:tcPr>
            <w:tcW w:w="5100" w:type="dxa"/>
            <w:vAlign w:val="bottom"/>
          </w:tcPr>
          <w:p>
            <w:pPr>
              <w:jc w:val="right"/>
              <w:ind w:right="3759"/>
              <w:spacing w:after="0"/>
              <w:rPr>
                <w:sz w:val="20"/>
                <w:szCs w:val="20"/>
                <w:color w:val="auto"/>
              </w:rPr>
            </w:pPr>
            <w:r>
              <w:rPr>
                <w:rFonts w:ascii="Arial" w:cs="Arial" w:eastAsia="Arial" w:hAnsi="Arial"/>
                <w:sz w:val="16"/>
                <w:szCs w:val="16"/>
                <w:color w:val="auto"/>
              </w:rPr>
              <w:t>8/1/2021</w:t>
            </w:r>
          </w:p>
        </w:tc>
      </w:tr>
      <w:tr>
        <w:trPr>
          <w:trHeight w:val="33"/>
        </w:trPr>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w:t>
            </w: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27.00</w:t>
            </w:r>
          </w:p>
        </w:tc>
        <w:tc>
          <w:tcPr>
            <w:tcW w:w="51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rPr>
              <w:t>9/30/2021</w:t>
            </w:r>
          </w:p>
        </w:tc>
      </w:tr>
      <w:tr>
        <w:trPr>
          <w:trHeight w:val="237"/>
        </w:trPr>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34,500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30.21</w:t>
            </w:r>
          </w:p>
        </w:tc>
        <w:tc>
          <w:tcPr>
            <w:tcW w:w="5100" w:type="dxa"/>
            <w:vAlign w:val="bottom"/>
          </w:tcPr>
          <w:p>
            <w:pPr>
              <w:jc w:val="right"/>
              <w:ind w:right="3759"/>
              <w:spacing w:after="0"/>
              <w:rPr>
                <w:sz w:val="20"/>
                <w:szCs w:val="20"/>
                <w:color w:val="auto"/>
              </w:rPr>
            </w:pPr>
            <w:r>
              <w:rPr>
                <w:rFonts w:ascii="Arial" w:cs="Arial" w:eastAsia="Arial" w:hAnsi="Arial"/>
                <w:sz w:val="16"/>
                <w:szCs w:val="16"/>
                <w:color w:val="auto"/>
              </w:rPr>
              <w:t>9/21/2022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1233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4" w:lineRule="exact"/>
        <w:rPr>
          <w:sz w:val="20"/>
          <w:szCs w:val="20"/>
          <w:color w:val="auto"/>
        </w:rPr>
      </w:pPr>
    </w:p>
    <w:p>
      <w:pPr>
        <w:ind w:left="8780"/>
        <w:spacing w:after="0"/>
        <w:tabs>
          <w:tab w:leader="none" w:pos="9340" w:val="left"/>
          <w:tab w:leader="none" w:pos="10580" w:val="left"/>
        </w:tabs>
        <w:rPr>
          <w:sz w:val="20"/>
          <w:szCs w:val="20"/>
          <w:color w:val="auto"/>
        </w:rPr>
      </w:pPr>
      <w:r>
        <w:rPr>
          <w:rFonts w:ascii="Arial" w:cs="Arial" w:eastAsia="Arial" w:hAnsi="Arial"/>
          <w:sz w:val="16"/>
          <w:szCs w:val="16"/>
          <w:color w:val="auto"/>
        </w:rPr>
        <w:t>35,000</w:t>
        <w:tab/>
        <w:t>(4)</w:t>
      </w:r>
      <w:r>
        <w:rPr>
          <w:sz w:val="20"/>
          <w:szCs w:val="20"/>
          <w:color w:val="auto"/>
        </w:rPr>
        <w:tab/>
      </w:r>
      <w:r>
        <w:rPr>
          <w:rFonts w:ascii="Arial" w:cs="Arial" w:eastAsia="Arial" w:hAnsi="Arial"/>
          <w:sz w:val="14"/>
          <w:szCs w:val="14"/>
          <w:color w:val="auto"/>
        </w:rPr>
        <w:t>1,164,450</w:t>
      </w:r>
    </w:p>
    <w:p>
      <w:pPr>
        <w:spacing w:after="0" w:line="41" w:lineRule="exact"/>
        <w:rPr>
          <w:sz w:val="20"/>
          <w:szCs w:val="20"/>
          <w:color w:val="auto"/>
        </w:rPr>
      </w:pPr>
    </w:p>
    <w:p>
      <w:pPr>
        <w:jc w:val="both"/>
        <w:ind w:left="540" w:hanging="316"/>
        <w:spacing w:after="0" w:line="288"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Two-thirds of the shares vest in equal installments over a three-year period, with the vesting date being the date the Audit Committee accepts the results of the fiscal year audit confirming the achievement of annual EPS growth levels. The remaining one-third of the shares vest at plan year three depending upon the Company’s EPS growth for fiscal 2013 over fiscal 2010 in comparison with other corporations in the S&amp;P 600 Index.</w:t>
      </w: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remaining options will vest on September 24, 2013.</w:t>
      </w:r>
    </w:p>
    <w:p>
      <w:pPr>
        <w:spacing w:after="0" w:line="9"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performance-based stock options granted on August 1, 2011 become exercisable in equal annual installments over a three-year period, with the vesting date being the date the Audit Committee accepts the results of the fiscal year audit confirming the achievement of annual 15 percent EPS growth. In the event the annual EPS growth goal is not achieved with respect to any fiscal year, the options may vest in full at the end of either fiscal 2013 or fiscal 2014 if the Corporation’s Compounded Annual Growth Rate (“CAGR”) for EPS over fiscal 2011 is 15 percent or more.</w:t>
      </w:r>
    </w:p>
    <w:p>
      <w:pPr>
        <w:jc w:val="both"/>
        <w:ind w:left="540" w:hanging="316"/>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 July 20, 2011, the Management Development &amp; Compensation Committee of the Board of Directors of the Company approved an amendment to the granting agreement under which the Company issued performance-based restricted stock on January 8, 2008. Pursuant to the amendment, the shares will vest upon meeting a financial performance vesting requirement based upon the Company’s EPS growth at either July 31, 2013 or July 31, 2014, provided that the senior executives remain employed through July 31, 2014.</w:t>
      </w:r>
    </w:p>
    <w:p>
      <w:pPr>
        <w:spacing w:after="0" w:line="1"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September 21, 2012, Mr. Millar was awarded 10,000 restricted stock units with both a performance vesting requirement and a service vesting requirement (two years). As of July 31, 2013, the vesting criteria for this award have not been met.</w:t>
      </w: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One-half of the options vest on September 30, 2013 and the remaining options vest on September 30, 2014.</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One-third of the options vest on September 21, 2013, one-third of the options vest on September 21, 2014, and one-third of the options vest on September 21, 2015.</w:t>
      </w:r>
    </w:p>
    <w:p>
      <w:pPr>
        <w:jc w:val="both"/>
        <w:ind w:left="540" w:right="20" w:hanging="316"/>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 August 2, 2010, a grant of 100,000 shares of performance-based restricted stock was issued to Mr. Jaehnert, which included both a performance vesting requirement based upon earnings per share growth and a service vesting requirement prorated at July 31, 2013, July 31, 2014 and July 31, 2015. As of July 31, 2013, 1/3 or 33,333 shares have vested.</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account of his resignation, Mr. Sephton has ninety days after his resignation date of July 31, 2013 to exercise the outstanding vested stock options not withstanding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&amp; Stock Vested for Fiscal 2013</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option exercises and the vesting of restricted stock during fiscal 2013 to the named executive officers. The first traunch of the restricted stock granted to Frank Jaehnert on August 1, 2010 vested as of July 31, 2013, which represented 33,333 shares at a fair value of $33.27 per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Value Realized</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380" w:type="dxa"/>
            <w:vAlign w:val="bottom"/>
          </w:tcPr>
          <w:p>
            <w:pPr>
              <w:spacing w:after="0"/>
              <w:rPr>
                <w:sz w:val="13"/>
                <w:szCs w:val="13"/>
                <w:color w:val="auto"/>
              </w:rPr>
            </w:pPr>
          </w:p>
        </w:tc>
        <w:tc>
          <w:tcPr>
            <w:tcW w:w="13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Exercise (#)</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on Exercise ($)</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Acquired on Vesting</w:t>
            </w:r>
          </w:p>
        </w:tc>
        <w:tc>
          <w:tcPr>
            <w:tcW w:w="380" w:type="dxa"/>
            <w:vAlign w:val="bottom"/>
          </w:tcPr>
          <w:p>
            <w:pPr>
              <w:spacing w:after="0"/>
              <w:rPr>
                <w:sz w:val="16"/>
                <w:szCs w:val="16"/>
                <w:color w:val="auto"/>
              </w:rPr>
            </w:pPr>
          </w:p>
        </w:tc>
        <w:tc>
          <w:tcPr>
            <w:tcW w:w="1320" w:type="dxa"/>
            <w:vAlign w:val="bottom"/>
          </w:tcPr>
          <w:p>
            <w:pPr>
              <w:jc w:val="right"/>
              <w:ind w:right="334"/>
              <w:spacing w:after="0"/>
              <w:rPr>
                <w:sz w:val="20"/>
                <w:szCs w:val="20"/>
                <w:color w:val="auto"/>
              </w:rPr>
            </w:pPr>
            <w:r>
              <w:rPr>
                <w:rFonts w:ascii="Arial" w:cs="Arial" w:eastAsia="Arial" w:hAnsi="Arial"/>
                <w:sz w:val="14"/>
                <w:szCs w:val="14"/>
                <w:b w:val="1"/>
                <w:bCs w:val="1"/>
                <w:color w:val="auto"/>
                <w:w w:val="95"/>
              </w:rPr>
              <w:t>on Vesting ($)</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F.M. Jaehnert</w:t>
            </w:r>
          </w:p>
        </w:tc>
        <w:tc>
          <w:tcPr>
            <w:tcW w:w="16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197,000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3,411,368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1,108,989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598,760</w:t>
            </w:r>
          </w:p>
        </w:tc>
        <w:tc>
          <w:tcPr>
            <w:tcW w:w="1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A.J. Klotsche</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899,395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 Millar</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98,550</w:t>
            </w:r>
          </w:p>
        </w:tc>
        <w:tc>
          <w:tcPr>
            <w:tcW w:w="1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 Sephton</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1,063,786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M.O. Williamson</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197,555</w:t>
            </w:r>
          </w:p>
        </w:tc>
        <w:tc>
          <w:tcPr>
            <w:tcW w:w="1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2013</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2013 for the named executive officers.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Registrant</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4"/>
                <w:szCs w:val="14"/>
                <w:color w:val="auto"/>
              </w:rPr>
            </w:pPr>
          </w:p>
        </w:tc>
        <w:tc>
          <w:tcPr>
            <w:tcW w:w="15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Aggregate</w:t>
            </w:r>
          </w:p>
        </w:tc>
        <w:tc>
          <w:tcPr>
            <w:tcW w:w="130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Earnings in</w:t>
            </w:r>
          </w:p>
        </w:tc>
        <w:tc>
          <w:tcPr>
            <w:tcW w:w="220" w:type="dxa"/>
            <w:vAlign w:val="bottom"/>
          </w:tcPr>
          <w:p>
            <w:pPr>
              <w:spacing w:after="0"/>
              <w:rPr>
                <w:sz w:val="12"/>
                <w:szCs w:val="12"/>
                <w:color w:val="auto"/>
              </w:rPr>
            </w:pPr>
          </w:p>
        </w:tc>
        <w:tc>
          <w:tcPr>
            <w:tcW w:w="15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3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220" w:type="dxa"/>
            <w:vAlign w:val="bottom"/>
          </w:tcPr>
          <w:p>
            <w:pPr>
              <w:spacing w:after="0"/>
              <w:rPr>
                <w:sz w:val="12"/>
                <w:szCs w:val="12"/>
                <w:color w:val="auto"/>
              </w:rPr>
            </w:pPr>
          </w:p>
        </w:tc>
        <w:tc>
          <w:tcPr>
            <w:tcW w:w="15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3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F.M. Jaehnert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1,158,726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5,163,559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8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489,290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2,276,808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A.J. Klotsche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627,356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 Millar</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4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 Sephton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M.O. Williamson</w:t>
            </w:r>
          </w:p>
        </w:tc>
        <w:tc>
          <w:tcPr>
            <w:tcW w:w="18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34,284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19,709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224,650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1,157,787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See discussion of the Company’s nonqualified deferred compensation plan in the Compensation Discussion and Analysis. The executive contribution amounts reported here are derived from the salary and non-equity incentive plan compensation columns of the Summary Compensation Table. The registrant contribution amounts reported here are reported in the all other compensation columns of the Summary Compensation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See the section entitled "Sephton Severance Agreement" above in the Compensation Discussion and Analysis section for a description of the severance benefits paid to Mr. Sephton upon his resignation. No other employment agreements have been entered into between the Company and any of the named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23" w:lineRule="exact"/>
        <w:rPr>
          <w:sz w:val="20"/>
          <w:szCs w:val="20"/>
          <w:color w:val="auto"/>
        </w:rPr>
      </w:pPr>
    </w:p>
    <w:p>
      <w:pPr>
        <w:jc w:val="both"/>
        <w:ind w:left="540" w:right="20" w:hanging="316"/>
        <w:spacing w:after="0" w:line="281"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shown in the tables assume that each named executive officer terminated employment on July 31, 2013. Accordingly, the tables reflect amounts earned as of July 31, 2013,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2" w:lineRule="exact"/>
        <w:rPr>
          <w:rFonts w:ascii="Arial" w:cs="Arial" w:eastAsia="Arial" w:hAnsi="Arial"/>
          <w:sz w:val="16"/>
          <w:szCs w:val="16"/>
          <w:color w:val="auto"/>
        </w:rPr>
      </w:pPr>
    </w:p>
    <w:p>
      <w:pPr>
        <w:jc w:val="both"/>
        <w:ind w:left="540" w:hanging="316"/>
        <w:spacing w:after="0" w:line="25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2013 and the named executive officer had to legally enforce the terms of the agreement.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Stock Option</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Excise Tax</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Base Salary ($)(1)</w:t>
            </w:r>
          </w:p>
        </w:tc>
        <w:tc>
          <w:tcPr>
            <w:tcW w:w="15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Bonus ($) (2)</w:t>
            </w:r>
          </w:p>
        </w:tc>
        <w:tc>
          <w:tcPr>
            <w:tcW w:w="1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Gain $(3)</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Gain $ (4)</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2,400,000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2,826,439</w:t>
            </w:r>
          </w:p>
        </w:tc>
        <w:tc>
          <w:tcPr>
            <w:tcW w:w="1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3,881,511</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1,684,197</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1,834,368</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9"/>
              </w:rPr>
              <w:t>12,651,515</w:t>
            </w:r>
          </w:p>
        </w:tc>
        <w:tc>
          <w:tcPr>
            <w:tcW w:w="0" w:type="dxa"/>
            <w:vAlign w:val="bottom"/>
          </w:tcPr>
          <w:p>
            <w:pPr>
              <w:spacing w:after="0"/>
              <w:rPr>
                <w:sz w:val="1"/>
                <w:szCs w:val="1"/>
                <w:color w:val="auto"/>
              </w:rPr>
            </w:pPr>
          </w:p>
        </w:tc>
      </w:tr>
      <w:tr>
        <w:trPr>
          <w:trHeight w:val="27"/>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three times the base salary in effect at July 31, 2013.</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three times the average bonus payment received in the last three fiscal years ended July 31, 2013, 2012 and 2011.</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$33.27 on 116,667 unvested awards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$33.27 and the exercise price on 396,666 unvested stock options in-the-money that would vest due to the change in control.</w:t>
      </w: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Thomas J. Felmer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2013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Stock Option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Base Salary ($)(1)</w:t>
            </w:r>
          </w:p>
        </w:tc>
        <w:tc>
          <w:tcPr>
            <w:tcW w:w="15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Bonus ($) (2)</w:t>
            </w:r>
          </w:p>
        </w:tc>
        <w:tc>
          <w:tcPr>
            <w:tcW w:w="1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Gain $(3)</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 $ (4)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755,000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595,220</w:t>
            </w:r>
          </w:p>
        </w:tc>
        <w:tc>
          <w:tcPr>
            <w:tcW w:w="1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1,164,450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652,024</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528,928</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3,720,622</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2013.</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2013 and 2012.</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closing market price of $33.27 on 35,000 unvested awards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$33.27 and the exercise price on 156,332 unvested stock options in-the-money that would vest due to the change in control.</w:t>
      </w: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Allan J. Klotsche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2013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Stock Option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Base Salary ($)(1)</w:t>
            </w:r>
          </w:p>
        </w:tc>
        <w:tc>
          <w:tcPr>
            <w:tcW w:w="15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Bonus ($) (2)</w:t>
            </w:r>
          </w:p>
        </w:tc>
        <w:tc>
          <w:tcPr>
            <w:tcW w:w="1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Gain $(3)</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 $ (4)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643,000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471,586</w:t>
            </w:r>
          </w:p>
        </w:tc>
        <w:tc>
          <w:tcPr>
            <w:tcW w:w="1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1,164,450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537,647</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473,716</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3,315,399</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2013.</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2013 and 2012.</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closing market price of $33.27 on 35,000 unvested awards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$33.27 and the exercise price on 126,666 unvested stock options in-the-money that would vest due to the change in control.</w:t>
      </w: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Stephan Millar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2013 and the named executive officer had to legally enforce the terms of the agreement.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Stock Option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Base Salary ($)(1)</w:t>
            </w:r>
          </w:p>
        </w:tc>
        <w:tc>
          <w:tcPr>
            <w:tcW w:w="15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Bonus ($) (2)</w:t>
            </w:r>
          </w:p>
        </w:tc>
        <w:tc>
          <w:tcPr>
            <w:tcW w:w="1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Gain $(3)</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 $ (4)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608,626</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191,076</w:t>
            </w:r>
          </w:p>
        </w:tc>
        <w:tc>
          <w:tcPr>
            <w:tcW w:w="1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332,700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379,899</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232,713</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1,770,014</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line="291"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two times the base salary in effect at July 31, 2013. As Mr. Millar works and lives in Australia, his base salary is paid to him in Australian Dollars. The amount shown in U.S. dollars was converted from Australian Dollars at the average fiscal 2013 exchange rate: $1 = 0.9825 AUD.</w:t>
      </w: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2013 and 2012.</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closing market price of $33.27 on 10,000 unvested awards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$33.27 and the exercise price on 93,333 unvested stock options in-the-money that would vest due to the change in control.</w:t>
      </w: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Peter C. Sephton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amount payable assuming that the terms of the change of control agreement were triggered on July 31, 2013 (prior to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Sephton's resignation) and the named executive officer had to legally enforce the terms of the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Restricted Stock</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Stock Option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Base Salary ($)(1)</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 $(3)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Gain $ (4)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720,452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353,087</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1,164,450</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433,480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2,696,469</w:t>
            </w:r>
          </w:p>
        </w:tc>
        <w:tc>
          <w:tcPr>
            <w:tcW w:w="0" w:type="dxa"/>
            <w:vAlign w:val="bottom"/>
          </w:tcPr>
          <w:p>
            <w:pPr>
              <w:spacing w:after="0"/>
              <w:rPr>
                <w:sz w:val="1"/>
                <w:szCs w:val="1"/>
                <w:color w:val="auto"/>
              </w:rPr>
            </w:pPr>
          </w:p>
        </w:tc>
      </w:tr>
      <w:tr>
        <w:trPr>
          <w:trHeight w:val="27"/>
        </w:trPr>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line="291"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two times the base salary in effect at July 31, 2013. As Mr. Sephton works and lives in the United Kingdom, his base salary is paid to him in British Pounds. The amount shown in U.S. dollars was converted from British Pounds at the average fiscal 2013 exchange rate: $1 = £0.6385.</w:t>
      </w:r>
    </w:p>
    <w:p>
      <w:pPr>
        <w:ind w:left="540" w:hanging="316"/>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2013 and 2012.</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closing market price of $33.27 on 35,000 unvested awards that would vest due to the change in control.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$33.27 at July 31, 2013.</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2013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Stock Option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Base Salary ($) (1)</w:t>
            </w:r>
          </w:p>
        </w:tc>
        <w:tc>
          <w:tcPr>
            <w:tcW w:w="15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Bonus ($) (2)</w:t>
            </w:r>
          </w:p>
        </w:tc>
        <w:tc>
          <w:tcPr>
            <w:tcW w:w="2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9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Gain $ (3)</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 $ (4)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761,333</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546,076</w:t>
            </w:r>
          </w:p>
        </w:tc>
        <w:tc>
          <w:tcPr>
            <w:tcW w:w="120" w:type="dxa"/>
            <w:vAlign w:val="bottom"/>
            <w:tcBorders>
              <w:top w:val="single" w:sz="8" w:color="CCEEFF"/>
            </w:tcBorders>
            <w:shd w:val="clear" w:color="auto" w:fill="CCEEFF"/>
          </w:tcPr>
          <w:p>
            <w:pPr>
              <w:spacing w:after="0"/>
              <w:rPr>
                <w:sz w:val="21"/>
                <w:szCs w:val="21"/>
                <w:color w:val="auto"/>
              </w:rPr>
            </w:pPr>
          </w:p>
        </w:tc>
        <w:tc>
          <w:tcPr>
            <w:tcW w:w="20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1,164,450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551,417</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532,935</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3,581,211</w:t>
            </w: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2013</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2013 and 2012.</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closing market price of $33.27 on 35,000 unvested awards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$33.27 and the exercise price on 131,166 unvested stock options in-the-money that would vest due to the change in control.</w:t>
      </w: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Unvested Shares</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Unvested Stock</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Restricted Stock/RSUs</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Stock Option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Restricted</w:t>
            </w:r>
          </w:p>
        </w:tc>
        <w:tc>
          <w:tcPr>
            <w:tcW w:w="180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In-the</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Stock/RSUs as of</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Money as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2013</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Gain $ (1)</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2013</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Gain $ (2)</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F.M. Jaehnert</w:t>
            </w:r>
          </w:p>
        </w:tc>
        <w:tc>
          <w:tcPr>
            <w:tcW w:w="17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3,881,511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396,666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1,684,197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1,164,450</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156,332</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652,024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A.J. Klotsche</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1,164,450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126,666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537,647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 Millar</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332,700</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93,333</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379,899</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P.C. Sephton</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1,164,450</w:t>
            </w:r>
          </w:p>
        </w:tc>
        <w:tc>
          <w:tcPr>
            <w:tcW w:w="1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1,164,450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131,166</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551,417</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closing market price of $33.27 on unvested awards that would vest due to the change in control.</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$33.27 and the exercise price on unvested stock options in-the-money that would vest due to death or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7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in making recommendations to the Board of Directors regarding Director compensation. Directors who are employees of the Company receive no additional compensation for service on the Board or on any committee of the Board. The annual cash retainer paid to non-management Directors is $45,000. The remaining components of Director compensation include $10,000 for each committee chair ($15,000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of which they are not a member. In addition, non-management Directors are eligible to receive compensation of up to $1,000 per day for special assignments required by management or the Board of Directors, so long as the compensation does not impair independence and is approved as required by the Board.</w:t>
      </w:r>
    </w:p>
    <w:p>
      <w:pPr>
        <w:spacing w:after="0" w:line="1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Lead Independent Director is paid an annual fee of $46,500, consistent with the evolving role of independent board leadership and the enhanced responsibilities of the position. Mr. Galbato served as Lead Independent Director in fiscal 2013 until his resignation from the Board on May 19, 2013. On June 20, 2013, Mr. Goodkind was appointed to serve as Lead Independent Director for the balance of the term vacated by Mr. Galbato, which expires in November 2013. Mr. Goodkind received a fee of $7,500 for his service as Lead Independent Director in fiscal 2013.</w:t>
      </w:r>
    </w:p>
    <w:p>
      <w:pPr>
        <w:spacing w:after="0" w:line="1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of the Brady Corporation 2012 Omnibus Incentive Stock Plan, 5,500,000 shares of the Company's Class A Common Stock have been authorized for issuance, and the Board has full and final authority to designate the non-management Directors to whom awards will be granted, the date on which awards will be granted and the number of shares of stock covered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each grant.</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6, 2012, the Board approved an annual stock-based compensation award of 4,250 time-based stock options (having a grant date fair value of $9.31 per share) and 1,450 unrestricted shares of Class A Common Stock (having a grant date fair value of $30.06 per share), for each non-management Director, effective September 21, 2012.</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 Distributions of the Company Class A Nonvoting Common Stock are made in-kind; distributions of other assets are in cash.</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Director Compensation Table — Fiscal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Fees Earned</w:t>
            </w:r>
          </w:p>
        </w:tc>
        <w:tc>
          <w:tcPr>
            <w:tcW w:w="240" w:type="dxa"/>
            <w:vAlign w:val="bottom"/>
          </w:tcPr>
          <w:p>
            <w:pPr>
              <w:spacing w:after="0"/>
              <w:rPr>
                <w:sz w:val="14"/>
                <w:szCs w:val="14"/>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or Paid in</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Cash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Awards ($) (1)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Awards ($) (2)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2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189,160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 W. Galbato (3)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203,410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2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112,500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195,660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Frank W. Harris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174,660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Elizabeth P. Pungello</w:t>
            </w:r>
          </w:p>
        </w:tc>
        <w:tc>
          <w:tcPr>
            <w:tcW w:w="2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169,160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43,587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201,160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in fiscal 2013 for time-based stock options. The assumptions used to determine the value of the option awards, including the use of the Black-Scholes method of valuation by the Company, are discussed in Note 1 of the Notes to Consolidated Financial Statements of the Company contained in Item 8 of this Form 10-K for the fiscal year ended July 31, 2013.</w:t>
      </w:r>
    </w:p>
    <w:p>
      <w:pPr>
        <w:spacing w:after="0" w:line="186" w:lineRule="exact"/>
        <w:rPr>
          <w:rFonts w:ascii="Arial" w:cs="Arial" w:eastAsia="Arial" w:hAnsi="Arial"/>
          <w:sz w:val="18"/>
          <w:szCs w:val="18"/>
          <w:color w:val="auto"/>
        </w:rPr>
      </w:pPr>
    </w:p>
    <w:p>
      <w:pPr>
        <w:jc w:val="both"/>
        <w:ind w:left="540"/>
        <w:spacing w:after="0" w:line="257" w:lineRule="auto"/>
        <w:rPr>
          <w:rFonts w:ascii="Arial" w:cs="Arial" w:eastAsia="Arial" w:hAnsi="Arial"/>
          <w:sz w:val="18"/>
          <w:szCs w:val="18"/>
          <w:color w:val="auto"/>
        </w:rPr>
      </w:pPr>
      <w:r>
        <w:rPr>
          <w:rFonts w:ascii="Arial" w:cs="Arial" w:eastAsia="Arial" w:hAnsi="Arial"/>
          <w:sz w:val="18"/>
          <w:szCs w:val="18"/>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 Outstanding option awards at July 31, 2013 for each individual who served as a Director in fiscal 2013 include the following: Ms. Pungello, 61,300 shares; Mr. Harris, 55,300 shares; Mr. Galbato, 47,300 shares; Mr. Allender, 47,300 shares; Mr. Goodkind, 47,300 shares; Mr. Richardson, 41,300 shares; and Mr. Balkema, 26,900.</w:t>
      </w:r>
    </w:p>
    <w:p>
      <w:pPr>
        <w:spacing w:after="0" w:line="188"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fair value of shares of Brady Corporation Class A Non-Voting Common Stock granted in fiscal 2013 as compensation for their services. The shares were valued at the closing market price of $30.06 on September 21, 2012, the date of grant.</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Galbato resigned from the Board on May 19,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2, 2013. As of that date, nearly all of the voting stock of the Company was held by two trusts controlled by direct descendants of the Company’s founder, William H. Brady,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200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120" w:type="dxa"/>
            <w:vAlign w:val="bottom"/>
            <w:vMerge w:val="restart"/>
          </w:tcPr>
          <w:p>
            <w:pPr>
              <w:spacing w:after="0"/>
              <w:rPr>
                <w:sz w:val="12"/>
                <w:szCs w:val="12"/>
                <w:color w:val="auto"/>
              </w:rPr>
            </w:pPr>
          </w:p>
        </w:tc>
        <w:tc>
          <w:tcPr>
            <w:tcW w:w="428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 and Address of Beneficial Owner</w:t>
            </w:r>
          </w:p>
        </w:tc>
        <w:tc>
          <w:tcPr>
            <w:tcW w:w="120" w:type="dxa"/>
            <w:vAlign w:val="bottom"/>
            <w:vMerge w:val="restart"/>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Beneficial</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228"/>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EBL GST Non-Exempt Stock B Trust(1) c/o Elizabeth P.</w:t>
            </w:r>
          </w:p>
        </w:tc>
        <w:tc>
          <w:tcPr>
            <w:tcW w:w="19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1,769,304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Pungello 2002 S. Hawick Ct. Chapel Hill, NC 27516</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William H. Brady III Revocable Trust of 2003(3)</w:t>
            </w:r>
          </w:p>
        </w:tc>
        <w:tc>
          <w:tcPr>
            <w:tcW w:w="1920" w:type="dxa"/>
            <w:vAlign w:val="bottom"/>
          </w:tcPr>
          <w:p>
            <w:pPr>
              <w:jc w:val="right"/>
              <w:ind w:right="41"/>
              <w:spacing w:after="0"/>
              <w:rPr>
                <w:sz w:val="20"/>
                <w:szCs w:val="20"/>
                <w:color w:val="auto"/>
              </w:rPr>
            </w:pPr>
            <w:r>
              <w:rPr>
                <w:rFonts w:ascii="Arial" w:cs="Arial" w:eastAsia="Arial" w:hAnsi="Arial"/>
                <w:sz w:val="18"/>
                <w:szCs w:val="18"/>
                <w:color w:val="auto"/>
              </w:rPr>
              <w:t>1,769,304</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 William H. Brady III</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249 Rosemont Ave.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Pasadena, CA 91103</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58" w:lineRule="auto"/>
        <w:tabs>
          <w:tab w:leader="none" w:pos="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sets forth the current beneficial ownership of each class of equity securities of the Company by each Director or Nominee and by all Directors and Officers of the Company as a group as of August 2, 2013. Unless otherwise noted, the address for each of the listed persons is c/o Brady Corporation, 6555 West Good Hope Road, Milwaukee, Wisconsin 53223. Except as otherwise indicated, all shares are owned directly.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vMerge w:val="restart"/>
          </w:tcPr>
          <w:p>
            <w:pPr>
              <w:spacing w:after="0"/>
              <w:rPr>
                <w:sz w:val="12"/>
                <w:szCs w:val="12"/>
                <w:color w:val="auto"/>
              </w:rPr>
            </w:pPr>
          </w:p>
        </w:tc>
        <w:tc>
          <w:tcPr>
            <w:tcW w:w="49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0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Ownership(4)</w:t>
            </w: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23"/>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Class A Common Stock</w:t>
            </w: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Elizabeth P. Pungello(1)</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1,291,267</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Frank M. Jaehnert(2)</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937,383</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Matthew O. Williamson</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330,003</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J. Felmer</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301,933</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Allan J. Klotsche</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239,779</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Conrad G. Goodkind</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116,939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Frank W. Harris</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75,879</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Stephen Millar</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Patrick W. Allender</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63,730</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Bradley C. Richardson</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43,273</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Gary S. Balkema</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24,717</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Nancy Gioia (3)</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All Officers and Directors as a Group (18 persons)(4)</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3,943,627</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B Common Stock</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Elizabeth P. Pungello(1)</w:t>
            </w: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1,769,304</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20" w:hanging="685"/>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540" w:right="260" w:hanging="316"/>
        <w:spacing w:after="0" w:line="256" w:lineRule="auto"/>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876,826 shares owned by a trust for which she is a trustee and has sole dispositive and voting authority</w:t>
      </w:r>
      <w:r>
        <w:rPr>
          <w:rFonts w:ascii="Arial" w:cs="Arial" w:eastAsia="Arial" w:hAnsi="Arial"/>
          <w:sz w:val="18"/>
          <w:szCs w:val="18"/>
          <w:b w:val="1"/>
          <w:bCs w:val="1"/>
          <w:color w:val="auto"/>
        </w:rPr>
        <w:t>.</w:t>
      </w:r>
      <w:r>
        <w:rPr>
          <w:rFonts w:ascii="Arial" w:cs="Arial" w:eastAsia="Arial" w:hAnsi="Arial"/>
          <w:sz w:val="18"/>
          <w:szCs w:val="18"/>
          <w:color w:val="auto"/>
        </w:rPr>
        <w:t xml:space="preserve"> Ms. Pungello’s holdings of Class B Common Stock include 1,769,304 shares owned by a trust over which she has sole dispositive and voting authority.</w:t>
      </w:r>
    </w:p>
    <w:p>
      <w:pPr>
        <w:ind w:left="540" w:hanging="316"/>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Ms. Gioia is a nominee for Director for fiscal 2014. She does not own any shares of Class A Common Stock as of August 2, 2013.</w:t>
      </w:r>
    </w:p>
    <w:p>
      <w:pPr>
        <w:spacing w:after="0" w:line="9" w:lineRule="exact"/>
        <w:rPr>
          <w:rFonts w:ascii="Arial" w:cs="Arial" w:eastAsia="Arial" w:hAnsi="Arial"/>
          <w:sz w:val="18"/>
          <w:szCs w:val="18"/>
          <w:color w:val="auto"/>
        </w:rPr>
      </w:pPr>
    </w:p>
    <w:p>
      <w:pPr>
        <w:ind w:left="540" w:right="20" w:hanging="316"/>
        <w:spacing w:after="0" w:line="281" w:lineRule="auto"/>
        <w:tabs>
          <w:tab w:leader="none" w:pos="5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amount shown for all officers and directors individually and as a group (18 persons) includes options to acquire a total of 2,278,190 shares of Class A Common Stock, which are currently exercisable or will be exercisable within 60 days of July 31, 2013, including the following: Ms. Pungello, 55,634 shares; Mr. Jaehnert, 733,334 shares; Mr. Williamson, 314,834 shares; Mr. Felmer, 266,835 shares; Mr. Klotsche, 228,334 shares; Mr. Millar, 66,000 shares; Mr. Goodkind, 41,634 shares; Mr. Harris, 49,634 shares; Mr. Allender, 41,634 shares; Mr. Richardson, 35,634 shares; Mr. Balkema, 21,234 shares; Ms. Gioia (Director nominee), 0 shares; Mr. Hoffman, 192,891 shares; Mr. Curran, 131,891 shares; Ms. Johnson, 64,000 shares;</w:t>
      </w:r>
    </w:p>
    <w:p>
      <w:pPr>
        <w:spacing w:after="0" w:line="3" w:lineRule="exact"/>
        <w:rPr>
          <w:rFonts w:ascii="Arial" w:cs="Arial" w:eastAsia="Arial" w:hAnsi="Arial"/>
          <w:sz w:val="16"/>
          <w:szCs w:val="16"/>
          <w:color w:val="auto"/>
        </w:rPr>
      </w:pPr>
    </w:p>
    <w:p>
      <w:pPr>
        <w:ind w:left="540" w:right="60"/>
        <w:spacing w:after="0" w:line="250" w:lineRule="auto"/>
        <w:rPr>
          <w:rFonts w:ascii="Arial" w:cs="Arial" w:eastAsia="Arial" w:hAnsi="Arial"/>
          <w:sz w:val="16"/>
          <w:szCs w:val="16"/>
          <w:color w:val="auto"/>
        </w:rPr>
      </w:pPr>
      <w:r>
        <w:rPr>
          <w:rFonts w:ascii="Arial" w:cs="Arial" w:eastAsia="Arial" w:hAnsi="Arial"/>
          <w:sz w:val="18"/>
          <w:szCs w:val="18"/>
          <w:color w:val="auto"/>
        </w:rPr>
        <w:t>Mr. Marks, 32,334 shares; and Mr. Meyer, 2,333 shares. It does not include other options for Class A Common Stock which have been granted at later dates and are not exercisable within 60 days of July 31, 2013.</w:t>
      </w:r>
    </w:p>
    <w:p>
      <w:pPr>
        <w:ind w:left="540" w:right="200" w:hanging="316"/>
        <w:spacing w:after="0" w:line="252" w:lineRule="auto"/>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(18 persons) includes Class A Common Stock owned in deferred compensation plans totaling 192,767 shares of Class A Common Stock, including the following: Ms. Pungello, 2,267 shares; Mr. Jaehnert, 92,612 shares; Mr. Williamson, 15,169 shares; Mr. Felmer, 11,131 shares; Mr. Klotsche, 8,330 shares; Mr. Millar, 0 shares; Mr. Goodkind, 24,002 shares; Mr. Harris, 0 shares; Mr. Allender, 22,096 shares; Mr. Richardson, 7,639 shares; Mr. Balkema 1,483 shares; Ms. Gioia (Director nominee), 0 shares; Mr. Hoffman, 1,815 shares; Mr. Bolognini, 0 shares; Mr. Curran, 109 shares; Ms. Johnson, 6,114 shares; Mr. Marks, 0 shares; and Mr. Meyer, 0 shares.</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306"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July 31, 2013</w:t>
            </w:r>
          </w:p>
        </w:tc>
        <w:tc>
          <w:tcPr>
            <w:tcW w:w="2400" w:type="dxa"/>
            <w:vAlign w:val="bottom"/>
            <w:tcBorders>
              <w:bottom w:val="single" w:sz="8" w:color="auto"/>
            </w:tcBorders>
          </w:tcPr>
          <w:p>
            <w:pPr>
              <w:spacing w:after="0"/>
              <w:rPr>
                <w:sz w:val="16"/>
                <w:szCs w:val="16"/>
                <w:color w:val="auto"/>
              </w:rPr>
            </w:pPr>
          </w:p>
        </w:tc>
      </w:tr>
      <w:tr>
        <w:trPr>
          <w:trHeight w:val="215"/>
        </w:trPr>
        <w:tc>
          <w:tcPr>
            <w:tcW w:w="4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w:t>
            </w:r>
          </w:p>
        </w:tc>
      </w:tr>
      <w:tr>
        <w:trPr>
          <w:trHeight w:val="203"/>
        </w:trPr>
        <w:tc>
          <w:tcPr>
            <w:tcW w:w="4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9"/>
              </w:rPr>
              <w:t>future issuance under</w:t>
            </w: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to be issued upon</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Weighted-average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equity compensation</w:t>
            </w: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exercise of</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exercise price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w:t>
            </w: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outstanding options,</w:t>
            </w:r>
          </w:p>
        </w:tc>
        <w:tc>
          <w:tcPr>
            <w:tcW w:w="300" w:type="dxa"/>
            <w:vAlign w:val="bottom"/>
          </w:tcPr>
          <w:p>
            <w:pPr>
              <w:spacing w:after="0"/>
              <w:rPr>
                <w:sz w:val="17"/>
                <w:szCs w:val="17"/>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outstanding options,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 reflected in</w:t>
            </w: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warrants and rights</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warrants and rights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column (a))</w:t>
            </w: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8"/>
                <w:szCs w:val="18"/>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(b)</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5,150,975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4,359,943</w:t>
            </w: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approved by security holders</w:t>
            </w:r>
          </w:p>
        </w:tc>
        <w:tc>
          <w:tcPr>
            <w:tcW w:w="252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00" w:type="dxa"/>
            <w:vAlign w:val="bottom"/>
          </w:tcPr>
          <w:p>
            <w:pPr>
              <w:spacing w:after="0"/>
              <w:rPr>
                <w:sz w:val="17"/>
                <w:szCs w:val="17"/>
                <w:color w:val="auto"/>
              </w:rPr>
            </w:pPr>
          </w:p>
        </w:tc>
        <w:tc>
          <w:tcPr>
            <w:tcW w:w="2180" w:type="dxa"/>
            <w:vAlign w:val="bottom"/>
            <w:gridSpan w:val="2"/>
          </w:tcPr>
          <w:p>
            <w:pPr>
              <w:jc w:val="right"/>
              <w:ind w:right="200"/>
              <w:spacing w:after="0"/>
              <w:rPr>
                <w:sz w:val="20"/>
                <w:szCs w:val="20"/>
                <w:color w:val="auto"/>
              </w:rPr>
            </w:pPr>
            <w:r>
              <w:rPr>
                <w:rFonts w:ascii="Arial" w:cs="Arial" w:eastAsia="Arial" w:hAnsi="Arial"/>
                <w:sz w:val="16"/>
                <w:szCs w:val="16"/>
                <w:color w:val="auto"/>
              </w:rPr>
              <w:t>None</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None</w:t>
            </w: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5,150,975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4,359,943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equity compensation plan allows the granting of stock options to various officers, directors and other employees of the Company at prices equal to fair market value at the date of grant. The Company has reserved 5,500,000 shares of Class A Nonvoting Common Stock for issuance under the Brady Corporation 2012 Omnibus Incentive Stock Plan. Generally, options will not be exercisable until one year after the date of grant, and will be exercisable thereafter, to the extent of one-third per year and have a maximum term of ten years.</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August 2010, 2011 and 2012, certain executives and key management employees were issued stock options that vest upon meeting certain financial performance conditions in addition to the vesting schedule described above. Performance-based options expire 10 years from the date of grant. All grants under the equity plans are at market price on the date of the grant. The Company granted 5,000 cliff-vested restricted shares in December 2012, with a grant price and fair value of $32.99. The Company granted 10,000 shares of performance-based restricted stock units in September 2012, with a grant price and fair value of $30.21. The Company granted 100,000 shares of performance-based restricted stock in August of 2010, with a grant price and fair value of $28.35, and 210,000 shares in fiscal 2008, with a grant price and fair value of $32.83. Effective July 20, 2011, the Compensation Committee of the Board of Directors of the Company approved an amendment to the fiscal 2008 performance-based restricted shares to provide for an additional two year vesting period. As of July 31, 2013, 5,000 cliff-vested restricted shares were outstanding, 10,000 performance-based restricted stock units were outstanding and 221,667 performance-based restricted shares were outstanding.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9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Company’s quarterly disclosure committee meetings. In addition, pursuant to its charter, the Company’s Audit Committee periodically reviews reports and disclosures of insider and affiliated party transactions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 Based on these evaluations the Company has determined that it does not have material related party transactions that affect the results of operations, cash flow or financial condition. The Company has also determined that no transactions occurred in fiscal 2013, or are currently proposed, that would require disclosure under Item 404 (a) of Regulation S-K.</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2013 and 2012. Other than as set forth below, no professional services were rendered or fees billed by Deloitte &amp; Touche LLP or Deloitte Tax LLP during the years ended July 31, 2013 and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thousands)</w:t>
            </w:r>
          </w:p>
        </w:tc>
        <w:tc>
          <w:tcPr>
            <w:tcW w:w="112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Audit, audit-related and tax compliance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Audit fees(1)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1,411</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fees — compliance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Non-audit related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fees — planning and advice</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fees (2)</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non-audit related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fees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5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ind w:right="679"/>
              <w:spacing w:after="0"/>
              <w:rPr>
                <w:sz w:val="20"/>
                <w:szCs w:val="20"/>
                <w:color w:val="auto"/>
              </w:rPr>
            </w:pPr>
            <w:r>
              <w:rPr>
                <w:rFonts w:ascii="Arial" w:cs="Arial" w:eastAsia="Arial" w:hAnsi="Arial"/>
                <w:sz w:val="14"/>
                <w:szCs w:val="14"/>
                <w:b w:val="1"/>
                <w:bCs w:val="1"/>
                <w:color w:val="auto"/>
              </w:rPr>
              <w:t>2012</w:t>
            </w:r>
          </w:p>
        </w:tc>
      </w:tr>
      <w:tr>
        <w:trPr>
          <w:trHeight w:val="215"/>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Ratio of Tax Planning and Advice Fees and All Other Fees to Audit Fees, Audit-Related Fees and Tax</w:t>
            </w:r>
          </w:p>
        </w:tc>
        <w:tc>
          <w:tcPr>
            <w:tcW w:w="1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30"/>
        </w:trPr>
        <w:tc>
          <w:tcPr>
            <w:tcW w:w="8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Compliance Fees</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 to 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w:t>
            </w:r>
          </w:p>
        </w:tc>
      </w:tr>
      <w:tr>
        <w:trPr>
          <w:trHeight w:val="27"/>
        </w:trPr>
        <w:tc>
          <w:tcPr>
            <w:tcW w:w="76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Pre-Approval Policy — </w:t>
      </w:r>
      <w:r>
        <w:rPr>
          <w:rFonts w:ascii="Arial" w:cs="Arial" w:eastAsia="Arial" w:hAnsi="Arial"/>
          <w:sz w:val="18"/>
          <w:szCs w:val="18"/>
          <w:color w:val="auto"/>
        </w:rPr>
        <w:t>The services performed by the Independent Registered Public Accounting Firm (“Independent Auditors”) in fiscal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2012 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&amp; 2) Consolidated Financial Statement Schedule -</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Schedule II Valuation and Qualifying Accounts</w:t>
      </w:r>
    </w:p>
    <w:p>
      <w:pPr>
        <w:spacing w:after="0" w:line="171" w:lineRule="exact"/>
        <w:rPr>
          <w:sz w:val="20"/>
          <w:szCs w:val="20"/>
          <w:color w:val="auto"/>
        </w:rPr>
      </w:pPr>
    </w:p>
    <w:p>
      <w:pPr>
        <w:ind w:left="1460" w:hanging="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Exhibits — See Exhibit Index at page 104 of this Form 10-K.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3920" w:type="dxa"/>
            <w:vAlign w:val="bottom"/>
          </w:tcPr>
          <w:p>
            <w:pPr>
              <w:ind w:left="1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920" w:type="dxa"/>
            <w:vAlign w:val="bottom"/>
            <w:vMerge w:val="restart"/>
          </w:tcPr>
          <w:p>
            <w:pPr>
              <w:ind w:left="32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18" w:lineRule="exact"/>
        <w:rPr>
          <w:sz w:val="20"/>
          <w:szCs w:val="20"/>
          <w:color w:val="auto"/>
        </w:rPr>
      </w:pPr>
    </w:p>
    <w:p>
      <w:pPr>
        <w:ind w:left="1980" w:hanging="359"/>
        <w:spacing w:after="0" w:line="277" w:lineRule="auto"/>
        <w:rPr>
          <w:sz w:val="20"/>
          <w:szCs w:val="20"/>
          <w:color w:val="auto"/>
        </w:rPr>
      </w:pPr>
      <w:r>
        <w:rPr>
          <w:rFonts w:ascii="Arial" w:cs="Arial" w:eastAsia="Arial" w:hAnsi="Arial"/>
          <w:sz w:val="18"/>
          <w:szCs w:val="18"/>
          <w:color w:val="auto"/>
        </w:rPr>
        <w:t>2.1 Agreement and Plan of Merger, dated as of December 28, 2012, by and among Brady Corporation, BC I Merger Sub Corporation, Precision Dynamics Corporation, and Precision Dynamics Holding LLC (29)</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3.1  Restated Articles of Incorporation of Brady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3.2  By-laws of Brady Corporation, as amended (23)</w:t>
      </w:r>
    </w:p>
    <w:p>
      <w:pPr>
        <w:spacing w:after="0" w:line="63" w:lineRule="exact"/>
        <w:rPr>
          <w:sz w:val="20"/>
          <w:szCs w:val="20"/>
          <w:color w:val="auto"/>
        </w:rPr>
      </w:pPr>
    </w:p>
    <w:p>
      <w:pPr>
        <w:ind w:left="1980" w:hanging="539"/>
        <w:spacing w:after="0" w:line="277" w:lineRule="auto"/>
        <w:rPr>
          <w:sz w:val="20"/>
          <w:szCs w:val="20"/>
          <w:color w:val="auto"/>
        </w:rPr>
      </w:pPr>
      <w:r>
        <w:rPr>
          <w:rFonts w:ascii="Arial" w:cs="Arial" w:eastAsia="Arial" w:hAnsi="Arial"/>
          <w:sz w:val="18"/>
          <w:szCs w:val="18"/>
          <w:color w:val="auto"/>
        </w:rPr>
        <w:t>*10.1 Form of Change of Control Agreement, amended as of December 23, 2008, entered into with Thomas J. Felmer, Allan J. Klotsche, Peter C. Sephton, and Matthew O. Williamson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*10.2  Brady Corporation BradyGold Plan, as amended (2)</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*10.3  Executive Additional Compensation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*10.4  Executive Deferred Compensation Plan, as amended (16)</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*10.5  Directors’ Deferred Compensation Plan, as amended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hanging="539"/>
        <w:spacing w:after="0" w:line="277" w:lineRule="auto"/>
        <w:rPr>
          <w:sz w:val="20"/>
          <w:szCs w:val="20"/>
          <w:color w:val="auto"/>
        </w:rPr>
      </w:pPr>
      <w:r>
        <w:rPr>
          <w:rFonts w:ascii="Arial" w:cs="Arial" w:eastAsia="Arial" w:hAnsi="Arial"/>
          <w:sz w:val="18"/>
          <w:szCs w:val="18"/>
          <w:color w:val="auto"/>
        </w:rPr>
        <w:t>*10.6 Forms of Non-Qualified Employee Stock Option Agreement, Director Stock Option Agreement, and Employee Performance Stock Option Agreement under 2006 Omnibus Incentive Stock Plan (10)</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*10.7  Brady Corporation 2004 Omnibus Incentive Stock Plan, as amended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right="20" w:hanging="539"/>
        <w:spacing w:after="0" w:line="277" w:lineRule="auto"/>
        <w:rPr>
          <w:sz w:val="20"/>
          <w:szCs w:val="20"/>
          <w:color w:val="auto"/>
        </w:rPr>
      </w:pPr>
      <w:r>
        <w:rPr>
          <w:rFonts w:ascii="Arial" w:cs="Arial" w:eastAsia="Arial" w:hAnsi="Arial"/>
          <w:sz w:val="18"/>
          <w:szCs w:val="18"/>
          <w:color w:val="auto"/>
        </w:rPr>
        <w:t>*10.8 Form of Brady Corporation 2004 Nonqualified Stock Option Agreement under the 2004 Omnibus Incentive Stock Plan, as amended (13)</w:t>
      </w:r>
    </w:p>
    <w:p>
      <w:pPr>
        <w:spacing w:after="0" w:line="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10.9  Brady Corporation Automatic Dividend Reinvestment Plan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*10.10  Brady Corporation 2005 Nonqualified Plan for Non-employee Directors, as amended (3)</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*10.11  Forms of Nonqualified Stock Option Agreements under 2005 Non-qualified Plan for Non-employee Directors, as amended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*10.12  Brady Corporation 1997 Omnibus Incentive Stock Plan, as amended (10)</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*10.13  Brady Corporation 1997 Nonqualified Stock Option Plan for Non-Employee Directors, as amended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10.14  Revolving Credit Facility Credit Agreement (Superseded) (14)</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*10.15  Brady Corporation 2006 Omnibus Incentive Stock Plan, as amended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*10.16  Change of Control Agreement, amended as of May 22, 2013, entered into with Scott Hoffman (30)</w:t>
      </w:r>
    </w:p>
    <w:p>
      <w:pPr>
        <w:spacing w:after="0" w:line="27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10.17  First Amendment to Revolving Credit Facility Credit Agreement (Superseded)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hanging="629"/>
        <w:spacing w:after="0" w:line="298" w:lineRule="auto"/>
        <w:rPr>
          <w:sz w:val="20"/>
          <w:szCs w:val="20"/>
          <w:color w:val="auto"/>
        </w:rPr>
      </w:pPr>
      <w:r>
        <w:rPr>
          <w:rFonts w:ascii="Arial" w:cs="Arial" w:eastAsia="Arial" w:hAnsi="Arial"/>
          <w:sz w:val="17"/>
          <w:szCs w:val="17"/>
          <w:color w:val="auto"/>
        </w:rPr>
        <w:t>*10.18 Form of Amendment, dated March 4, 2009, to granting agreement for performance-based stock options issued on August 2, 2004 to Frank M. Jaehnert, Thomas J. Felmer, Peter C. Sephton, Matthew O. Williamson, and Allan J. Klotsche (12)</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*10.19  Form of Performance-based Restricted Stock Agreement under Brady Corporation 2006 Omnibus Incentive Stock Plan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*10.20  Change of Control Agreement, amended as of December 23, 2008, entered into with Frank M. Jaehnert (12)</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*10.21  Restated Brady Corporation Restoration Plan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*10.22  Change of Control Agreement, dated as of February 28, 2013, entered into with Louis T. Bolognini (30)</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*10.23  Brady Corporation 2003 Omnibus Incentive Stock Plan, as amended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10.24  Brady Note Purchase Agreement dated June 28, 2004 (11)</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1" w:right="25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10.25  First Supplement to Note Purchase Agreement, dated February 14, 2006 (9)</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10.26  Second Supplement to Note Purchase Agreement, dated March 23, 2007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*10.27  Form of Change of Control Agreement, amended as of December 23, 2008, entered into with Kathleen Johnson (12)</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*10.28  Brady Corporation 2010 Omnibus Incentive Stock Plan, as amended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*10.29  Brady Corporation 2010 Nonqualified Stock Option Plan for Non-employee Directors (17)</w:t>
      </w:r>
    </w:p>
    <w:p>
      <w:pPr>
        <w:spacing w:after="0" w:line="63" w:lineRule="exact"/>
        <w:rPr>
          <w:sz w:val="20"/>
          <w:szCs w:val="20"/>
          <w:color w:val="auto"/>
        </w:rPr>
      </w:pPr>
    </w:p>
    <w:p>
      <w:pPr>
        <w:ind w:left="1980" w:hanging="629"/>
        <w:spacing w:after="0" w:line="277" w:lineRule="auto"/>
        <w:rPr>
          <w:sz w:val="20"/>
          <w:szCs w:val="20"/>
          <w:color w:val="auto"/>
        </w:rPr>
      </w:pPr>
      <w:r>
        <w:rPr>
          <w:rFonts w:ascii="Arial" w:cs="Arial" w:eastAsia="Arial" w:hAnsi="Arial"/>
          <w:sz w:val="18"/>
          <w:szCs w:val="18"/>
          <w:color w:val="auto"/>
        </w:rPr>
        <w:t>*10.30 Form of Non-Qualified Employee Stock Option Agreement and Employee Performance Stock Option Agreement under 2010 Omnibus Incentive Stock Plan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7"/>
          <w:szCs w:val="17"/>
          <w:color w:val="auto"/>
        </w:rPr>
        <w:t>*10.31  Form of Director Stock Option Agreement under 2010 Nonqualified Stock Option Plan for Non-employee Directors (17)</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*10.32  Form of Amendment, dated February 17, 2010, to granting agreement for performance-based stock options issued on August 1,</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2005 to Frank M. Jaehnert, Thomas J. Felmer, Peter C. Sephton, Matthew O. Williamson and Allan J. Klotsche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10.33  Brady Note Purchase Agreement dated May 13, 2010 (19)</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*10.34  Performance-based Restricted Stock Agreement with Frank M. Jaehnert, dated August 2, 2010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*10.35  Form of Amendment to January 8, 2008 Brady Corporation Performance-Based Restricted Stock Agreement, dated July 20, 2011</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(21)</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*10.36  Brady Corporation Incentive Compensation Plan for Senior Executives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*10.37  Form of Fiscal 2012 Performance Stock Option under the 2010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*10.38  Brady Corporation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*10.39  Form of Non-Qualified Employee Stock Option Agreement under 2012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*10.40  Form of Non-Qualified Employee Performance Stock Option Agreement under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*10.41  Form of Director Stock Option Agreement under 2012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*10.42  Change of Control Agreement, dated November 21, 2011, entered into with Stephen Millar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10.43  Revolving Credit Agreement, dated as of February 1, 2012 (28)</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*10.44  Form of Fiscal 2013 Non-Qualified Employee Stock Option Agreement under 2012 Omnibus Incentive Stock Plan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*10.45  Form of Fiscal 2013 Director Stock Option Agreement under 2012 Omnibus Incentive Stock Plan (31)</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*10.46  Performance-Based Restricted Stock Unit Agreement with Stephen Millar, dated September 21, 2012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*10.47  Severance Agreement, dated as of March 25, 2013, entered into with Peter Sephton (30)</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*10.48  Form of Fiscal 2014 Non-Qualified Employee Stock Option Agreement under 2012 Omnibus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*10.49  Form of Fiscal 2014 Director Stock Option Agreement under 2012 Omnibus Incentive Stock Plan</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*10.50  Form of Fiscal 2014 Restricted Stock Unit Agreement under 2012 Omnibus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21  Subsidiaries of Brady Corporation</w:t>
      </w:r>
    </w:p>
    <w:p>
      <w:pPr>
        <w:spacing w:after="0" w:line="63" w:lineRule="exact"/>
        <w:rPr>
          <w:sz w:val="20"/>
          <w:szCs w:val="20"/>
          <w:color w:val="auto"/>
        </w:rPr>
      </w:pPr>
    </w:p>
    <w:p>
      <w:pPr>
        <w:ind w:left="1540" w:right="3320" w:firstLine="125"/>
        <w:spacing w:after="0" w:line="313" w:lineRule="auto"/>
        <w:tabs>
          <w:tab w:leader="none" w:pos="19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Consent of Deloitte &amp; Touche LLP, Independent Registered Public Accounting Firm 31.1 Rule 13a-14(a)/15d-14(a) Certification of Frank M. Jaehnert</w:t>
      </w:r>
    </w:p>
    <w:p>
      <w:pPr>
        <w:ind w:left="1540"/>
        <w:spacing w:after="0"/>
        <w:rPr>
          <w:rFonts w:ascii="Arial" w:cs="Arial" w:eastAsia="Arial" w:hAnsi="Arial"/>
          <w:sz w:val="18"/>
          <w:szCs w:val="18"/>
          <w:color w:val="auto"/>
        </w:rPr>
      </w:pPr>
      <w:r>
        <w:rPr>
          <w:rFonts w:ascii="Arial" w:cs="Arial" w:eastAsia="Arial" w:hAnsi="Arial"/>
          <w:sz w:val="18"/>
          <w:szCs w:val="18"/>
          <w:color w:val="auto"/>
        </w:rPr>
        <w:t>31.2  Rule 13a-14(a)/15d-14(a) Certification of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2" w:right="25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32.1  Section 1350 Certification of Frank M. Jaehnert</w:t>
      </w:r>
    </w:p>
    <w:p>
      <w:pPr>
        <w:spacing w:after="0" w:line="6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32.2  Section 1350 Certification of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980" w:hanging="405"/>
        <w:spacing w:after="0"/>
        <w:tabs>
          <w:tab w:leader="none" w:pos="19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9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36"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filed for the fiscal year ended July 31, 1989</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1992</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January 31, 2008</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2008</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January 31, 2009</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2005</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2006</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April 30, 2011</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2009</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8-K/A filed July 28,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16,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26, 2007</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2011</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Quarterly Report on Form 10-Q for the quarter ended October 31, 2011</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7,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Quarterly Report on Form 10-Q for the quarter ended April 30, 2013</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122" w:right="1440"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 ended July 31,</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w w:val="98"/>
              </w:rPr>
              <w:t>(Dollars in thousands)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Valuation accounts deducted in balance sheet from assets to which they apply — Accounts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6,005</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6,183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7,137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Bad debts written off, net of recoveries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reclassified to discontinued operations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Inventory — reserve for slow-moving inventory: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Inventory write-offs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(7,317)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reclassified to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11,317</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13,009</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Valuation allowances against 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25,847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31,844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27,510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during year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5,933</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valuation allowances reversed/utilized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valuation allowances reversed/written off</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31,844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30th day of September 2013.</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(Principal Financial Officer)</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43"/>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 FRANK M. JAEHNERT</w:t>
            </w:r>
          </w:p>
        </w:tc>
        <w:tc>
          <w:tcPr>
            <w:tcW w:w="5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Frank M. Jaehnert</w:t>
            </w:r>
          </w:p>
        </w:tc>
        <w:tc>
          <w:tcPr>
            <w:tcW w:w="5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KATHLEEN M. JOHNSON</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Kathleen M. Johnson</w:t>
            </w: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BRADLEY C. RICHARDSON</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Bradley C. Richardson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PATRICK W. ALLENDER</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Patrick W. Allender</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FRANK W. HARRIS</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CONRAD G. GOODKIND</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ELIZABETH P. PUNGELLO</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Elizabeth P. Pungello</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GARY S. BALKEMA</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685"/>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30,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6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_______________ (“Employee”) a non-qualified stock option (the “Option”) effective __________, 20__, pursuant to the</w:t>
      </w:r>
    </w:p>
    <w:p>
      <w:pPr>
        <w:ind w:right="260"/>
        <w:spacing w:after="0" w:line="323" w:lineRule="auto"/>
        <w:rPr>
          <w:sz w:val="20"/>
          <w:szCs w:val="20"/>
          <w:color w:val="auto"/>
        </w:rPr>
      </w:pPr>
      <w:r>
        <w:rPr>
          <w:rFonts w:ascii="Arial" w:cs="Arial" w:eastAsia="Arial" w:hAnsi="Arial"/>
          <w:sz w:val="16"/>
          <w:szCs w:val="16"/>
          <w:color w:val="auto"/>
        </w:rPr>
        <w:t>terms of the Brady Corporation 2012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13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 Optioned; Option Price</w:t>
      </w:r>
    </w:p>
    <w:p>
      <w:pPr>
        <w:spacing w:after="0" w:line="27" w:lineRule="exact"/>
        <w:rPr>
          <w:rFonts w:ascii="Arial" w:cs="Arial" w:eastAsia="Arial" w:hAnsi="Arial"/>
          <w:sz w:val="18"/>
          <w:szCs w:val="18"/>
          <w:color w:val="auto"/>
        </w:rPr>
      </w:pPr>
    </w:p>
    <w:p>
      <w:pPr>
        <w:ind w:left="660" w:right="100"/>
        <w:spacing w:after="0" w:line="255" w:lineRule="auto"/>
        <w:rPr>
          <w:rFonts w:ascii="Arial" w:cs="Arial" w:eastAsia="Arial" w:hAnsi="Arial"/>
          <w:sz w:val="18"/>
          <w:szCs w:val="18"/>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“Option Price”).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27" w:lineRule="exact"/>
        <w:rPr>
          <w:rFonts w:ascii="Arial" w:cs="Arial" w:eastAsia="Arial" w:hAnsi="Arial"/>
          <w:sz w:val="18"/>
          <w:szCs w:val="18"/>
          <w:color w:val="auto"/>
        </w:rPr>
      </w:pPr>
    </w:p>
    <w:p>
      <w:pPr>
        <w:ind w:left="660" w:right="40"/>
        <w:spacing w:after="0" w:line="253" w:lineRule="auto"/>
        <w:rPr>
          <w:rFonts w:ascii="Arial" w:cs="Arial" w:eastAsia="Arial" w:hAnsi="Arial"/>
          <w:sz w:val="18"/>
          <w:szCs w:val="18"/>
          <w:color w:val="auto"/>
        </w:rPr>
      </w:pPr>
      <w:r>
        <w:rPr>
          <w:rFonts w:ascii="Arial" w:cs="Arial" w:eastAsia="Arial" w:hAnsi="Arial"/>
          <w:sz w:val="18"/>
          <w:szCs w:val="18"/>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353"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Percentage</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of Shares For</w:t>
            </w: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Number of Completed Years After</w:t>
            </w:r>
          </w:p>
        </w:tc>
        <w:tc>
          <w:tcPr>
            <w:tcW w:w="2020" w:type="dxa"/>
            <w:vAlign w:val="bottom"/>
            <w:gridSpan w:val="2"/>
          </w:tcPr>
          <w:p>
            <w:pPr>
              <w:spacing w:after="0"/>
              <w:rPr>
                <w:sz w:val="20"/>
                <w:szCs w:val="20"/>
                <w:color w:val="auto"/>
              </w:rPr>
            </w:pPr>
            <w:r>
              <w:rPr>
                <w:rFonts w:ascii="Arial" w:cs="Arial" w:eastAsia="Arial" w:hAnsi="Arial"/>
                <w:sz w:val="18"/>
                <w:szCs w:val="18"/>
                <w:color w:val="auto"/>
              </w:rPr>
              <w:t>Which Option is</w:t>
            </w:r>
          </w:p>
        </w:tc>
      </w:tr>
      <w:tr>
        <w:trPr>
          <w:trHeight w:val="190"/>
        </w:trPr>
        <w:tc>
          <w:tcPr>
            <w:tcW w:w="590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Date of Grant of this Option</w:t>
            </w:r>
          </w:p>
        </w:tc>
        <w:tc>
          <w:tcPr>
            <w:tcW w:w="2020" w:type="dxa"/>
            <w:vAlign w:val="bottom"/>
            <w:gridSpan w:val="2"/>
          </w:tcPr>
          <w:p>
            <w:pPr>
              <w:spacing w:after="0" w:line="190" w:lineRule="exact"/>
              <w:rPr>
                <w:sz w:val="20"/>
                <w:szCs w:val="20"/>
                <w:color w:val="auto"/>
              </w:rPr>
            </w:pPr>
            <w:r>
              <w:rPr>
                <w:rFonts w:ascii="Arial" w:cs="Arial" w:eastAsia="Arial" w:hAnsi="Arial"/>
                <w:sz w:val="18"/>
                <w:szCs w:val="18"/>
                <w:color w:val="auto"/>
              </w:rPr>
              <w:t>Exercisable</w:t>
            </w:r>
          </w:p>
        </w:tc>
      </w:tr>
      <w:tr>
        <w:trPr>
          <w:trHeight w:val="237"/>
        </w:trPr>
        <w:tc>
          <w:tcPr>
            <w:tcW w:w="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38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than 1</w:t>
            </w: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w:t>
            </w:r>
          </w:p>
        </w:tc>
      </w:tr>
      <w:tr>
        <w:trPr>
          <w:trHeight w:val="24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At least 1 but less than 2</w:t>
            </w:r>
          </w:p>
        </w:tc>
        <w:tc>
          <w:tcPr>
            <w:tcW w:w="840" w:type="dxa"/>
            <w:vAlign w:val="bottom"/>
          </w:tcPr>
          <w:p>
            <w:pPr>
              <w:spacing w:after="0"/>
              <w:rPr>
                <w:sz w:val="20"/>
                <w:szCs w:val="20"/>
                <w:color w:val="auto"/>
              </w:rPr>
            </w:pPr>
            <w:r>
              <w:rPr>
                <w:rFonts w:ascii="Arial" w:cs="Arial" w:eastAsia="Arial" w:hAnsi="Arial"/>
                <w:sz w:val="18"/>
                <w:szCs w:val="18"/>
                <w:color w:val="auto"/>
              </w:rPr>
              <w:t>33-1/3%</w:t>
            </w:r>
          </w:p>
        </w:tc>
        <w:tc>
          <w:tcPr>
            <w:tcW w:w="1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At least 2 but less than 3</w:t>
            </w:r>
          </w:p>
        </w:tc>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66-2/3%</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At least 3</w:t>
            </w:r>
          </w:p>
        </w:tc>
        <w:tc>
          <w:tcPr>
            <w:tcW w:w="840" w:type="dxa"/>
            <w:vAlign w:val="bottom"/>
          </w:tcPr>
          <w:p>
            <w:pPr>
              <w:spacing w:after="0"/>
              <w:rPr>
                <w:sz w:val="20"/>
                <w:szCs w:val="20"/>
                <w:color w:val="auto"/>
              </w:rPr>
            </w:pPr>
            <w:r>
              <w:rPr>
                <w:rFonts w:ascii="Arial" w:cs="Arial" w:eastAsia="Arial" w:hAnsi="Arial"/>
                <w:sz w:val="18"/>
                <w:szCs w:val="18"/>
                <w:color w:val="auto"/>
              </w:rPr>
              <w:t>100%</w:t>
            </w:r>
          </w:p>
        </w:tc>
        <w:tc>
          <w:tcPr>
            <w:tcW w:w="1180" w:type="dxa"/>
            <w:vAlign w:val="bottom"/>
          </w:tcPr>
          <w:p>
            <w:pPr>
              <w:spacing w:after="0"/>
              <w:rPr>
                <w:sz w:val="21"/>
                <w:szCs w:val="21"/>
                <w:color w:val="auto"/>
              </w:rPr>
            </w:pPr>
          </w:p>
        </w:tc>
      </w:tr>
    </w:tbl>
    <w:p>
      <w:pPr>
        <w:spacing w:after="0" w:line="229"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Committee shall be the sole judge, this Option shall forthwith expire. This Agreement does not confer upon Employee any right of continuation of employment by the Corporation or an Affiliate, nor does it impair any right the Corporation or any Affiliate may have to terminate the Employee’s employment at any time.</w:t>
      </w:r>
    </w:p>
    <w:p>
      <w:pPr>
        <w:spacing w:after="0" w:line="174"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Notwithstanding the provisions of Section 2 hereof, if the Employee:</w:t>
      </w:r>
    </w:p>
    <w:p>
      <w:pPr>
        <w:spacing w:after="0" w:line="318" w:lineRule="exact"/>
        <w:rPr>
          <w:rFonts w:ascii="Arial" w:cs="Arial" w:eastAsia="Arial" w:hAnsi="Arial"/>
          <w:sz w:val="18"/>
          <w:szCs w:val="18"/>
          <w:color w:val="auto"/>
        </w:rPr>
      </w:pPr>
    </w:p>
    <w:p>
      <w:pPr>
        <w:ind w:left="1300" w:right="240" w:hanging="644"/>
        <w:spacing w:after="0" w:line="259"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8" w:lineRule="exact"/>
        <w:rPr>
          <w:rFonts w:ascii="Arial" w:cs="Arial" w:eastAsia="Arial" w:hAnsi="Arial"/>
          <w:sz w:val="18"/>
          <w:szCs w:val="18"/>
          <w:color w:val="auto"/>
        </w:rPr>
      </w:pPr>
    </w:p>
    <w:p>
      <w:pPr>
        <w:ind w:left="1300" w:hanging="644"/>
        <w:spacing w:after="0" w:line="30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ectPr>
          <w:pgSz w:w="11900" w:h="16838" w:orient="portrait"/>
          <w:cols w:equalWidth="0" w:num="1">
            <w:col w:w="11420"/>
          </w:cols>
          <w:pgMar w:left="240" w:top="580" w:right="239" w:bottom="1440" w:gutter="0" w:footer="0" w:header="0"/>
        </w:sectPr>
      </w:pPr>
    </w:p>
    <w:bookmarkStart w:id="111" w:name="page112"/>
    <w:bookmarkEnd w:id="111"/>
    <w:p>
      <w:pPr>
        <w:ind w:left="1292" w:hanging="644"/>
        <w:spacing w:after="0" w:line="302" w:lineRule="auto"/>
        <w:tabs>
          <w:tab w:leader="none" w:pos="1292" w:val="left"/>
        </w:tabs>
        <w:numPr>
          <w:ilvl w:val="1"/>
          <w:numId w:val="66"/>
        </w:numPr>
        <w:rPr>
          <w:rFonts w:ascii="Arial" w:cs="Arial" w:eastAsia="Arial" w:hAnsi="Arial"/>
          <w:sz w:val="16"/>
          <w:szCs w:val="16"/>
          <w:color w:val="auto"/>
        </w:rPr>
      </w:pPr>
      <w:r>
        <w:rPr>
          <w:rFonts w:ascii="Arial" w:cs="Arial" w:eastAsia="Arial" w:hAnsi="Arial"/>
          <w:sz w:val="16"/>
          <w:szCs w:val="16"/>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46" w:lineRule="exact"/>
        <w:rPr>
          <w:rFonts w:ascii="Arial" w:cs="Arial" w:eastAsia="Arial" w:hAnsi="Arial"/>
          <w:sz w:val="16"/>
          <w:szCs w:val="16"/>
          <w:color w:val="auto"/>
        </w:rPr>
      </w:pPr>
    </w:p>
    <w:p>
      <w:pPr>
        <w:ind w:left="1292" w:right="100" w:hanging="644"/>
        <w:spacing w:after="0" w:line="312" w:lineRule="auto"/>
        <w:tabs>
          <w:tab w:leader="none" w:pos="1292" w:val="left"/>
        </w:tabs>
        <w:numPr>
          <w:ilvl w:val="1"/>
          <w:numId w:val="66"/>
        </w:numPr>
        <w:rPr>
          <w:rFonts w:ascii="Arial" w:cs="Arial" w:eastAsia="Arial" w:hAnsi="Arial"/>
          <w:sz w:val="16"/>
          <w:szCs w:val="16"/>
          <w:color w:val="auto"/>
        </w:rPr>
      </w:pPr>
      <w:r>
        <w:rPr>
          <w:rFonts w:ascii="Arial" w:cs="Arial" w:eastAsia="Arial" w:hAnsi="Arial"/>
          <w:sz w:val="16"/>
          <w:szCs w:val="16"/>
          <w:color w:val="auto"/>
        </w:rPr>
        <w:t>is terminated as a result of the Employee’s retirement (after age 55 with ten years of employment with the Corporation or an Affiliate or after age 65), any unexercised, unexpired Stock Options granted hereunder to the Employee shall continue to vest as provided in Section 2 hereof and any option that is or becomes vested may be exercised in whole or in part prior to the expiration date of such option.</w:t>
      </w:r>
    </w:p>
    <w:p>
      <w:pPr>
        <w:spacing w:after="0" w:line="142" w:lineRule="exact"/>
        <w:rPr>
          <w:rFonts w:ascii="Arial" w:cs="Arial" w:eastAsia="Arial" w:hAnsi="Arial"/>
          <w:sz w:val="16"/>
          <w:szCs w:val="16"/>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Exercise</w:t>
      </w:r>
    </w:p>
    <w:p>
      <w:pPr>
        <w:spacing w:after="0" w:line="27" w:lineRule="exact"/>
        <w:rPr>
          <w:rFonts w:ascii="Arial" w:cs="Arial" w:eastAsia="Arial" w:hAnsi="Arial"/>
          <w:sz w:val="18"/>
          <w:szCs w:val="18"/>
          <w:color w:val="auto"/>
        </w:rPr>
      </w:pPr>
    </w:p>
    <w:p>
      <w:pPr>
        <w:ind w:left="652" w:right="80"/>
        <w:spacing w:after="0" w:line="253" w:lineRule="auto"/>
        <w:rPr>
          <w:rFonts w:ascii="Arial" w:cs="Arial" w:eastAsia="Arial" w:hAnsi="Arial"/>
          <w:sz w:val="18"/>
          <w:szCs w:val="18"/>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187"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Option</w:t>
      </w:r>
    </w:p>
    <w:p>
      <w:pPr>
        <w:spacing w:after="0" w:line="27" w:lineRule="exact"/>
        <w:rPr>
          <w:rFonts w:ascii="Arial" w:cs="Arial" w:eastAsia="Arial" w:hAnsi="Arial"/>
          <w:sz w:val="18"/>
          <w:szCs w:val="18"/>
          <w:color w:val="auto"/>
        </w:rPr>
      </w:pPr>
    </w:p>
    <w:p>
      <w:pPr>
        <w:ind w:left="652" w:right="40"/>
        <w:spacing w:after="0" w:line="323" w:lineRule="auto"/>
        <w:rPr>
          <w:rFonts w:ascii="Arial" w:cs="Arial" w:eastAsia="Arial" w:hAnsi="Arial"/>
          <w:sz w:val="18"/>
          <w:szCs w:val="18"/>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134"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p>
    <w:p>
      <w:pPr>
        <w:spacing w:after="0" w:line="27" w:lineRule="exact"/>
        <w:rPr>
          <w:rFonts w:ascii="Arial" w:cs="Arial" w:eastAsia="Arial" w:hAnsi="Arial"/>
          <w:sz w:val="18"/>
          <w:szCs w:val="18"/>
          <w:color w:val="auto"/>
        </w:rPr>
      </w:pPr>
    </w:p>
    <w:p>
      <w:pPr>
        <w:jc w:val="both"/>
        <w:ind w:left="652" w:right="80"/>
        <w:spacing w:after="0" w:line="281" w:lineRule="auto"/>
        <w:rPr>
          <w:rFonts w:ascii="Arial" w:cs="Arial" w:eastAsia="Arial" w:hAnsi="Arial"/>
          <w:sz w:val="18"/>
          <w:szCs w:val="18"/>
          <w:color w:val="auto"/>
        </w:rPr>
      </w:pPr>
      <w:r>
        <w:rPr>
          <w:rFonts w:ascii="Arial" w:cs="Arial" w:eastAsia="Arial" w:hAnsi="Arial"/>
          <w:sz w:val="16"/>
          <w:szCs w:val="16"/>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w:t>
      </w:r>
    </w:p>
    <w:p>
      <w:pPr>
        <w:spacing w:after="0" w:line="1" w:lineRule="exact"/>
        <w:rPr>
          <w:rFonts w:ascii="Arial" w:cs="Arial" w:eastAsia="Arial" w:hAnsi="Arial"/>
          <w:sz w:val="18"/>
          <w:szCs w:val="18"/>
          <w:color w:val="auto"/>
        </w:rPr>
      </w:pPr>
    </w:p>
    <w:p>
      <w:pPr>
        <w:jc w:val="both"/>
        <w:ind w:left="652" w:right="240" w:hanging="4"/>
        <w:spacing w:after="0" w:line="255" w:lineRule="auto"/>
        <w:tabs>
          <w:tab w:leader="none" w:pos="9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Section 9.</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Option shall expire ten years after the date on which this Option was granted.</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ind w:left="652" w:right="160"/>
        <w:spacing w:after="0" w:line="253" w:lineRule="auto"/>
        <w:rPr>
          <w:rFonts w:ascii="Arial" w:cs="Arial" w:eastAsia="Arial" w:hAnsi="Arial"/>
          <w:sz w:val="18"/>
          <w:szCs w:val="18"/>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Section 9, equal to the amount which the Corporation is required to withhold.</w:t>
      </w:r>
    </w:p>
    <w:p>
      <w:pPr>
        <w:spacing w:after="0" w:line="187"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Valuation of Stock</w:t>
      </w:r>
    </w:p>
    <w:p>
      <w:pPr>
        <w:spacing w:after="0" w:line="27" w:lineRule="exact"/>
        <w:rPr>
          <w:rFonts w:ascii="Arial" w:cs="Arial" w:eastAsia="Arial" w:hAnsi="Arial"/>
          <w:sz w:val="18"/>
          <w:szCs w:val="18"/>
          <w:color w:val="auto"/>
        </w:rPr>
      </w:pPr>
    </w:p>
    <w:p>
      <w:pPr>
        <w:ind w:left="652"/>
        <w:spacing w:after="0" w:line="252" w:lineRule="auto"/>
        <w:rPr>
          <w:rFonts w:ascii="Arial" w:cs="Arial" w:eastAsia="Arial" w:hAnsi="Arial"/>
          <w:sz w:val="18"/>
          <w:szCs w:val="18"/>
          <w:color w:val="auto"/>
        </w:rPr>
      </w:pPr>
      <w:r>
        <w:rPr>
          <w:rFonts w:ascii="Arial" w:cs="Arial" w:eastAsia="Arial" w:hAnsi="Arial"/>
          <w:sz w:val="18"/>
          <w:szCs w:val="18"/>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90"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Option, Employee agrees to, understands and acknowledges the following:</w:t>
      </w:r>
    </w:p>
    <w:p>
      <w:pPr>
        <w:spacing w:after="0" w:line="210" w:lineRule="exact"/>
        <w:rPr>
          <w:rFonts w:ascii="Arial" w:cs="Arial" w:eastAsia="Arial" w:hAnsi="Arial"/>
          <w:sz w:val="18"/>
          <w:szCs w:val="18"/>
          <w:color w:val="auto"/>
        </w:rPr>
      </w:pPr>
    </w:p>
    <w:p>
      <w:pPr>
        <w:ind w:left="1292" w:right="180" w:hanging="644"/>
        <w:spacing w:after="0" w:line="259" w:lineRule="auto"/>
        <w:tabs>
          <w:tab w:leader="none" w:pos="1292" w:val="left"/>
        </w:tabs>
        <w:numPr>
          <w:ilvl w:val="1"/>
          <w:numId w:val="68"/>
        </w:numPr>
        <w:rPr>
          <w:rFonts w:ascii="Arial" w:cs="Arial" w:eastAsia="Arial" w:hAnsi="Arial"/>
          <w:sz w:val="18"/>
          <w:szCs w:val="18"/>
          <w:color w:val="auto"/>
        </w:rPr>
      </w:pPr>
      <w:r>
        <w:rPr>
          <w:rFonts w:ascii="Arial" w:cs="Arial" w:eastAsia="Arial" w:hAnsi="Arial"/>
          <w:sz w:val="18"/>
          <w:szCs w:val="18"/>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w:t>
      </w:r>
    </w:p>
    <w:p>
      <w:pPr>
        <w:sectPr>
          <w:pgSz w:w="11900" w:h="16838" w:orient="portrait"/>
          <w:cols w:equalWidth="0" w:num="1">
            <w:col w:w="11372"/>
          </w:cols>
          <w:pgMar w:left="248" w:top="692" w:right="279" w:bottom="1440" w:gutter="0" w:footer="0" w:header="0"/>
        </w:sectPr>
      </w:pPr>
    </w:p>
    <w:bookmarkStart w:id="112" w:name="page113"/>
    <w:bookmarkEnd w:id="112"/>
    <w:p>
      <w:pPr>
        <w:ind w:left="563" w:right="40"/>
        <w:spacing w:after="0" w:line="319" w:lineRule="auto"/>
        <w:rPr>
          <w:sz w:val="20"/>
          <w:szCs w:val="20"/>
          <w:color w:val="auto"/>
        </w:rPr>
      </w:pPr>
      <w:r>
        <w:rPr>
          <w:rFonts w:ascii="Arial" w:cs="Arial" w:eastAsia="Arial" w:hAnsi="Arial"/>
          <w:sz w:val="17"/>
          <w:szCs w:val="17"/>
          <w:color w:val="auto"/>
        </w:rPr>
        <w:t>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319" w:lineRule="exact"/>
        <w:rPr>
          <w:sz w:val="20"/>
          <w:szCs w:val="20"/>
          <w:color w:val="auto"/>
        </w:rPr>
      </w:pPr>
    </w:p>
    <w:p>
      <w:pPr>
        <w:ind w:left="1223" w:right="40" w:hanging="655"/>
        <w:spacing w:after="0" w:line="264" w:lineRule="auto"/>
        <w:tabs>
          <w:tab w:leader="none" w:pos="1223"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27" w:lineRule="exact"/>
        <w:rPr>
          <w:rFonts w:ascii="Arial" w:cs="Arial" w:eastAsia="Arial" w:hAnsi="Arial"/>
          <w:sz w:val="18"/>
          <w:szCs w:val="18"/>
          <w:color w:val="auto"/>
        </w:rPr>
      </w:pPr>
    </w:p>
    <w:p>
      <w:pPr>
        <w:ind w:left="1223" w:hanging="655"/>
        <w:spacing w:after="0" w:line="277" w:lineRule="auto"/>
        <w:tabs>
          <w:tab w:leader="none" w:pos="1223"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16" w:lineRule="exact"/>
        <w:rPr>
          <w:rFonts w:ascii="Arial" w:cs="Arial" w:eastAsia="Arial" w:hAnsi="Arial"/>
          <w:sz w:val="18"/>
          <w:szCs w:val="18"/>
          <w:color w:val="auto"/>
        </w:rPr>
      </w:pPr>
    </w:p>
    <w:p>
      <w:pPr>
        <w:ind w:left="1223" w:right="220" w:hanging="655"/>
        <w:spacing w:after="0" w:line="312" w:lineRule="auto"/>
        <w:tabs>
          <w:tab w:leader="none" w:pos="1223"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92" w:lineRule="exact"/>
        <w:rPr>
          <w:rFonts w:ascii="Arial" w:cs="Arial" w:eastAsia="Arial" w:hAnsi="Arial"/>
          <w:sz w:val="16"/>
          <w:szCs w:val="16"/>
          <w:color w:val="auto"/>
        </w:rPr>
      </w:pPr>
    </w:p>
    <w:p>
      <w:pPr>
        <w:ind w:left="1223" w:right="380" w:hanging="655"/>
        <w:spacing w:after="0" w:line="264" w:lineRule="auto"/>
        <w:tabs>
          <w:tab w:leader="none" w:pos="122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27" w:lineRule="exact"/>
        <w:rPr>
          <w:rFonts w:ascii="Arial" w:cs="Arial" w:eastAsia="Arial" w:hAnsi="Arial"/>
          <w:sz w:val="18"/>
          <w:szCs w:val="18"/>
          <w:color w:val="auto"/>
        </w:rPr>
      </w:pPr>
    </w:p>
    <w:p>
      <w:pPr>
        <w:ind w:left="1223" w:right="40" w:hanging="655"/>
        <w:spacing w:after="0" w:line="264" w:lineRule="auto"/>
        <w:tabs>
          <w:tab w:leader="none" w:pos="1223" w:val="left"/>
        </w:tabs>
        <w:numPr>
          <w:ilvl w:val="1"/>
          <w:numId w:val="69"/>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81" w:lineRule="exact"/>
        <w:rPr>
          <w:rFonts w:ascii="Arial" w:cs="Arial" w:eastAsia="Arial" w:hAnsi="Arial"/>
          <w:sz w:val="18"/>
          <w:szCs w:val="18"/>
          <w:color w:val="auto"/>
        </w:rPr>
      </w:pPr>
    </w:p>
    <w:p>
      <w:pPr>
        <w:ind w:left="563" w:right="40" w:hanging="563"/>
        <w:spacing w:after="0" w:line="257" w:lineRule="auto"/>
        <w:tabs>
          <w:tab w:leader="none" w:pos="5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350" w:lineRule="exact"/>
        <w:rPr>
          <w:rFonts w:ascii="Arial" w:cs="Arial" w:eastAsia="Arial" w:hAnsi="Arial"/>
          <w:sz w:val="18"/>
          <w:szCs w:val="18"/>
          <w:color w:val="auto"/>
        </w:rPr>
      </w:pPr>
    </w:p>
    <w:p>
      <w:pPr>
        <w:ind w:left="1223" w:right="80" w:hanging="655"/>
        <w:spacing w:after="0" w:line="286" w:lineRule="auto"/>
        <w:tabs>
          <w:tab w:leader="none" w:pos="1223" w:val="left"/>
        </w:tabs>
        <w:numPr>
          <w:ilvl w:val="1"/>
          <w:numId w:val="70"/>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11" w:lineRule="exact"/>
        <w:rPr>
          <w:rFonts w:ascii="Arial" w:cs="Arial" w:eastAsia="Arial" w:hAnsi="Arial"/>
          <w:sz w:val="17"/>
          <w:szCs w:val="17"/>
          <w:color w:val="auto"/>
        </w:rPr>
      </w:pPr>
    </w:p>
    <w:p>
      <w:pPr>
        <w:ind w:left="1223" w:right="140" w:hanging="655"/>
        <w:spacing w:after="0" w:line="273" w:lineRule="auto"/>
        <w:tabs>
          <w:tab w:leader="none" w:pos="1223" w:val="left"/>
        </w:tabs>
        <w:numPr>
          <w:ilvl w:val="1"/>
          <w:numId w:val="70"/>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78" w:lineRule="exact"/>
        <w:rPr>
          <w:sz w:val="20"/>
          <w:szCs w:val="20"/>
          <w:color w:val="auto"/>
        </w:rPr>
      </w:pPr>
    </w:p>
    <w:p>
      <w:pPr>
        <w:ind w:left="563" w:right="40"/>
        <w:spacing w:after="0" w:line="277"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w:t>
      </w:r>
    </w:p>
    <w:p>
      <w:pPr>
        <w:sectPr>
          <w:pgSz w:w="11900" w:h="16838" w:orient="portrait"/>
          <w:cols w:equalWidth="0" w:num="1">
            <w:col w:w="10683"/>
          </w:cols>
          <w:pgMar w:left="977" w:top="611" w:right="239" w:bottom="1440" w:gutter="0" w:footer="0" w:header="0"/>
        </w:sectPr>
      </w:pPr>
    </w:p>
    <w:bookmarkStart w:id="113" w:name="page114"/>
    <w:bookmarkEnd w:id="113"/>
    <w:p>
      <w:pPr>
        <w:ind w:left="1292" w:right="780"/>
        <w:spacing w:after="0" w:line="277" w:lineRule="auto"/>
        <w:rPr>
          <w:sz w:val="20"/>
          <w:szCs w:val="20"/>
          <w:color w:val="auto"/>
        </w:rPr>
      </w:pPr>
      <w:r>
        <w:rPr>
          <w:rFonts w:ascii="Arial" w:cs="Arial" w:eastAsia="Arial" w:hAnsi="Arial"/>
          <w:sz w:val="18"/>
          <w:szCs w:val="18"/>
          <w:color w:val="auto"/>
        </w:rPr>
        <w:t>production and/or sale of, any product or service which is directly competitive with one with respect to which Employee acquired Confidential Information by reason of Employee's work with the Company.</w:t>
      </w:r>
    </w:p>
    <w:p>
      <w:pPr>
        <w:spacing w:after="0" w:line="170" w:lineRule="exact"/>
        <w:rPr>
          <w:sz w:val="20"/>
          <w:szCs w:val="20"/>
          <w:color w:val="auto"/>
        </w:rPr>
      </w:pPr>
    </w:p>
    <w:p>
      <w:pPr>
        <w:ind w:left="1292" w:hanging="644"/>
        <w:spacing w:after="0" w:line="254"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10, or to enjoin Employee from performing services in breach of Section 10(b)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ind w:left="1292" w:right="240" w:hanging="644"/>
        <w:spacing w:after="0" w:line="264"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10,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Employee agrees that the terms of this Section 10 shall survive the termination of Employee's employment with the Company.</w:t>
      </w:r>
    </w:p>
    <w:p>
      <w:pPr>
        <w:spacing w:after="0" w:line="225" w:lineRule="exact"/>
        <w:rPr>
          <w:rFonts w:ascii="Arial" w:cs="Arial" w:eastAsia="Arial" w:hAnsi="Arial"/>
          <w:sz w:val="18"/>
          <w:szCs w:val="18"/>
          <w:color w:val="auto"/>
        </w:rPr>
      </w:pPr>
    </w:p>
    <w:p>
      <w:pPr>
        <w:ind w:left="1292" w:right="20" w:hanging="644"/>
        <w:spacing w:after="0" w:line="259"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EMPLOYEE HAS READ THIS SECTION 10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ind w:left="652" w:right="80"/>
        <w:spacing w:after="0" w:line="254" w:lineRule="auto"/>
        <w:rPr>
          <w:rFonts w:ascii="Arial" w:cs="Arial" w:eastAsia="Arial" w:hAnsi="Arial"/>
          <w:sz w:val="18"/>
          <w:szCs w:val="18"/>
          <w:color w:val="auto"/>
        </w:rPr>
      </w:pPr>
      <w:r>
        <w:rPr>
          <w:rFonts w:ascii="Arial" w:cs="Arial" w:eastAsia="Arial" w:hAnsi="Arial"/>
          <w:sz w:val="18"/>
          <w:szCs w:val="18"/>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in Shares Until Certificates Issued</w:t>
      </w:r>
    </w:p>
    <w:p>
      <w:pPr>
        <w:spacing w:after="0" w:line="27" w:lineRule="exact"/>
        <w:rPr>
          <w:rFonts w:ascii="Arial" w:cs="Arial" w:eastAsia="Arial" w:hAnsi="Arial"/>
          <w:sz w:val="18"/>
          <w:szCs w:val="18"/>
          <w:color w:val="auto"/>
        </w:rPr>
      </w:pPr>
    </w:p>
    <w:p>
      <w:pPr>
        <w:ind w:left="652" w:right="160"/>
        <w:spacing w:after="0" w:line="277" w:lineRule="auto"/>
        <w:rPr>
          <w:rFonts w:ascii="Arial" w:cs="Arial" w:eastAsia="Arial" w:hAnsi="Arial"/>
          <w:sz w:val="18"/>
          <w:szCs w:val="18"/>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69" w:lineRule="exact"/>
        <w:rPr>
          <w:rFonts w:ascii="Arial" w:cs="Arial" w:eastAsia="Arial" w:hAnsi="Arial"/>
          <w:sz w:val="18"/>
          <w:szCs w:val="18"/>
          <w:color w:val="auto"/>
        </w:rPr>
      </w:pPr>
    </w:p>
    <w:p>
      <w:pPr>
        <w:ind w:left="652" w:hanging="652"/>
        <w:spacing w:after="0"/>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Not Transferable</w:t>
      </w:r>
    </w:p>
    <w:p>
      <w:pPr>
        <w:spacing w:after="0" w:line="27" w:lineRule="exact"/>
        <w:rPr>
          <w:rFonts w:ascii="Arial" w:cs="Arial" w:eastAsia="Arial" w:hAnsi="Arial"/>
          <w:sz w:val="18"/>
          <w:szCs w:val="18"/>
          <w:color w:val="auto"/>
        </w:rPr>
      </w:pPr>
    </w:p>
    <w:p>
      <w:pPr>
        <w:ind w:left="652" w:right="40"/>
        <w:spacing w:after="0" w:line="290" w:lineRule="auto"/>
        <w:rPr>
          <w:rFonts w:ascii="Arial" w:cs="Arial" w:eastAsia="Arial" w:hAnsi="Arial"/>
          <w:sz w:val="18"/>
          <w:szCs w:val="18"/>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60" w:lineRule="exact"/>
        <w:rPr>
          <w:rFonts w:ascii="Arial" w:cs="Arial" w:eastAsia="Arial" w:hAnsi="Arial"/>
          <w:sz w:val="18"/>
          <w:szCs w:val="18"/>
          <w:color w:val="auto"/>
        </w:rPr>
      </w:pPr>
    </w:p>
    <w:p>
      <w:pPr>
        <w:ind w:left="652" w:hanging="652"/>
        <w:spacing w:after="0"/>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Prohibition Against Pledge, Attachment, Etc.</w:t>
      </w:r>
    </w:p>
    <w:p>
      <w:pPr>
        <w:spacing w:after="0" w:line="27" w:lineRule="exact"/>
        <w:rPr>
          <w:rFonts w:ascii="Arial" w:cs="Arial" w:eastAsia="Arial" w:hAnsi="Arial"/>
          <w:sz w:val="18"/>
          <w:szCs w:val="18"/>
          <w:color w:val="auto"/>
        </w:rPr>
      </w:pPr>
    </w:p>
    <w:p>
      <w:pPr>
        <w:ind w:left="652" w:right="120"/>
        <w:spacing w:after="0" w:line="323" w:lineRule="auto"/>
        <w:rPr>
          <w:rFonts w:ascii="Arial" w:cs="Arial" w:eastAsia="Arial" w:hAnsi="Arial"/>
          <w:sz w:val="18"/>
          <w:szCs w:val="18"/>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134" w:lineRule="exact"/>
        <w:rPr>
          <w:rFonts w:ascii="Arial" w:cs="Arial" w:eastAsia="Arial" w:hAnsi="Arial"/>
          <w:sz w:val="18"/>
          <w:szCs w:val="18"/>
          <w:color w:val="auto"/>
        </w:rPr>
      </w:pPr>
    </w:p>
    <w:p>
      <w:pPr>
        <w:ind w:left="652" w:hanging="652"/>
        <w:spacing w:after="0"/>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Stock</w:t>
      </w:r>
    </w:p>
    <w:p>
      <w:pPr>
        <w:spacing w:after="0" w:line="27" w:lineRule="exact"/>
        <w:rPr>
          <w:rFonts w:ascii="Arial" w:cs="Arial" w:eastAsia="Arial" w:hAnsi="Arial"/>
          <w:sz w:val="18"/>
          <w:szCs w:val="18"/>
          <w:color w:val="auto"/>
        </w:rPr>
      </w:pPr>
    </w:p>
    <w:p>
      <w:pPr>
        <w:ind w:left="652" w:right="140"/>
        <w:spacing w:after="0" w:line="261" w:lineRule="auto"/>
        <w:rPr>
          <w:rFonts w:ascii="Arial" w:cs="Arial" w:eastAsia="Arial" w:hAnsi="Arial"/>
          <w:sz w:val="18"/>
          <w:szCs w:val="18"/>
          <w:color w:val="auto"/>
        </w:rPr>
      </w:pPr>
      <w:r>
        <w:rPr>
          <w:rFonts w:ascii="Arial" w:cs="Arial" w:eastAsia="Arial" w:hAnsi="Arial"/>
          <w:sz w:val="18"/>
          <w:szCs w:val="18"/>
          <w:color w:val="auto"/>
        </w:rPr>
        <w:t>In the event there are any changes in the Class A Common Stock of the Corporation through merger, consolidation, reorganization, recapitalization, stock dividend, stock split, combination or exchange of shares, rights offering or any</w:t>
      </w:r>
    </w:p>
    <w:p>
      <w:pPr>
        <w:sectPr>
          <w:pgSz w:w="11900" w:h="16838" w:orient="portrait"/>
          <w:cols w:equalWidth="0" w:num="1">
            <w:col w:w="11412"/>
          </w:cols>
          <w:pgMar w:left="248" w:top="584" w:right="239" w:bottom="1440" w:gutter="0" w:footer="0" w:header="0"/>
        </w:sectPr>
      </w:pPr>
    </w:p>
    <w:bookmarkStart w:id="114" w:name="page115"/>
    <w:bookmarkEnd w:id="114"/>
    <w:p>
      <w:pPr>
        <w:ind w:left="660" w:right="100"/>
        <w:spacing w:after="0" w:line="264" w:lineRule="auto"/>
        <w:rPr>
          <w:sz w:val="20"/>
          <w:szCs w:val="20"/>
          <w:color w:val="auto"/>
        </w:rPr>
      </w:pPr>
      <w:r>
        <w:rPr>
          <w:rFonts w:ascii="Arial" w:cs="Arial" w:eastAsia="Arial" w:hAnsi="Arial"/>
          <w:sz w:val="18"/>
          <w:szCs w:val="18"/>
          <w:color w:val="auto"/>
        </w:rPr>
        <w:t>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17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Dissolution or Merger</w:t>
      </w:r>
    </w:p>
    <w:p>
      <w:pPr>
        <w:spacing w:after="0" w:line="27" w:lineRule="exact"/>
        <w:rPr>
          <w:rFonts w:ascii="Arial" w:cs="Arial" w:eastAsia="Arial" w:hAnsi="Arial"/>
          <w:sz w:val="18"/>
          <w:szCs w:val="18"/>
          <w:color w:val="auto"/>
        </w:rPr>
      </w:pPr>
    </w:p>
    <w:p>
      <w:pPr>
        <w:ind w:left="660" w:right="20"/>
        <w:spacing w:after="0" w:line="287" w:lineRule="auto"/>
        <w:rPr>
          <w:rFonts w:ascii="Arial" w:cs="Arial" w:eastAsia="Arial" w:hAnsi="Arial"/>
          <w:sz w:val="18"/>
          <w:szCs w:val="18"/>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Section shall be available only to the extent that at the time of any such surrender, Employee would have been entitled to exercise this Option under Sections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Section 1 hereof, and the Fair Market Value per share, determined in accordance with Section 9 hereof, as of the time of surrender.</w:t>
      </w:r>
    </w:p>
    <w:p>
      <w:pPr>
        <w:spacing w:after="0" w:line="162"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7" w:lineRule="exact"/>
        <w:rPr>
          <w:rFonts w:ascii="Arial" w:cs="Arial" w:eastAsia="Arial" w:hAnsi="Arial"/>
          <w:sz w:val="18"/>
          <w:szCs w:val="18"/>
          <w:color w:val="auto"/>
        </w:rPr>
      </w:pPr>
    </w:p>
    <w:p>
      <w:pPr>
        <w:ind w:left="660" w:right="320"/>
        <w:spacing w:after="0" w:line="253" w:lineRule="auto"/>
        <w:rPr>
          <w:rFonts w:ascii="Arial" w:cs="Arial" w:eastAsia="Arial" w:hAnsi="Arial"/>
          <w:sz w:val="18"/>
          <w:szCs w:val="18"/>
          <w:color w:val="auto"/>
        </w:rPr>
      </w:pPr>
      <w:r>
        <w:rPr>
          <w:rFonts w:ascii="Arial" w:cs="Arial" w:eastAsia="Arial" w:hAnsi="Arial"/>
          <w:sz w:val="18"/>
          <w:szCs w:val="18"/>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ind w:left="660" w:right="40"/>
        <w:spacing w:after="0" w:line="254" w:lineRule="auto"/>
        <w:rPr>
          <w:rFonts w:ascii="Arial" w:cs="Arial" w:eastAsia="Arial" w:hAnsi="Arial"/>
          <w:sz w:val="18"/>
          <w:szCs w:val="18"/>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Option has been granted in Wisconsin and shall be construed under the laws of that state.</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7" w:lineRule="exact"/>
        <w:rPr>
          <w:rFonts w:ascii="Arial" w:cs="Arial" w:eastAsia="Arial" w:hAnsi="Arial"/>
          <w:sz w:val="18"/>
          <w:szCs w:val="18"/>
          <w:color w:val="auto"/>
        </w:rPr>
      </w:pPr>
    </w:p>
    <w:p>
      <w:pPr>
        <w:ind w:left="660" w:right="160"/>
        <w:spacing w:after="0" w:line="255" w:lineRule="auto"/>
        <w:rPr>
          <w:rFonts w:ascii="Arial" w:cs="Arial" w:eastAsia="Arial" w:hAnsi="Arial"/>
          <w:sz w:val="18"/>
          <w:szCs w:val="18"/>
          <w:color w:val="auto"/>
        </w:rPr>
      </w:pPr>
      <w:r>
        <w:rPr>
          <w:rFonts w:ascii="Arial" w:cs="Arial" w:eastAsia="Arial" w:hAnsi="Arial"/>
          <w:sz w:val="18"/>
          <w:szCs w:val="18"/>
          <w:color w:val="auto"/>
        </w:rPr>
        <w:t>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Corporation has granted this Option as of the day and year first above written.</w:t>
      </w: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-10160</wp:posOffset>
            </wp:positionV>
            <wp:extent cx="1143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___________________________, hereby accept the foregoing Option award and agree to the terms and conditions thereof,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restrictions contained in Section 10 of this Agreement.</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-10160</wp:posOffset>
            </wp:positionV>
            <wp:extent cx="1143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-19050</wp:posOffset>
            </wp:positionV>
            <wp:extent cx="1143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 NONQUALIFIED STOCK OPTION AGREEMENT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granted on ________ X, 20XX, by Brady Corporation, a Wisconsin corporation (hereinafter called the “Company”),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____________________(hereinafter called the “Director”) pursuant to the terms of the Brady Corporation 2012 Omnibus Incentive Stock Plan. The</w:t>
      </w:r>
    </w:p>
    <w:p>
      <w:pPr>
        <w:spacing w:after="0" w:line="2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Corporation’s records shall be the official record of the Option grant described herein and, in the event of any conflict between this description and Corporation’s records, the Corporation’s records shall control.</w:t>
      </w:r>
    </w:p>
    <w:p>
      <w:pPr>
        <w:spacing w:after="0" w:line="180" w:lineRule="exact"/>
        <w:rPr>
          <w:sz w:val="20"/>
          <w:szCs w:val="20"/>
          <w:color w:val="auto"/>
        </w:rPr>
      </w:pPr>
    </w:p>
    <w:p>
      <w:pPr>
        <w:ind w:left="660" w:hanging="652"/>
        <w:spacing w:after="0" w:line="266"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 Optioned; 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grants to the Director the right and option to purchase, 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all or any part of an aggregate of X,XXX shares of the presently authorized Class A Common Stock of the Company, $.01 par value, whether unissued or issued and reacquired by the Company, at the price of $XX.XX per share (the “Option Price”).</w:t>
      </w:r>
    </w:p>
    <w:p>
      <w:pPr>
        <w:spacing w:after="0" w:line="176"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of Exercise of Options During Director’s Lifetime; Vesting of Option</w:t>
      </w:r>
      <w:r>
        <w:rPr>
          <w:rFonts w:ascii="Arial" w:cs="Arial" w:eastAsia="Arial" w:hAnsi="Arial"/>
          <w:sz w:val="17"/>
          <w:szCs w:val="17"/>
          <w:color w:val="auto"/>
        </w:rPr>
        <w:t>. Except as provided hereinafter in this paragraph and in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3, 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18"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Percentage</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of Shares For</w:t>
            </w: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Number of Completed Years After</w:t>
            </w:r>
          </w:p>
        </w:tc>
        <w:tc>
          <w:tcPr>
            <w:tcW w:w="2020" w:type="dxa"/>
            <w:vAlign w:val="bottom"/>
            <w:gridSpan w:val="2"/>
          </w:tcPr>
          <w:p>
            <w:pPr>
              <w:spacing w:after="0"/>
              <w:rPr>
                <w:sz w:val="20"/>
                <w:szCs w:val="20"/>
                <w:color w:val="auto"/>
              </w:rPr>
            </w:pPr>
            <w:r>
              <w:rPr>
                <w:rFonts w:ascii="Arial" w:cs="Arial" w:eastAsia="Arial" w:hAnsi="Arial"/>
                <w:sz w:val="18"/>
                <w:szCs w:val="18"/>
                <w:color w:val="auto"/>
              </w:rPr>
              <w:t>Which Option is</w:t>
            </w:r>
          </w:p>
        </w:tc>
      </w:tr>
      <w:tr>
        <w:trPr>
          <w:trHeight w:val="190"/>
        </w:trPr>
        <w:tc>
          <w:tcPr>
            <w:tcW w:w="590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Date of Grant of this Option</w:t>
            </w:r>
          </w:p>
        </w:tc>
        <w:tc>
          <w:tcPr>
            <w:tcW w:w="2020" w:type="dxa"/>
            <w:vAlign w:val="bottom"/>
            <w:gridSpan w:val="2"/>
          </w:tcPr>
          <w:p>
            <w:pPr>
              <w:spacing w:after="0" w:line="190" w:lineRule="exact"/>
              <w:rPr>
                <w:sz w:val="20"/>
                <w:szCs w:val="20"/>
                <w:color w:val="auto"/>
              </w:rPr>
            </w:pPr>
            <w:r>
              <w:rPr>
                <w:rFonts w:ascii="Arial" w:cs="Arial" w:eastAsia="Arial" w:hAnsi="Arial"/>
                <w:sz w:val="18"/>
                <w:szCs w:val="18"/>
                <w:color w:val="auto"/>
              </w:rPr>
              <w:t>Exercisable</w:t>
            </w:r>
          </w:p>
        </w:tc>
      </w:tr>
      <w:tr>
        <w:trPr>
          <w:trHeight w:val="237"/>
        </w:trPr>
        <w:tc>
          <w:tcPr>
            <w:tcW w:w="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38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than 1</w:t>
            </w: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w:t>
            </w:r>
          </w:p>
        </w:tc>
      </w:tr>
      <w:tr>
        <w:trPr>
          <w:trHeight w:val="24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At least 1 but less than 2</w:t>
            </w:r>
          </w:p>
        </w:tc>
        <w:tc>
          <w:tcPr>
            <w:tcW w:w="840" w:type="dxa"/>
            <w:vAlign w:val="bottom"/>
          </w:tcPr>
          <w:p>
            <w:pPr>
              <w:spacing w:after="0"/>
              <w:rPr>
                <w:sz w:val="20"/>
                <w:szCs w:val="20"/>
                <w:color w:val="auto"/>
              </w:rPr>
            </w:pPr>
            <w:r>
              <w:rPr>
                <w:rFonts w:ascii="Arial" w:cs="Arial" w:eastAsia="Arial" w:hAnsi="Arial"/>
                <w:sz w:val="18"/>
                <w:szCs w:val="18"/>
                <w:color w:val="auto"/>
              </w:rPr>
              <w:t>33-1/3%</w:t>
            </w:r>
          </w:p>
        </w:tc>
        <w:tc>
          <w:tcPr>
            <w:tcW w:w="1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At least 2 but less than 3</w:t>
            </w:r>
          </w:p>
        </w:tc>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66-2/3%</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At least 3</w:t>
            </w:r>
          </w:p>
        </w:tc>
        <w:tc>
          <w:tcPr>
            <w:tcW w:w="840" w:type="dxa"/>
            <w:vAlign w:val="bottom"/>
          </w:tcPr>
          <w:p>
            <w:pPr>
              <w:spacing w:after="0"/>
              <w:rPr>
                <w:sz w:val="20"/>
                <w:szCs w:val="20"/>
                <w:color w:val="auto"/>
              </w:rPr>
            </w:pPr>
            <w:r>
              <w:rPr>
                <w:rFonts w:ascii="Arial" w:cs="Arial" w:eastAsia="Arial" w:hAnsi="Arial"/>
                <w:sz w:val="18"/>
                <w:szCs w:val="18"/>
                <w:color w:val="auto"/>
              </w:rPr>
              <w:t>100%</w:t>
            </w:r>
          </w:p>
        </w:tc>
        <w:tc>
          <w:tcPr>
            <w:tcW w:w="1180" w:type="dxa"/>
            <w:vAlign w:val="bottom"/>
          </w:tcPr>
          <w:p>
            <w:pPr>
              <w:spacing w:after="0"/>
              <w:rPr>
                <w:sz w:val="21"/>
                <w:szCs w:val="21"/>
                <w:color w:val="auto"/>
              </w:rPr>
            </w:pPr>
          </w:p>
        </w:tc>
      </w:tr>
    </w:tbl>
    <w:p>
      <w:pPr>
        <w:spacing w:after="0" w:line="22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 on the date of such termination. This Agreement does not confer upon Director any right to continue as a Director of the Company.</w:t>
      </w:r>
    </w:p>
    <w:p>
      <w:pPr>
        <w:spacing w:after="0" w:line="184"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 Etc</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right="1620" w:firstLine="656"/>
        <w:spacing w:after="0" w:line="281" w:lineRule="auto"/>
        <w:tabs>
          <w:tab w:leader="none" w:pos="868"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Notwithstanding the provisions of paragraph 2 hereof, in the event of the termination of the Directorship with the Company prior to three years from date of grant, due to death or disability, this Option shall become 100% vested and fully exercisable.</w:t>
      </w:r>
    </w:p>
    <w:p>
      <w:pPr>
        <w:spacing w:after="0" w:line="1" w:lineRule="exact"/>
        <w:rPr>
          <w:rFonts w:ascii="Arial" w:cs="Arial" w:eastAsia="Arial" w:hAnsi="Arial"/>
          <w:sz w:val="16"/>
          <w:szCs w:val="16"/>
          <w:color w:val="auto"/>
        </w:rPr>
      </w:pPr>
    </w:p>
    <w:p>
      <w:pPr>
        <w:ind w:right="80" w:firstLine="648"/>
        <w:spacing w:after="0" w:line="261" w:lineRule="auto"/>
        <w:rPr>
          <w:rFonts w:ascii="Arial" w:cs="Arial" w:eastAsia="Arial" w:hAnsi="Arial"/>
          <w:sz w:val="16"/>
          <w:szCs w:val="16"/>
          <w:color w:val="auto"/>
        </w:rPr>
      </w:pPr>
      <w:r>
        <w:rPr>
          <w:rFonts w:ascii="Arial" w:cs="Arial" w:eastAsia="Arial" w:hAnsi="Arial"/>
          <w:sz w:val="18"/>
          <w:szCs w:val="18"/>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183" w:lineRule="exact"/>
        <w:rPr>
          <w:rFonts w:ascii="Arial" w:cs="Arial" w:eastAsia="Arial" w:hAnsi="Arial"/>
          <w:sz w:val="16"/>
          <w:szCs w:val="16"/>
          <w:color w:val="auto"/>
        </w:rPr>
      </w:pPr>
    </w:p>
    <w:p>
      <w:pPr>
        <w:ind w:left="860" w:hanging="204"/>
        <w:spacing w:after="0"/>
        <w:tabs>
          <w:tab w:leader="none" w:pos="8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 If the Directorship is terminated by the death of the Director, any unexercised, unexpired Stock Options</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 (ii) If the Directorship is terminated as a result of the disability of the Director, any unexercised, unexpired Stock Options granted hereunder to the Director shall be exercisable, in whole or in part, at any time within one year after the date of disability. (iii) If the Directorship is terminated after the Director has been a member of the Board for at least three years, any unexercised, unexpired Stock Options granted hereunder to the Director shall</w:t>
      </w:r>
    </w:p>
    <w:p>
      <w:pPr>
        <w:sectPr>
          <w:pgSz w:w="11900" w:h="16838" w:orient="portrait"/>
          <w:cols w:equalWidth="0" w:num="1">
            <w:col w:w="11400"/>
          </w:cols>
          <w:pgMar w:left="240" w:top="796"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continue to vest as provided in paragraph 2 and any option that is or becomes vested may be exercised within the term of such option.</w:t>
      </w:r>
    </w:p>
    <w:p>
      <w:pPr>
        <w:spacing w:after="0" w:line="2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186" w:lineRule="exact"/>
        <w:rPr>
          <w:sz w:val="20"/>
          <w:szCs w:val="20"/>
          <w:color w:val="auto"/>
        </w:rPr>
      </w:pPr>
    </w:p>
    <w:p>
      <w:pPr>
        <w:ind w:left="660" w:right="20" w:hanging="652"/>
        <w:spacing w:after="0" w:line="25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color w:val="auto"/>
        </w:rPr>
        <w:t>. Although the Company intends to exert its best efforts so that the shares purchasable upon the exercise of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183" w:lineRule="exact"/>
        <w:rPr>
          <w:rFonts w:ascii="Arial" w:cs="Arial" w:eastAsia="Arial" w:hAnsi="Arial"/>
          <w:sz w:val="18"/>
          <w:szCs w:val="18"/>
          <w:color w:val="auto"/>
        </w:rPr>
      </w:pPr>
    </w:p>
    <w:p>
      <w:pPr>
        <w:ind w:left="660" w:right="220" w:hanging="652"/>
        <w:spacing w:after="0" w:line="266"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color w:val="auto"/>
        </w:rPr>
        <w:t>. This Option shall be exercised by delivering to the Company, at the office of its Treasurer, a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with respect to which this Option is at the time being exercised and by paying the Company in full the Option Price of the shares being acquired at the time.</w:t>
      </w:r>
    </w:p>
    <w:p>
      <w:pPr>
        <w:spacing w:after="0" w:line="176" w:lineRule="exact"/>
        <w:rPr>
          <w:rFonts w:ascii="Arial" w:cs="Arial" w:eastAsia="Arial" w:hAnsi="Arial"/>
          <w:sz w:val="18"/>
          <w:szCs w:val="18"/>
          <w:color w:val="auto"/>
        </w:rPr>
      </w:pPr>
    </w:p>
    <w:p>
      <w:pPr>
        <w:ind w:left="660" w:hanging="652"/>
        <w:spacing w:after="0" w:line="25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Payment shall be made either (i) in cash; (ii) by delivering shares of the Company’s Class A Common Stock which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owned by the Director, the spouse of the Director, or both of them, for a period of at least six months prior to the time of exercise (“Delivered Stock”); (iii) by surrendering to the Company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color w:val="auto"/>
        </w:rPr>
        <w:t>. This Option shall expire ten years after the date on which this Option was granted.</w:t>
      </w:r>
    </w:p>
    <w:p>
      <w:pPr>
        <w:spacing w:after="0" w:line="225" w:lineRule="exact"/>
        <w:rPr>
          <w:rFonts w:ascii="Arial" w:cs="Arial" w:eastAsia="Arial" w:hAnsi="Arial"/>
          <w:sz w:val="18"/>
          <w:szCs w:val="18"/>
          <w:color w:val="auto"/>
        </w:rPr>
      </w:pPr>
    </w:p>
    <w:p>
      <w:pPr>
        <w:ind w:left="660" w:hanging="652"/>
        <w:spacing w:after="0" w:line="295"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color w:val="auto"/>
        </w:rPr>
        <w:t>. The Company may require payment of or withhold any tax which it believes is payable as a result of the exercise of this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155" w:lineRule="exact"/>
        <w:rPr>
          <w:rFonts w:ascii="Arial" w:cs="Arial" w:eastAsia="Arial" w:hAnsi="Arial"/>
          <w:sz w:val="16"/>
          <w:szCs w:val="16"/>
          <w:color w:val="auto"/>
        </w:rPr>
      </w:pPr>
    </w:p>
    <w:p>
      <w:pPr>
        <w:ind w:left="660" w:right="20" w:hanging="652"/>
        <w:spacing w:after="0" w:line="256"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Valuation of Stock</w:t>
      </w:r>
      <w:r>
        <w:rPr>
          <w:rFonts w:ascii="Arial" w:cs="Arial" w:eastAsia="Arial" w:hAnsi="Arial"/>
          <w:sz w:val="18"/>
          <w:szCs w:val="18"/>
          <w:color w:val="auto"/>
        </w:rPr>
        <w:t>. The “Fair Market Value” of the Class A Common Stock of the Company on any date shall mean, if the stock is then</w:t>
      </w:r>
      <w:r>
        <w:rPr>
          <w:rFonts w:ascii="Arial" w:cs="Arial" w:eastAsia="Arial" w:hAnsi="Arial"/>
          <w:sz w:val="18"/>
          <w:szCs w:val="18"/>
          <w:b w:val="1"/>
          <w:bCs w:val="1"/>
          <w:color w:val="auto"/>
        </w:rPr>
        <w:t xml:space="preserve"> </w:t>
      </w:r>
      <w:r>
        <w:rPr>
          <w:rFonts w:ascii="Arial" w:cs="Arial" w:eastAsia="Arial" w:hAnsi="Arial"/>
          <w:sz w:val="18"/>
          <w:szCs w:val="18"/>
          <w:color w:val="auto"/>
        </w:rPr>
        <w:t>listed 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87" w:lineRule="exact"/>
        <w:rPr>
          <w:rFonts w:ascii="Arial" w:cs="Arial" w:eastAsia="Arial" w:hAnsi="Arial"/>
          <w:sz w:val="18"/>
          <w:szCs w:val="18"/>
          <w:color w:val="auto"/>
        </w:rPr>
      </w:pPr>
    </w:p>
    <w:p>
      <w:pPr>
        <w:ind w:left="660" w:right="60" w:hanging="652"/>
        <w:spacing w:after="0" w:line="261"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subject to the terms of the Corporation's recoupment, clawback or similar policy as it may be in effect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80" w:lineRule="exact"/>
        <w:rPr>
          <w:rFonts w:ascii="Arial" w:cs="Arial" w:eastAsia="Arial" w:hAnsi="Arial"/>
          <w:sz w:val="18"/>
          <w:szCs w:val="18"/>
          <w:color w:val="auto"/>
        </w:rPr>
      </w:pPr>
    </w:p>
    <w:p>
      <w:pPr>
        <w:ind w:left="660" w:right="220" w:hanging="652"/>
        <w:spacing w:after="0" w:line="266"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color w:val="auto"/>
        </w:rPr>
        <w:t>. Neither the Director nor his heirs nor his personal representative shall have any of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of a stockholder of the Company in respect of any of the shares issuable upon the exercise of the Option herein granted, unless and until certificates representing such shares shall have been issued.</w:t>
      </w:r>
    </w:p>
    <w:p>
      <w:pPr>
        <w:spacing w:after="0" w:line="176" w:lineRule="exact"/>
        <w:rPr>
          <w:rFonts w:ascii="Arial" w:cs="Arial" w:eastAsia="Arial" w:hAnsi="Arial"/>
          <w:sz w:val="18"/>
          <w:szCs w:val="18"/>
          <w:color w:val="auto"/>
        </w:rPr>
      </w:pPr>
    </w:p>
    <w:p>
      <w:pPr>
        <w:ind w:left="660" w:right="80" w:hanging="652"/>
        <w:spacing w:after="0" w:line="28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color w:val="auto"/>
        </w:rPr>
        <w:t>. This Option shall not be transferable by the Director other than by his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and shall be exercisable during his lifetime only by him.</w:t>
      </w:r>
    </w:p>
    <w:p>
      <w:pPr>
        <w:sectPr>
          <w:pgSz w:w="11900" w:h="16838" w:orient="portrait"/>
          <w:cols w:equalWidth="0" w:num="1">
            <w:col w:w="11420"/>
          </w:cols>
          <w:pgMar w:left="240" w:top="584" w:right="239" w:bottom="1440" w:gutter="0" w:footer="0" w:header="0"/>
        </w:sectPr>
      </w:pPr>
    </w:p>
    <w:bookmarkStart w:id="118" w:name="page119"/>
    <w:bookmarkEnd w:id="118"/>
    <w:p>
      <w:pPr>
        <w:ind w:left="652" w:right="40" w:hanging="652"/>
        <w:spacing w:after="0" w:line="266" w:lineRule="auto"/>
        <w:tabs>
          <w:tab w:leader="none" w:pos="652"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color w:val="auto"/>
        </w:rPr>
        <w:t>. Except as otherwise herein provided, the Option herein granted and the rights and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thereto shall not be transferred, assigned, pledged or hypothecated in any way (whether by operation of law or otherwise) and shall not be subject to execution, attachment or similar process.</w:t>
      </w:r>
    </w:p>
    <w:p>
      <w:pPr>
        <w:spacing w:after="0" w:line="176" w:lineRule="exact"/>
        <w:rPr>
          <w:rFonts w:ascii="Arial" w:cs="Arial" w:eastAsia="Arial" w:hAnsi="Arial"/>
          <w:sz w:val="18"/>
          <w:szCs w:val="18"/>
          <w:color w:val="auto"/>
        </w:rPr>
      </w:pPr>
    </w:p>
    <w:p>
      <w:pPr>
        <w:ind w:left="652" w:right="40" w:hanging="652"/>
        <w:spacing w:after="0" w:line="258" w:lineRule="auto"/>
        <w:tabs>
          <w:tab w:leader="none" w:pos="652"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Stock</w:t>
      </w:r>
      <w:r>
        <w:rPr>
          <w:rFonts w:ascii="Arial" w:cs="Arial" w:eastAsia="Arial" w:hAnsi="Arial"/>
          <w:sz w:val="18"/>
          <w:szCs w:val="18"/>
          <w:color w:val="auto"/>
        </w:rPr>
        <w:t>. In the event there are any changes in the Class A Common Stock of the Company through merger, consolidation,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stock 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183" w:lineRule="exact"/>
        <w:rPr>
          <w:rFonts w:ascii="Arial" w:cs="Arial" w:eastAsia="Arial" w:hAnsi="Arial"/>
          <w:sz w:val="18"/>
          <w:szCs w:val="18"/>
          <w:color w:val="auto"/>
        </w:rPr>
      </w:pPr>
    </w:p>
    <w:p>
      <w:pPr>
        <w:ind w:left="652" w:hanging="652"/>
        <w:spacing w:after="0" w:line="270" w:lineRule="auto"/>
        <w:tabs>
          <w:tab w:leader="none" w:pos="652"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color w:val="auto"/>
        </w:rPr>
        <w:t>. Anything contained herein to the contrary notwithstanding, upon the dissolution or liquidation of the Company, or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177" w:lineRule="exact"/>
        <w:rPr>
          <w:rFonts w:ascii="Arial" w:cs="Arial" w:eastAsia="Arial" w:hAnsi="Arial"/>
          <w:sz w:val="17"/>
          <w:szCs w:val="17"/>
          <w:color w:val="auto"/>
        </w:rPr>
      </w:pPr>
    </w:p>
    <w:p>
      <w:pPr>
        <w:ind w:left="652" w:right="40" w:hanging="652"/>
        <w:spacing w:after="0" w:line="303" w:lineRule="auto"/>
        <w:tabs>
          <w:tab w:leader="none" w:pos="652" w:val="left"/>
        </w:tabs>
        <w:numPr>
          <w:ilvl w:val="0"/>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to be given to the Company under the terms of this Agreement shall be addressed to the Company in care of its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pacing w:after="0" w:line="151" w:lineRule="exact"/>
        <w:rPr>
          <w:rFonts w:ascii="Arial" w:cs="Arial" w:eastAsia="Arial" w:hAnsi="Arial"/>
          <w:sz w:val="16"/>
          <w:szCs w:val="16"/>
          <w:color w:val="auto"/>
        </w:rPr>
      </w:pPr>
    </w:p>
    <w:p>
      <w:pPr>
        <w:ind w:left="652" w:right="60" w:hanging="652"/>
        <w:spacing w:after="0" w:line="261" w:lineRule="auto"/>
        <w:tabs>
          <w:tab w:leader="none" w:pos="652"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r>
        <w:rPr>
          <w:rFonts w:ascii="Arial" w:cs="Arial" w:eastAsia="Arial" w:hAnsi="Arial"/>
          <w:sz w:val="18"/>
          <w:szCs w:val="18"/>
          <w:color w:val="auto"/>
        </w:rPr>
        <w:t>. This Option is subject in all respects to the provisions of the Plan. In the event of any conflict between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Director acknowledges receipt of a copy of the Plan.</w:t>
      </w:r>
    </w:p>
    <w:p>
      <w:pPr>
        <w:spacing w:after="0" w:line="180" w:lineRule="exact"/>
        <w:rPr>
          <w:rFonts w:ascii="Arial" w:cs="Arial" w:eastAsia="Arial" w:hAnsi="Arial"/>
          <w:sz w:val="18"/>
          <w:szCs w:val="18"/>
          <w:color w:val="auto"/>
        </w:rPr>
      </w:pPr>
    </w:p>
    <w:p>
      <w:pPr>
        <w:ind w:left="652" w:hanging="652"/>
        <w:spacing w:after="0"/>
        <w:tabs>
          <w:tab w:leader="none" w:pos="652"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r>
        <w:rPr>
          <w:rFonts w:ascii="Arial" w:cs="Arial" w:eastAsia="Arial" w:hAnsi="Arial"/>
          <w:sz w:val="18"/>
          <w:szCs w:val="18"/>
          <w:color w:val="auto"/>
        </w:rPr>
        <w:t>. This Option has been granted in Wisconsin and shall be construed under the laws of that state.</w:t>
      </w:r>
    </w:p>
    <w:p>
      <w:pPr>
        <w:spacing w:after="0" w:line="225" w:lineRule="exact"/>
        <w:rPr>
          <w:rFonts w:ascii="Arial" w:cs="Arial" w:eastAsia="Arial" w:hAnsi="Arial"/>
          <w:sz w:val="18"/>
          <w:szCs w:val="18"/>
          <w:color w:val="auto"/>
        </w:rPr>
      </w:pPr>
    </w:p>
    <w:p>
      <w:pPr>
        <w:ind w:left="652" w:right="120" w:hanging="652"/>
        <w:spacing w:after="0" w:line="289" w:lineRule="auto"/>
        <w:tabs>
          <w:tab w:leader="none" w:pos="652"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Wherever possible, each provision of this Option will be interpreted in such manner as to be effective and valid under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ectPr>
          <w:pgSz w:w="11900" w:h="16838" w:orient="portrait"/>
          <w:cols w:equalWidth="0" w:num="1">
            <w:col w:w="11372"/>
          </w:cols>
          <w:pgMar w:left="248" w:top="580" w:right="2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IN WITNESS WHEREOF, the Corporation has granted this Option as of the day and year first above written.</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Arial" w:cs="Arial" w:eastAsia="Arial" w:hAnsi="Arial"/>
          <w:sz w:val="18"/>
          <w:szCs w:val="18"/>
          <w:b w:val="1"/>
          <w:bCs w:val="1"/>
          <w:u w:val="single" w:color="auto"/>
          <w:color w:val="auto"/>
        </w:rPr>
        <w:t>DIRECTOR'S ACCEPTANCE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___________________________, hereby accept the foregoing Option award and agree to the terms and conditions thereof.</w:t>
      </w:r>
    </w:p>
    <w:p>
      <w:pPr>
        <w:spacing w:after="0" w:line="24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DIRECTOR:</w:t>
      </w:r>
    </w:p>
    <w:p>
      <w:pPr>
        <w:spacing w:after="0" w:line="200" w:lineRule="exact"/>
        <w:rPr>
          <w:sz w:val="20"/>
          <w:szCs w:val="20"/>
          <w:color w:val="auto"/>
        </w:rPr>
      </w:pPr>
    </w:p>
    <w:p>
      <w:pPr>
        <w:spacing w:after="0" w:line="35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9559"/>
          </w:cols>
          <w:pgMar w:left="900" w:top="800"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00" w:lineRule="exact"/>
        <w:rPr>
          <w:sz w:val="20"/>
          <w:szCs w:val="20"/>
          <w:color w:val="auto"/>
        </w:rPr>
      </w:pPr>
    </w:p>
    <w:p>
      <w:pPr>
        <w:spacing w:after="0" w:line="24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 (“Employee”) a restricted stock unit award effective _____________, 20XX pursuant to the terms of the</w:t>
      </w:r>
    </w:p>
    <w:p>
      <w:pPr>
        <w:ind w:right="120"/>
        <w:spacing w:after="0" w:line="290" w:lineRule="auto"/>
        <w:rPr>
          <w:sz w:val="20"/>
          <w:szCs w:val="20"/>
          <w:color w:val="auto"/>
        </w:rPr>
      </w:pPr>
      <w:r>
        <w:rPr>
          <w:rFonts w:ascii="Arial" w:cs="Arial" w:eastAsia="Arial" w:hAnsi="Arial"/>
          <w:sz w:val="17"/>
          <w:szCs w:val="17"/>
          <w:color w:val="auto"/>
        </w:rPr>
        <w:t>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58"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7" w:lineRule="exact"/>
        <w:rPr>
          <w:rFonts w:ascii="Arial" w:cs="Arial" w:eastAsia="Arial" w:hAnsi="Arial"/>
          <w:sz w:val="18"/>
          <w:szCs w:val="18"/>
          <w:color w:val="auto"/>
        </w:rPr>
      </w:pPr>
    </w:p>
    <w:p>
      <w:pPr>
        <w:jc w:val="both"/>
        <w:ind w:left="660" w:right="1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Restricted Stock Unit Award applies to X,XXX shares of the presently authorized Class A Nonvoting Common Stock of the Corporation, $.01 par value (the “Restricted Stock Units”). </w:t>
      </w:r>
      <w:r>
        <w:rPr>
          <w:rFonts w:ascii="Arial" w:cs="Arial" w:eastAsia="Arial" w:hAnsi="Arial"/>
          <w:sz w:val="18"/>
          <w:szCs w:val="18"/>
          <w:color w:val="333300"/>
        </w:rPr>
        <w:t>The Restricted Stock Units granted under this Agreement are units that will be reflected in a book account</w:t>
      </w:r>
      <w:r>
        <w:rPr>
          <w:rFonts w:ascii="Arial" w:cs="Arial" w:eastAsia="Arial" w:hAnsi="Arial"/>
          <w:sz w:val="18"/>
          <w:szCs w:val="18"/>
          <w:color w:val="auto"/>
        </w:rPr>
        <w:t xml:space="preserve"> </w:t>
      </w:r>
      <w:r>
        <w:rPr>
          <w:rFonts w:ascii="Arial" w:cs="Arial" w:eastAsia="Arial" w:hAnsi="Arial"/>
          <w:sz w:val="18"/>
          <w:szCs w:val="18"/>
          <w:color w:val="333300"/>
        </w:rPr>
        <w:t>maintained by the Corporation until they become vested or have been forfeited.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7" w:lineRule="exact"/>
        <w:rPr>
          <w:rFonts w:ascii="Arial" w:cs="Arial" w:eastAsia="Arial" w:hAnsi="Arial"/>
          <w:sz w:val="18"/>
          <w:szCs w:val="18"/>
          <w:color w:val="auto"/>
        </w:rPr>
      </w:pPr>
    </w:p>
    <w:p>
      <w:pPr>
        <w:ind w:left="660" w:right="60"/>
        <w:spacing w:after="0" w:line="261"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83" w:lineRule="exact"/>
        <w:rPr>
          <w:rFonts w:ascii="Arial" w:cs="Arial" w:eastAsia="Arial" w:hAnsi="Arial"/>
          <w:sz w:val="18"/>
          <w:szCs w:val="18"/>
          <w:color w:val="auto"/>
        </w:rPr>
      </w:pPr>
    </w:p>
    <w:p>
      <w:pPr>
        <w:ind w:left="1300" w:right="300" w:hanging="644"/>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8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Cumulative Percentage of Vested Restricted</w:t>
            </w:r>
          </w:p>
        </w:tc>
      </w:tr>
      <w:tr>
        <w:trPr>
          <w:trHeight w:val="196"/>
        </w:trPr>
        <w:tc>
          <w:tcPr>
            <w:tcW w:w="34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Vesting Date</w:t>
            </w:r>
          </w:p>
        </w:tc>
        <w:tc>
          <w:tcPr>
            <w:tcW w:w="1080" w:type="dxa"/>
            <w:vAlign w:val="bottom"/>
          </w:tcPr>
          <w:p>
            <w:pPr>
              <w:spacing w:after="0"/>
              <w:rPr>
                <w:sz w:val="17"/>
                <w:szCs w:val="17"/>
                <w:color w:val="auto"/>
              </w:rPr>
            </w:pPr>
          </w:p>
        </w:tc>
        <w:tc>
          <w:tcPr>
            <w:tcW w:w="318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2"/>
              </w:rPr>
              <w:t>Stock Units</w:t>
            </w:r>
          </w:p>
        </w:tc>
        <w:tc>
          <w:tcPr>
            <w:tcW w:w="200" w:type="dxa"/>
            <w:vAlign w:val="bottom"/>
          </w:tcPr>
          <w:p>
            <w:pPr>
              <w:spacing w:after="0"/>
              <w:rPr>
                <w:sz w:val="17"/>
                <w:szCs w:val="17"/>
                <w:color w:val="auto"/>
              </w:rPr>
            </w:pPr>
          </w:p>
        </w:tc>
      </w:tr>
      <w:tr>
        <w:trPr>
          <w:trHeight w:val="291"/>
        </w:trPr>
        <w:tc>
          <w:tcPr>
            <w:tcW w:w="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anniversary of grant date</w:t>
            </w:r>
          </w:p>
        </w:tc>
        <w:tc>
          <w:tcPr>
            <w:tcW w:w="3100" w:type="dxa"/>
            <w:vAlign w:val="bottom"/>
            <w:tcBorders>
              <w:bottom w:val="single" w:sz="8" w:color="CCEEFF"/>
            </w:tcBorders>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2"/>
              </w:rPr>
              <w:t>33-1/3%</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Second anniversary of grant date</w:t>
            </w:r>
          </w:p>
        </w:tc>
        <w:tc>
          <w:tcPr>
            <w:tcW w:w="3100" w:type="dxa"/>
            <w:vAlign w:val="bottom"/>
            <w:gridSpan w:val="3"/>
          </w:tcPr>
          <w:p>
            <w:pPr>
              <w:jc w:val="center"/>
              <w:ind w:left="2150"/>
              <w:spacing w:after="0"/>
              <w:rPr>
                <w:sz w:val="20"/>
                <w:szCs w:val="20"/>
                <w:color w:val="auto"/>
              </w:rPr>
            </w:pPr>
            <w:r>
              <w:rPr>
                <w:rFonts w:ascii="Arial" w:cs="Arial" w:eastAsia="Arial" w:hAnsi="Arial"/>
                <w:sz w:val="18"/>
                <w:szCs w:val="18"/>
                <w:color w:val="auto"/>
                <w:w w:val="92"/>
              </w:rPr>
              <w:t>66-2/3%</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Third anniversary of grant date</w:t>
            </w:r>
          </w:p>
        </w:tc>
        <w:tc>
          <w:tcPr>
            <w:tcW w:w="310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1"/>
              </w:rPr>
              <w:t>100%</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300" w:hanging="644"/>
        <w:spacing w:after="0" w:line="286" w:lineRule="auto"/>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7" w:lineRule="exact"/>
        <w:rPr>
          <w:rFonts w:ascii="Arial" w:cs="Arial" w:eastAsia="Arial" w:hAnsi="Arial"/>
          <w:sz w:val="18"/>
          <w:szCs w:val="18"/>
          <w:color w:val="auto"/>
        </w:rPr>
      </w:pPr>
    </w:p>
    <w:p>
      <w:pPr>
        <w:ind w:left="1300" w:right="120" w:hanging="644"/>
        <w:spacing w:after="0" w:line="250"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 w:lineRule="exact"/>
        <w:rPr>
          <w:rFonts w:ascii="Arial" w:cs="Arial" w:eastAsia="Arial" w:hAnsi="Arial"/>
          <w:sz w:val="18"/>
          <w:szCs w:val="18"/>
          <w:color w:val="auto"/>
        </w:rPr>
      </w:pPr>
    </w:p>
    <w:p>
      <w:pPr>
        <w:ind w:left="1300" w:right="300" w:hanging="644"/>
        <w:spacing w:after="0" w:line="261"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184"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ectPr>
          <w:pgSz w:w="11900" w:h="16838" w:orient="portrait"/>
          <w:cols w:equalWidth="0" w:num="1">
            <w:col w:w="11400"/>
          </w:cols>
          <w:pgMar w:left="240" w:top="1012" w:right="259" w:bottom="1440" w:gutter="0" w:footer="0" w:header="0"/>
        </w:sectPr>
      </w:pPr>
    </w:p>
    <w:bookmarkStart w:id="121" w:name="page122"/>
    <w:bookmarkEnd w:id="121"/>
    <w:p>
      <w:pPr>
        <w:ind w:left="652"/>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ind w:left="652" w:right="60"/>
        <w:spacing w:after="0" w:line="293" w:lineRule="auto"/>
        <w:rPr>
          <w:sz w:val="20"/>
          <w:szCs w:val="20"/>
          <w:color w:val="auto"/>
        </w:rPr>
      </w:pPr>
      <w:r>
        <w:rPr>
          <w:rFonts w:ascii="Arial" w:cs="Arial" w:eastAsia="Arial" w:hAnsi="Arial"/>
          <w:sz w:val="16"/>
          <w:szCs w:val="16"/>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65" w:lineRule="exact"/>
        <w:rPr>
          <w:sz w:val="20"/>
          <w:szCs w:val="20"/>
          <w:color w:val="auto"/>
        </w:rPr>
      </w:pPr>
    </w:p>
    <w:p>
      <w:pPr>
        <w:ind w:left="1292" w:right="60" w:hanging="644"/>
        <w:spacing w:after="0" w:line="254" w:lineRule="auto"/>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2" w:lineRule="exact"/>
        <w:rPr>
          <w:rFonts w:ascii="Arial" w:cs="Arial" w:eastAsia="Arial" w:hAnsi="Arial"/>
          <w:sz w:val="18"/>
          <w:szCs w:val="18"/>
          <w:color w:val="auto"/>
        </w:rPr>
      </w:pPr>
    </w:p>
    <w:p>
      <w:pPr>
        <w:ind w:left="1292" w:right="380" w:hanging="644"/>
        <w:spacing w:after="0" w:line="261" w:lineRule="auto"/>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7" w:lineRule="exact"/>
        <w:rPr>
          <w:rFonts w:ascii="Arial" w:cs="Arial" w:eastAsia="Arial" w:hAnsi="Arial"/>
          <w:sz w:val="18"/>
          <w:szCs w:val="18"/>
          <w:color w:val="auto"/>
        </w:rPr>
      </w:pPr>
    </w:p>
    <w:p>
      <w:pPr>
        <w:ind w:left="652" w:right="80"/>
        <w:spacing w:after="0" w:line="290"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5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7" w:lineRule="exact"/>
        <w:rPr>
          <w:rFonts w:ascii="Arial" w:cs="Arial" w:eastAsia="Arial" w:hAnsi="Arial"/>
          <w:sz w:val="18"/>
          <w:szCs w:val="18"/>
          <w:color w:val="auto"/>
        </w:rPr>
      </w:pPr>
    </w:p>
    <w:p>
      <w:pPr>
        <w:ind w:left="652" w:right="160"/>
        <w:spacing w:after="0" w:line="255"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ind w:left="652" w:right="60"/>
        <w:spacing w:after="0" w:line="252"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pacing w:after="0" w:line="18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7" w:lineRule="exact"/>
        <w:rPr>
          <w:rFonts w:ascii="Arial" w:cs="Arial" w:eastAsia="Arial" w:hAnsi="Arial"/>
          <w:sz w:val="18"/>
          <w:szCs w:val="18"/>
          <w:color w:val="auto"/>
        </w:rPr>
      </w:pPr>
    </w:p>
    <w:p>
      <w:pPr>
        <w:jc w:val="both"/>
        <w:ind w:left="652" w:right="640"/>
        <w:spacing w:after="0" w:line="277" w:lineRule="auto"/>
        <w:rPr>
          <w:rFonts w:ascii="Arial" w:cs="Arial" w:eastAsia="Arial" w:hAnsi="Arial"/>
          <w:sz w:val="18"/>
          <w:szCs w:val="18"/>
          <w:color w:val="auto"/>
        </w:rPr>
      </w:pPr>
      <w:r>
        <w:rPr>
          <w:rFonts w:ascii="Arial" w:cs="Arial" w:eastAsia="Arial" w:hAnsi="Arial"/>
          <w:sz w:val="17"/>
          <w:szCs w:val="17"/>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ectPr>
          <w:pgSz w:w="11900" w:h="16838" w:orient="portrait"/>
          <w:cols w:equalWidth="0" w:num="1">
            <w:col w:w="11352"/>
          </w:cols>
          <w:pgMar w:left="248" w:top="584" w:right="299" w:bottom="1440" w:gutter="0" w:footer="0" w:header="0"/>
        </w:sectPr>
      </w:pPr>
    </w:p>
    <w:bookmarkStart w:id="122" w:name="page123"/>
    <w:bookmarkEnd w:id="122"/>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10" w:lineRule="exact"/>
        <w:rPr>
          <w:rFonts w:ascii="Arial" w:cs="Arial" w:eastAsia="Arial" w:hAnsi="Arial"/>
          <w:sz w:val="18"/>
          <w:szCs w:val="18"/>
          <w:color w:val="auto"/>
        </w:rPr>
      </w:pPr>
    </w:p>
    <w:p>
      <w:pPr>
        <w:ind w:left="1292" w:hanging="644"/>
        <w:spacing w:after="0" w:line="268" w:lineRule="auto"/>
        <w:tabs>
          <w:tab w:leader="none" w:pos="1292" w:val="left"/>
        </w:tabs>
        <w:numPr>
          <w:ilvl w:val="1"/>
          <w:numId w:val="83"/>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ind w:left="1952" w:right="40" w:hanging="655"/>
        <w:spacing w:after="0" w:line="264" w:lineRule="auto"/>
        <w:tabs>
          <w:tab w:leader="none" w:pos="19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81" w:lineRule="exact"/>
        <w:rPr>
          <w:rFonts w:ascii="Arial" w:cs="Arial" w:eastAsia="Arial" w:hAnsi="Arial"/>
          <w:sz w:val="18"/>
          <w:szCs w:val="18"/>
          <w:color w:val="auto"/>
        </w:rPr>
      </w:pPr>
    </w:p>
    <w:p>
      <w:pPr>
        <w:ind w:left="1952" w:hanging="655"/>
        <w:spacing w:after="0" w:line="277" w:lineRule="auto"/>
        <w:tabs>
          <w:tab w:leader="none" w:pos="19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ind w:left="1952" w:right="220" w:hanging="655"/>
        <w:spacing w:after="0" w:line="312" w:lineRule="auto"/>
        <w:tabs>
          <w:tab w:leader="none" w:pos="1952" w:val="left"/>
        </w:tabs>
        <w:numPr>
          <w:ilvl w:val="2"/>
          <w:numId w:val="83"/>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46" w:lineRule="exact"/>
        <w:rPr>
          <w:rFonts w:ascii="Arial" w:cs="Arial" w:eastAsia="Arial" w:hAnsi="Arial"/>
          <w:sz w:val="16"/>
          <w:szCs w:val="16"/>
          <w:color w:val="auto"/>
        </w:rPr>
      </w:pPr>
    </w:p>
    <w:p>
      <w:pPr>
        <w:ind w:left="1952" w:right="380" w:hanging="655"/>
        <w:spacing w:after="0" w:line="264" w:lineRule="auto"/>
        <w:tabs>
          <w:tab w:leader="none" w:pos="19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81" w:lineRule="exact"/>
        <w:rPr>
          <w:rFonts w:ascii="Arial" w:cs="Arial" w:eastAsia="Arial" w:hAnsi="Arial"/>
          <w:sz w:val="18"/>
          <w:szCs w:val="18"/>
          <w:color w:val="auto"/>
        </w:rPr>
      </w:pPr>
    </w:p>
    <w:p>
      <w:pPr>
        <w:ind w:left="1952" w:right="40" w:hanging="655"/>
        <w:spacing w:after="0" w:line="264" w:lineRule="auto"/>
        <w:tabs>
          <w:tab w:leader="none" w:pos="19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81" w:lineRule="exact"/>
        <w:rPr>
          <w:sz w:val="20"/>
          <w:szCs w:val="20"/>
          <w:color w:val="auto"/>
        </w:rPr>
      </w:pPr>
    </w:p>
    <w:p>
      <w:pPr>
        <w:ind w:left="1292" w:right="40" w:hanging="644"/>
        <w:spacing w:after="0" w:line="257" w:lineRule="auto"/>
        <w:tabs>
          <w:tab w:leader="none" w:pos="12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ind w:left="1952" w:right="80" w:hanging="655"/>
        <w:spacing w:after="0" w:line="286" w:lineRule="auto"/>
        <w:tabs>
          <w:tab w:leader="none" w:pos="1952" w:val="left"/>
        </w:tabs>
        <w:numPr>
          <w:ilvl w:val="1"/>
          <w:numId w:val="84"/>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65" w:lineRule="exact"/>
        <w:rPr>
          <w:rFonts w:ascii="Arial" w:cs="Arial" w:eastAsia="Arial" w:hAnsi="Arial"/>
          <w:sz w:val="17"/>
          <w:szCs w:val="17"/>
          <w:color w:val="auto"/>
        </w:rPr>
      </w:pPr>
    </w:p>
    <w:p>
      <w:pPr>
        <w:ind w:left="1952" w:right="140" w:hanging="655"/>
        <w:spacing w:after="0" w:line="279" w:lineRule="auto"/>
        <w:tabs>
          <w:tab w:leader="none" w:pos="1952" w:val="left"/>
        </w:tabs>
        <w:numPr>
          <w:ilvl w:val="1"/>
          <w:numId w:val="84"/>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w:t>
      </w:r>
    </w:p>
    <w:p>
      <w:pPr>
        <w:sectPr>
          <w:pgSz w:w="11900" w:h="16838" w:orient="portrait"/>
          <w:cols w:equalWidth="0" w:num="1">
            <w:col w:w="11412"/>
          </w:cols>
          <w:pgMar w:left="248" w:top="580" w:right="239" w:bottom="1440" w:gutter="0" w:footer="0" w:header="0"/>
        </w:sectPr>
      </w:pPr>
    </w:p>
    <w:bookmarkStart w:id="123" w:name="page124"/>
    <w:bookmarkEnd w:id="123"/>
    <w:p>
      <w:pPr>
        <w:ind w:left="1952"/>
        <w:spacing w:after="0" w:line="282" w:lineRule="auto"/>
        <w:rPr>
          <w:sz w:val="20"/>
          <w:szCs w:val="20"/>
          <w:color w:val="auto"/>
        </w:rPr>
      </w:pPr>
      <w:r>
        <w:rPr>
          <w:rFonts w:ascii="Arial" w:cs="Arial" w:eastAsia="Arial" w:hAnsi="Arial"/>
          <w:sz w:val="18"/>
          <w:szCs w:val="18"/>
          <w:color w:val="auto"/>
        </w:rPr>
        <w:t>prospectively breach, modify, or terminate any agreement or relationship they have or had with Company during any part of the 24 month period preceding the termination of Employee's employment with Company.</w:t>
      </w:r>
    </w:p>
    <w:p>
      <w:pPr>
        <w:spacing w:after="0" w:line="1" w:lineRule="exact"/>
        <w:rPr>
          <w:sz w:val="20"/>
          <w:szCs w:val="20"/>
          <w:color w:val="auto"/>
        </w:rPr>
      </w:pPr>
    </w:p>
    <w:p>
      <w:pPr>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6" w:lineRule="exact"/>
        <w:rPr>
          <w:sz w:val="20"/>
          <w:szCs w:val="20"/>
          <w:color w:val="auto"/>
        </w:rPr>
      </w:pPr>
    </w:p>
    <w:p>
      <w:pPr>
        <w:ind w:left="1292" w:hanging="644"/>
        <w:spacing w:after="0" w:line="254" w:lineRule="auto"/>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ind w:left="1292" w:right="280" w:hanging="644"/>
        <w:spacing w:after="0" w:line="264" w:lineRule="auto"/>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ind w:left="1292" w:right="80" w:hanging="644"/>
        <w:spacing w:after="0" w:line="259" w:lineRule="auto"/>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ind w:left="652" w:right="240"/>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7" w:lineRule="exact"/>
        <w:rPr>
          <w:rFonts w:ascii="Arial" w:cs="Arial" w:eastAsia="Arial" w:hAnsi="Arial"/>
          <w:sz w:val="18"/>
          <w:szCs w:val="18"/>
          <w:color w:val="auto"/>
        </w:rPr>
      </w:pPr>
    </w:p>
    <w:p>
      <w:pPr>
        <w:ind w:left="652" w:right="80"/>
        <w:spacing w:after="0" w:line="277"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9"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ind w:left="652"/>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7" w:lineRule="exact"/>
        <w:rPr>
          <w:rFonts w:ascii="Arial" w:cs="Arial" w:eastAsia="Arial" w:hAnsi="Arial"/>
          <w:sz w:val="18"/>
          <w:szCs w:val="18"/>
          <w:color w:val="auto"/>
        </w:rPr>
      </w:pPr>
    </w:p>
    <w:p>
      <w:pPr>
        <w:ind w:left="652" w:right="420"/>
        <w:spacing w:after="0" w:line="261"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w:t>
      </w:r>
    </w:p>
    <w:p>
      <w:pPr>
        <w:sectPr>
          <w:pgSz w:w="11900" w:h="16838" w:orient="portrait"/>
          <w:cols w:equalWidth="0" w:num="1">
            <w:col w:w="11372"/>
          </w:cols>
          <w:pgMar w:left="248" w:top="611" w:right="279" w:bottom="1440" w:gutter="0" w:footer="0" w:header="0"/>
        </w:sectPr>
      </w:pPr>
    </w:p>
    <w:bookmarkStart w:id="124" w:name="page125"/>
    <w:bookmarkEnd w:id="124"/>
    <w:p>
      <w:pPr>
        <w:ind w:left="660" w:right="700"/>
        <w:spacing w:after="0" w:line="277" w:lineRule="auto"/>
        <w:rPr>
          <w:sz w:val="20"/>
          <w:szCs w:val="20"/>
          <w:color w:val="auto"/>
        </w:rPr>
      </w:pPr>
      <w:r>
        <w:rPr>
          <w:rFonts w:ascii="Arial" w:cs="Arial" w:eastAsia="Arial" w:hAnsi="Arial"/>
          <w:sz w:val="18"/>
          <w:szCs w:val="18"/>
          <w:color w:val="auto"/>
        </w:rPr>
        <w:t>will be ineffective only to the extent of such prohibition or invalidity, without invalidating the remainder of such provision or the remaining provisions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___________________________, hereby accept the foregoing Award and agree to the terms and conditions thereof, including the restrictions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contained in Section 9 of this Agreement.</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400"/>
          </w:cols>
          <w:pgMar w:left="240" w:top="584" w:right="2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1060"/>
              <w:spacing w:after="0"/>
              <w:rPr>
                <w:sz w:val="20"/>
                <w:szCs w:val="20"/>
                <w:color w:val="auto"/>
              </w:rPr>
            </w:pPr>
            <w:r>
              <w:rPr>
                <w:rFonts w:ascii="Arial" w:cs="Arial" w:eastAsia="Arial" w:hAnsi="Arial"/>
                <w:sz w:val="18"/>
                <w:szCs w:val="18"/>
                <w:b w:val="1"/>
                <w:bCs w:val="1"/>
                <w:color w:val="auto"/>
              </w:rPr>
              <w:t>EXHIBIT 21</w:t>
            </w:r>
          </w:p>
        </w:tc>
      </w:tr>
      <w:tr>
        <w:trPr>
          <w:trHeight w:val="549"/>
        </w:trPr>
        <w:tc>
          <w:tcPr>
            <w:tcW w:w="3080" w:type="dxa"/>
            <w:vAlign w:val="bottom"/>
          </w:tcPr>
          <w:p>
            <w:pPr>
              <w:spacing w:after="0"/>
              <w:rPr>
                <w:sz w:val="24"/>
                <w:szCs w:val="24"/>
                <w:color w:val="auto"/>
              </w:rPr>
            </w:pPr>
          </w:p>
        </w:tc>
        <w:tc>
          <w:tcPr>
            <w:tcW w:w="628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99"/>
              </w:rPr>
              <w:t>SCHEDULE OF SUBSIDIARIES OF BRADY CORPORATION</w:t>
            </w:r>
          </w:p>
        </w:tc>
        <w:tc>
          <w:tcPr>
            <w:tcW w:w="20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628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89"/>
              </w:rPr>
              <w:t>July 31, 2013</w:t>
            </w:r>
          </w:p>
        </w:tc>
        <w:tc>
          <w:tcPr>
            <w:tcW w:w="2060" w:type="dxa"/>
            <w:vAlign w:val="bottom"/>
          </w:tcPr>
          <w:p>
            <w:pPr>
              <w:spacing w:after="0"/>
              <w:rPr>
                <w:sz w:val="20"/>
                <w:szCs w:val="20"/>
                <w:color w:val="auto"/>
              </w:rPr>
            </w:pPr>
          </w:p>
        </w:tc>
      </w:tr>
      <w:tr>
        <w:trPr>
          <w:trHeight w:val="548"/>
        </w:trPr>
        <w:tc>
          <w:tcPr>
            <w:tcW w:w="3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State (Country)</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 Voting</w:t>
            </w:r>
          </w:p>
        </w:tc>
      </w:tr>
      <w:tr>
        <w:trPr>
          <w:trHeight w:val="257"/>
        </w:trPr>
        <w:tc>
          <w:tcPr>
            <w:tcW w:w="3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Name of Company</w:t>
            </w: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Of Incorporation</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Owned</w:t>
            </w:r>
          </w:p>
        </w:tc>
      </w:tr>
      <w:tr>
        <w:trPr>
          <w:trHeight w:val="33"/>
        </w:trPr>
        <w:tc>
          <w:tcPr>
            <w:tcW w:w="30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Parent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Tricor Direct, Inc.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Doing Business As:</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Seton</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Seton Name Plate Company</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D&amp;G Sign and Label</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Seton Identification Products</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Emedco</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Champion America</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DAWG, Inc.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Worldmark of Wisconsin Inc.</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AIO Acquisition Inc.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Doing Business As:</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All-In-One Products</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Personnel Concepts</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Personnel Concepts Limited</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Personnel Concepts Ltd.</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PC Limited</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USA Printing &amp; Mailing</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Dual Core LLC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Doing Business As:</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w w:val="99"/>
              </w:rPr>
              <w:t>Identicard Systems Worldwide</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Brady People ID</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JAM Plastics</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PromoVision Palomino</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Temtec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Stopware</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BIG Badges</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Holdings Mexico LLC</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Clement Communications, Inc.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Pennsylvania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International Co.</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Brady Worldwide, Inc.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Also Doing Business As:</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880"/>
              <w:spacing w:after="0"/>
              <w:rPr>
                <w:sz w:val="20"/>
                <w:szCs w:val="20"/>
                <w:color w:val="auto"/>
              </w:rPr>
            </w:pPr>
            <w:r>
              <w:rPr>
                <w:rFonts w:ascii="Arial" w:cs="Arial" w:eastAsia="Arial" w:hAnsi="Arial"/>
                <w:sz w:val="16"/>
                <w:szCs w:val="16"/>
                <w:color w:val="auto"/>
              </w:rPr>
              <w:t>Brandon International</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Sorbent Products Company</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880"/>
              <w:spacing w:after="0"/>
              <w:rPr>
                <w:sz w:val="20"/>
                <w:szCs w:val="20"/>
                <w:color w:val="auto"/>
              </w:rPr>
            </w:pPr>
            <w:r>
              <w:rPr>
                <w:rFonts w:ascii="Arial" w:cs="Arial" w:eastAsia="Arial" w:hAnsi="Arial"/>
                <w:sz w:val="16"/>
                <w:szCs w:val="16"/>
                <w:color w:val="auto"/>
              </w:rPr>
              <w:t>TISCOR</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Electromark</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Precision Dynamics Corporation</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4"/>
        </w:trPr>
        <w:tc>
          <w:tcPr>
            <w:tcW w:w="30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Also Doing Business As:</w:t>
            </w:r>
          </w:p>
        </w:tc>
        <w:tc>
          <w:tcPr>
            <w:tcW w:w="3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6"/>
        </w:trPr>
        <w:tc>
          <w:tcPr>
            <w:tcW w:w="308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237"/>
        </w:trPr>
        <w:tc>
          <w:tcPr>
            <w:tcW w:w="3080" w:type="dxa"/>
            <w:vAlign w:val="bottom"/>
          </w:tcPr>
          <w:p>
            <w:pPr>
              <w:ind w:left="880"/>
              <w:spacing w:after="0"/>
              <w:rPr>
                <w:sz w:val="20"/>
                <w:szCs w:val="20"/>
                <w:color w:val="auto"/>
              </w:rPr>
            </w:pPr>
            <w:r>
              <w:rPr>
                <w:rFonts w:ascii="Arial" w:cs="Arial" w:eastAsia="Arial" w:hAnsi="Arial"/>
                <w:sz w:val="16"/>
                <w:szCs w:val="16"/>
                <w:color w:val="auto"/>
              </w:rPr>
              <w:t>Pharmex</w:t>
            </w:r>
          </w:p>
        </w:tc>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PDMX, Inc.</w:t>
            </w:r>
          </w:p>
        </w:tc>
        <w:tc>
          <w:tcPr>
            <w:tcW w:w="3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Precision Dynamics International, Inc.</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Australia Holdings Pty. Ltd.</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Brady Australia Pty. Ltd.</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Seton Australia Pty. Ltd.</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Accidental Health &amp; Safety Pty. Ltd.</w:t>
            </w: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Trafalgar First Aid Pty. Ltd.</w:t>
            </w:r>
          </w:p>
        </w:tc>
        <w:tc>
          <w:tcPr>
            <w:tcW w:w="3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Carroll Australasia Pty. Ltd.</w:t>
            </w:r>
          </w:p>
        </w:tc>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bl>
    <w:p>
      <w:pPr>
        <w:sectPr>
          <w:pgSz w:w="11900" w:h="16838" w:orient="portrait"/>
          <w:cols w:equalWidth="0" w:num="1">
            <w:col w:w="11420"/>
          </w:cols>
          <w:pgMar w:left="240" w:top="931" w:right="239" w:bottom="947"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Scafftag Australia Pty. Ltd.</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3"/>
              </w:rPr>
              <w:t>Australia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Visisign Pty. Ltd.</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3"/>
              </w:rPr>
              <w:t>Australia</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 Warehouse Pty. Ltd.</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3"/>
              </w:rPr>
              <w:t>Australia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Mix Group Australasia Pty. Ltd.</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3"/>
              </w:rPr>
              <w:t>Australia</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Transposafe Systems Belgium NV/SA</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96"/>
              </w:rPr>
              <w:t>Belgium</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W.H. Brady, N.V.</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96"/>
              </w:rPr>
              <w:t>Belgium</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PDC Belgium Holdings Sprl</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96"/>
              </w:rPr>
              <w:t>Belgium</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PDC Europe Sprl</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96"/>
              </w:rPr>
              <w:t>Belgium</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270"/>
        </w:trPr>
        <w:tc>
          <w:tcPr>
            <w:tcW w:w="5660" w:type="dxa"/>
            <w:vAlign w:val="bottom"/>
          </w:tcPr>
          <w:p>
            <w:pPr>
              <w:ind w:left="40"/>
              <w:spacing w:after="0"/>
              <w:rPr>
                <w:sz w:val="20"/>
                <w:szCs w:val="20"/>
                <w:color w:val="auto"/>
              </w:rPr>
            </w:pPr>
            <w:r>
              <w:rPr>
                <w:rFonts w:ascii="Arial" w:cs="Arial" w:eastAsia="Arial" w:hAnsi="Arial"/>
                <w:sz w:val="16"/>
                <w:szCs w:val="16"/>
                <w:color w:val="auto"/>
              </w:rPr>
              <w:t>Stickolor Industria e Comércio de Auto Adesivos Ltda.</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99"/>
              </w:rPr>
              <w:t>Brazil</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270"/>
        </w:trPr>
        <w:tc>
          <w:tcPr>
            <w:tcW w:w="5660" w:type="dxa"/>
            <w:vAlign w:val="bottom"/>
          </w:tcPr>
          <w:p>
            <w:pPr>
              <w:ind w:left="40"/>
              <w:spacing w:after="0"/>
              <w:rPr>
                <w:sz w:val="20"/>
                <w:szCs w:val="20"/>
                <w:color w:val="auto"/>
              </w:rPr>
            </w:pPr>
            <w:r>
              <w:rPr>
                <w:rFonts w:ascii="Arial" w:cs="Arial" w:eastAsia="Arial" w:hAnsi="Arial"/>
                <w:sz w:val="16"/>
                <w:szCs w:val="16"/>
                <w:color w:val="auto"/>
              </w:rPr>
              <w:t>W.H.B. do Brasil Ltda.</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99"/>
              </w:rPr>
              <w:t>Brazil</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BRC Financial</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89"/>
              </w:rPr>
              <w:t>Canada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W.H.B. Identification Solutions Inc.</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89"/>
              </w:rPr>
              <w:t>Canada</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Doing Business As:</w:t>
            </w:r>
          </w:p>
        </w:tc>
        <w:tc>
          <w:tcPr>
            <w:tcW w:w="38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840"/>
              <w:spacing w:after="0"/>
              <w:rPr>
                <w:sz w:val="20"/>
                <w:szCs w:val="20"/>
                <w:color w:val="auto"/>
              </w:rPr>
            </w:pPr>
            <w:r>
              <w:rPr>
                <w:rFonts w:ascii="Arial" w:cs="Arial" w:eastAsia="Arial" w:hAnsi="Arial"/>
                <w:sz w:val="16"/>
                <w:szCs w:val="16"/>
                <w:color w:val="auto"/>
              </w:rPr>
              <w:t>Brady</w:t>
            </w:r>
          </w:p>
        </w:tc>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Identicam Systems</w:t>
            </w:r>
          </w:p>
        </w:tc>
        <w:tc>
          <w:tcPr>
            <w:tcW w:w="38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840"/>
              <w:spacing w:after="0"/>
              <w:rPr>
                <w:sz w:val="20"/>
                <w:szCs w:val="20"/>
                <w:color w:val="auto"/>
              </w:rPr>
            </w:pPr>
            <w:r>
              <w:rPr>
                <w:rFonts w:ascii="Arial" w:cs="Arial" w:eastAsia="Arial" w:hAnsi="Arial"/>
                <w:sz w:val="16"/>
                <w:szCs w:val="16"/>
                <w:color w:val="auto"/>
              </w:rPr>
              <w:t>Seton</w:t>
            </w:r>
          </w:p>
        </w:tc>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Cayman Finance Company</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90"/>
              </w:rPr>
              <w:t>Cayman Islands</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Investment Management (Shanghai) Co., Ltd.</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0"/>
              </w:rPr>
              <w:t>China</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Technology (Wuxi) Co. Ltd.</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0"/>
              </w:rPr>
              <w:t>China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(Beijing) Co. Ltd.</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0"/>
              </w:rPr>
              <w:t>China</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(Shenzhen) Co., Ltd.</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0"/>
              </w:rPr>
              <w:t>China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Technology (Dongguan) Co., Ltd.</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0"/>
              </w:rPr>
              <w:t>China</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Technology (Langfang) Co., Ltd.</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0"/>
              </w:rPr>
              <w:t>China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(Xiamen) Co., Ltd.</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0"/>
              </w:rPr>
              <w:t>China</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A/S</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92"/>
              </w:rPr>
              <w:t>Denmark</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Braton Europe S.A.R.L</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88"/>
              </w:rPr>
              <w:t>France</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Groupe S.A.S</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88"/>
              </w:rPr>
              <w:t>France</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40"/>
              <w:spacing w:after="0"/>
              <w:rPr>
                <w:sz w:val="20"/>
                <w:szCs w:val="20"/>
                <w:color w:val="auto"/>
              </w:rPr>
            </w:pPr>
            <w:r>
              <w:rPr>
                <w:rFonts w:ascii="Arial" w:cs="Arial" w:eastAsia="Arial" w:hAnsi="Arial"/>
                <w:sz w:val="16"/>
                <w:szCs w:val="16"/>
                <w:color w:val="auto"/>
              </w:rPr>
              <w:t>Doing Business As:</w:t>
            </w:r>
          </w:p>
        </w:tc>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Seton</w:t>
            </w:r>
          </w:p>
        </w:tc>
        <w:tc>
          <w:tcPr>
            <w:tcW w:w="38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840"/>
              <w:spacing w:after="0"/>
              <w:rPr>
                <w:sz w:val="20"/>
                <w:szCs w:val="20"/>
                <w:color w:val="auto"/>
              </w:rPr>
            </w:pPr>
            <w:r>
              <w:rPr>
                <w:rFonts w:ascii="Arial" w:cs="Arial" w:eastAsia="Arial" w:hAnsi="Arial"/>
                <w:sz w:val="16"/>
                <w:szCs w:val="16"/>
                <w:color w:val="auto"/>
              </w:rPr>
              <w:t>Signals</w:t>
            </w:r>
          </w:p>
        </w:tc>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BIG</w:t>
            </w:r>
          </w:p>
        </w:tc>
        <w:tc>
          <w:tcPr>
            <w:tcW w:w="38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Securimed S.A.S.</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88"/>
              </w:rPr>
              <w:t>France</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GmbH</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91"/>
              </w:rPr>
              <w:t>Germany</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40"/>
              <w:spacing w:after="0"/>
              <w:rPr>
                <w:sz w:val="20"/>
                <w:szCs w:val="20"/>
                <w:color w:val="auto"/>
              </w:rPr>
            </w:pPr>
            <w:r>
              <w:rPr>
                <w:rFonts w:ascii="Arial" w:cs="Arial" w:eastAsia="Arial" w:hAnsi="Arial"/>
                <w:sz w:val="16"/>
                <w:szCs w:val="16"/>
                <w:color w:val="auto"/>
              </w:rPr>
              <w:t>Doing Business As:</w:t>
            </w:r>
          </w:p>
        </w:tc>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Seton</w:t>
            </w:r>
          </w:p>
        </w:tc>
        <w:tc>
          <w:tcPr>
            <w:tcW w:w="38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840"/>
              <w:spacing w:after="0"/>
              <w:rPr>
                <w:sz w:val="20"/>
                <w:szCs w:val="20"/>
                <w:color w:val="auto"/>
              </w:rPr>
            </w:pPr>
            <w:r>
              <w:rPr>
                <w:rFonts w:ascii="Arial" w:cs="Arial" w:eastAsia="Arial" w:hAnsi="Arial"/>
                <w:sz w:val="16"/>
                <w:szCs w:val="16"/>
                <w:color w:val="auto"/>
              </w:rPr>
              <w:t>Balkhausen</w:t>
            </w:r>
          </w:p>
        </w:tc>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Etimark</w:t>
            </w:r>
          </w:p>
        </w:tc>
        <w:tc>
          <w:tcPr>
            <w:tcW w:w="38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Holdings GmbH &amp; Co. KG</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91"/>
              </w:rPr>
              <w:t>Germany</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Holdings Verwaltungs GmbH</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91"/>
              </w:rPr>
              <w:t>Germany</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Transposafe Systems Deutschland GmbH</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91"/>
              </w:rPr>
              <w:t>Germany</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Bakee Metal Manufactory Company Limited</w:t>
            </w:r>
          </w:p>
        </w:tc>
        <w:tc>
          <w:tcPr>
            <w:tcW w:w="3820" w:type="dxa"/>
            <w:vAlign w:val="bottom"/>
            <w:tcBorders>
              <w:bottom w:val="single" w:sz="8" w:color="CCEEFF"/>
            </w:tcBorders>
            <w:shd w:val="clear" w:color="auto" w:fill="CCEEFF"/>
          </w:tcPr>
          <w:p>
            <w:pPr>
              <w:jc w:val="center"/>
              <w:ind w:left="1259"/>
              <w:spacing w:after="0"/>
              <w:rPr>
                <w:sz w:val="20"/>
                <w:szCs w:val="20"/>
                <w:color w:val="auto"/>
              </w:rPr>
            </w:pPr>
            <w:r>
              <w:rPr>
                <w:rFonts w:ascii="Arial" w:cs="Arial" w:eastAsia="Arial" w:hAnsi="Arial"/>
                <w:sz w:val="16"/>
                <w:szCs w:val="16"/>
                <w:color w:val="auto"/>
                <w:w w:val="94"/>
              </w:rPr>
              <w:t>Hong Kong</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Corporation Hong Kong Limited</w:t>
            </w:r>
          </w:p>
        </w:tc>
        <w:tc>
          <w:tcPr>
            <w:tcW w:w="3820" w:type="dxa"/>
            <w:vAlign w:val="bottom"/>
          </w:tcPr>
          <w:p>
            <w:pPr>
              <w:jc w:val="center"/>
              <w:ind w:left="1259"/>
              <w:spacing w:after="0"/>
              <w:rPr>
                <w:sz w:val="20"/>
                <w:szCs w:val="20"/>
                <w:color w:val="auto"/>
              </w:rPr>
            </w:pPr>
            <w:r>
              <w:rPr>
                <w:rFonts w:ascii="Arial" w:cs="Arial" w:eastAsia="Arial" w:hAnsi="Arial"/>
                <w:sz w:val="16"/>
                <w:szCs w:val="16"/>
                <w:color w:val="auto"/>
                <w:w w:val="94"/>
              </w:rPr>
              <w:t>Hong Kong</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Company India Private Limited</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7"/>
              </w:rPr>
              <w:t>India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Italia, S.r.l.</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rPr>
              <w:t>Italy</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Nippon Brady K.K.</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87"/>
              </w:rPr>
              <w:t>Japan</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S.à r.l.</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2"/>
              </w:rPr>
              <w:t>Luxembourg</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Luxembourg S.à r.l.</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2"/>
              </w:rPr>
              <w:t>Luxembourg</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Finance Luxembourg S.à r.l.</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2"/>
              </w:rPr>
              <w:t>Luxembourg</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Technology SDN. BHD.</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1"/>
              </w:rPr>
              <w:t>Malaysia</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W. H. Brady S. de R.L. de C.V.</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8"/>
              </w:rPr>
              <w:t>Mexico</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Servicios, S. de R.L. de C.V.</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8"/>
              </w:rPr>
              <w:t>Mexico</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Macquila Products del Noroeste S.de R.L. de C.V.</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8"/>
              </w:rPr>
              <w:t>Mexico</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PDC Brazeletesy Productos S.de R.L. de C.V.</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8"/>
              </w:rPr>
              <w:t>Mexico</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St. John Healthcare s.de R.L. de C.V.</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8"/>
              </w:rPr>
              <w:t>Mexico</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B.V.</w:t>
            </w:r>
          </w:p>
        </w:tc>
        <w:tc>
          <w:tcPr>
            <w:tcW w:w="3820" w:type="dxa"/>
            <w:vAlign w:val="bottom"/>
            <w:tcBorders>
              <w:bottom w:val="single" w:sz="8" w:color="CCEEFF"/>
            </w:tcBorders>
            <w:shd w:val="clear" w:color="auto" w:fill="CCEEFF"/>
          </w:tcPr>
          <w:p>
            <w:pPr>
              <w:jc w:val="center"/>
              <w:ind w:left="1239"/>
              <w:spacing w:after="0"/>
              <w:rPr>
                <w:sz w:val="20"/>
                <w:szCs w:val="20"/>
                <w:color w:val="auto"/>
              </w:rPr>
            </w:pPr>
            <w:r>
              <w:rPr>
                <w:rFonts w:ascii="Arial" w:cs="Arial" w:eastAsia="Arial" w:hAnsi="Arial"/>
                <w:sz w:val="16"/>
                <w:szCs w:val="16"/>
                <w:color w:val="auto"/>
                <w:w w:val="90"/>
              </w:rPr>
              <w:t>Netherlands</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Brady Finance B.V.</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0"/>
              </w:rPr>
              <w:t>Netherlands</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270"/>
        </w:trPr>
        <w:tc>
          <w:tcPr>
            <w:tcW w:w="5660" w:type="dxa"/>
            <w:vAlign w:val="bottom"/>
          </w:tcPr>
          <w:p>
            <w:pPr>
              <w:ind w:left="40"/>
              <w:spacing w:after="0"/>
              <w:rPr>
                <w:sz w:val="20"/>
                <w:szCs w:val="20"/>
                <w:color w:val="auto"/>
              </w:rPr>
            </w:pPr>
            <w:r>
              <w:rPr>
                <w:rFonts w:ascii="Arial" w:cs="Arial" w:eastAsia="Arial" w:hAnsi="Arial"/>
                <w:sz w:val="16"/>
                <w:szCs w:val="16"/>
                <w:color w:val="auto"/>
              </w:rPr>
              <w:t>Holland Mounting Systems B.V.</w:t>
            </w:r>
          </w:p>
        </w:tc>
        <w:tc>
          <w:tcPr>
            <w:tcW w:w="3820" w:type="dxa"/>
            <w:vAlign w:val="bottom"/>
          </w:tcPr>
          <w:p>
            <w:pPr>
              <w:jc w:val="center"/>
              <w:ind w:left="1239"/>
              <w:spacing w:after="0"/>
              <w:rPr>
                <w:sz w:val="20"/>
                <w:szCs w:val="20"/>
                <w:color w:val="auto"/>
              </w:rPr>
            </w:pPr>
            <w:r>
              <w:rPr>
                <w:rFonts w:ascii="Arial" w:cs="Arial" w:eastAsia="Arial" w:hAnsi="Arial"/>
                <w:sz w:val="16"/>
                <w:szCs w:val="16"/>
                <w:color w:val="auto"/>
                <w:w w:val="90"/>
              </w:rPr>
              <w:t>Netherlands</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Transposafe Systems Holland B.V.</w:t>
            </w:r>
          </w:p>
        </w:tc>
        <w:tc>
          <w:tcPr>
            <w:tcW w:w="3820" w:type="dxa"/>
            <w:vAlign w:val="bottom"/>
            <w:shd w:val="clear" w:color="auto" w:fill="CCEEFF"/>
          </w:tcPr>
          <w:p>
            <w:pPr>
              <w:jc w:val="center"/>
              <w:ind w:left="1239"/>
              <w:spacing w:after="0"/>
              <w:rPr>
                <w:sz w:val="20"/>
                <w:szCs w:val="20"/>
                <w:color w:val="auto"/>
              </w:rPr>
            </w:pPr>
            <w:r>
              <w:rPr>
                <w:rFonts w:ascii="Arial" w:cs="Arial" w:eastAsia="Arial" w:hAnsi="Arial"/>
                <w:sz w:val="16"/>
                <w:szCs w:val="16"/>
                <w:color w:val="auto"/>
                <w:w w:val="90"/>
              </w:rPr>
              <w:t>Netherlands</w:t>
            </w:r>
          </w:p>
        </w:tc>
        <w:tc>
          <w:tcPr>
            <w:tcW w:w="1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6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0"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6"/>
        </w:trPr>
        <w:tc>
          <w:tcPr>
            <w:tcW w:w="5280" w:type="dxa"/>
            <w:vAlign w:val="bottom"/>
          </w:tcPr>
          <w:p>
            <w:pPr>
              <w:ind w:left="40"/>
              <w:spacing w:after="0"/>
              <w:rPr>
                <w:sz w:val="20"/>
                <w:szCs w:val="20"/>
                <w:color w:val="auto"/>
              </w:rPr>
            </w:pPr>
            <w:r>
              <w:rPr>
                <w:rFonts w:ascii="Arial" w:cs="Arial" w:eastAsia="Arial" w:hAnsi="Arial"/>
                <w:sz w:val="16"/>
                <w:szCs w:val="16"/>
                <w:color w:val="auto"/>
              </w:rPr>
              <w:t>Brady AS</w:t>
            </w:r>
          </w:p>
        </w:tc>
        <w:tc>
          <w:tcPr>
            <w:tcW w:w="4300" w:type="dxa"/>
            <w:vAlign w:val="bottom"/>
          </w:tcPr>
          <w:p>
            <w:pPr>
              <w:jc w:val="center"/>
              <w:ind w:left="1539"/>
              <w:spacing w:after="0"/>
              <w:rPr>
                <w:sz w:val="20"/>
                <w:szCs w:val="20"/>
                <w:color w:val="auto"/>
              </w:rPr>
            </w:pPr>
            <w:r>
              <w:rPr>
                <w:rFonts w:ascii="Arial" w:cs="Arial" w:eastAsia="Arial" w:hAnsi="Arial"/>
                <w:sz w:val="16"/>
                <w:szCs w:val="16"/>
                <w:color w:val="auto"/>
                <w:w w:val="95"/>
              </w:rPr>
              <w:t>Norway</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Pervaco AS</w:t>
            </w:r>
          </w:p>
        </w:tc>
        <w:tc>
          <w:tcPr>
            <w:tcW w:w="4300" w:type="dxa"/>
            <w:vAlign w:val="bottom"/>
            <w:tcBorders>
              <w:bottom w:val="single" w:sz="8" w:color="CCEEFF"/>
            </w:tcBorders>
            <w:shd w:val="clear" w:color="auto" w:fill="CCEEFF"/>
          </w:tcPr>
          <w:p>
            <w:pPr>
              <w:jc w:val="center"/>
              <w:ind w:left="1539"/>
              <w:spacing w:after="0"/>
              <w:rPr>
                <w:sz w:val="20"/>
                <w:szCs w:val="20"/>
                <w:color w:val="auto"/>
              </w:rPr>
            </w:pPr>
            <w:r>
              <w:rPr>
                <w:rFonts w:ascii="Arial" w:cs="Arial" w:eastAsia="Arial" w:hAnsi="Arial"/>
                <w:sz w:val="16"/>
                <w:szCs w:val="16"/>
                <w:color w:val="auto"/>
                <w:w w:val="95"/>
              </w:rPr>
              <w:t>Norway</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Philippines Direct Marketing Inc.</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5"/>
              </w:rPr>
              <w:t>Philippines</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Transposafe Systems Polska Sp. Z.o.o.</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2"/>
              </w:rPr>
              <w:t>Poland</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ID Solutions S.R.L.</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0"/>
              </w:rPr>
              <w:t>Romania</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LLC</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85"/>
              </w:rPr>
              <w:t>Russia</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Corporation S.E.A. Pte. Ltd.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0"/>
              </w:rPr>
              <w:t>Singapore</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 Asia Pte.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0"/>
              </w:rPr>
              <w:t>Singapore</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Asia Holding Pte. Ltd.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0"/>
              </w:rPr>
              <w:t>Singapore</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 Asia Pacific Pte.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0"/>
              </w:rPr>
              <w:t>Singapore</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Asia Pacific Pte. Ltd.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0"/>
              </w:rPr>
              <w:t>Singapore</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s.r.o.</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5"/>
              </w:rPr>
              <w:t>Slovakia</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Wiremarkers Africa Pty. Ltd.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4"/>
              </w:rPr>
              <w:t>South Africa</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Grafo Wiremarkers Pty.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4"/>
              </w:rPr>
              <w:t>South Africa</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Korea LLP</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2"/>
              </w:rPr>
              <w:t>South Korea</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Identificación S.L.U.</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2"/>
              </w:rPr>
              <w:t>Spain</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AB</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Sweden Holding AB</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Runelandhs Fastighter AB</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Runelandhs Försäljnings AB</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Converting AB</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Tradex AB</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Technologies (Thailand) Co. Ltd.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4"/>
              </w:rPr>
              <w:t>Thailand</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Etiket ve Isaretleme Ticaret Ltd. Sirketi</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3"/>
              </w:rPr>
              <w:t>Turkey</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Middle East FZE</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3"/>
              </w:rPr>
              <w:t>United Arab Emirates</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B.I. (UK) Limited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Corporation Limited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European Finance Limited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European Holdings Limited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420"/>
          </w:cols>
          <w:pgMar w:left="240" w:top="76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333-38857, 333-38859, 333-44505, 333-92417, 333-110949, 333-122867, 333-134503, 333-137686, 333-141402, 333-162538 and 333-177039 on Form S-8 and 333-177529 on Form S-3 of our reports dated September 30, 2013,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90" w:lineRule="exact"/>
        <w:rPr>
          <w:sz w:val="20"/>
          <w:szCs w:val="20"/>
          <w:color w:val="auto"/>
        </w:rPr>
      </w:pPr>
    </w:p>
    <w:p>
      <w:pPr>
        <w:ind w:left="700" w:hanging="260"/>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firstLine="440"/>
        <w:spacing w:after="0" w:line="277" w:lineRule="auto"/>
        <w:tabs>
          <w:tab w:leader="none" w:pos="6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30,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M. Jaehnert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00" w:hanging="260"/>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30,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30,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M. Jaehnert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30,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x"/>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lvl w:ilvl="1">
      <w:lvlJc w:val="left"/>
      <w:lvlText w:val="•"/>
      <w:numFmt w:val="bullet"/>
      <w:start w:val="1"/>
    </w:lvl>
  </w:abstractNum>
  <w:abstractNum w:abstractNumId="3">
    <w:nsid w:val="749ABB43"/>
    <w:multiLevelType w:val="hybridMultilevel"/>
    <w:lvl w:ilvl="0">
      <w:lvlJc w:val="left"/>
      <w:lvlText w:val="•"/>
      <w:numFmt w:val="bullet"/>
      <w:start w:val="1"/>
    </w:lvl>
    <w:lvl w:ilvl="1">
      <w:lvlJc w:val="left"/>
      <w:lvlText w:val="•"/>
      <w:numFmt w:val="bullet"/>
      <w:start w:val="1"/>
    </w:lvl>
  </w:abstractNum>
  <w:abstractNum w:abstractNumId="4">
    <w:nsid w:val="3DC240FB"/>
    <w:multiLevelType w:val="hybridMultilevel"/>
    <w:lvl w:ilvl="0">
      <w:lvlJc w:val="left"/>
      <w:lvlText w:val="(%1)"/>
      <w:numFmt w:val="lowerLetter"/>
      <w:start w:val="3"/>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decimal"/>
      <w:start w:val="1"/>
    </w:lvl>
  </w:abstractNum>
  <w:abstractNum w:abstractNumId="11">
    <w:nsid w:val="374A3FE6"/>
    <w:multiLevelType w:val="hybridMultilevel"/>
    <w:lvl w:ilvl="0">
      <w:lvlJc w:val="left"/>
      <w:lvlText w:val="(%1)"/>
      <w:numFmt w:val="decimal"/>
      <w:start w:val="2"/>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7"/>
    </w:lvl>
    <w:lvl w:ilvl="1">
      <w:lvlJc w:val="left"/>
      <w:lvlText w:val="**"/>
      <w:numFmt w:val="bullet"/>
      <w:start w:val="1"/>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
      <w:numFmt w:val="bullet"/>
      <w:start w:val="1"/>
    </w:lvl>
    <w:lvl w:ilvl="1">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lowerLetter"/>
      <w:start w:val="3"/>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decimal"/>
      <w:start w:val="4"/>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decimal"/>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lvl w:ilvl="1">
      <w:lvlJc w:val="left"/>
      <w:lvlText w:val="(%2)"/>
      <w:numFmt w:val="decimal"/>
      <w:start w:val="1"/>
    </w:lvl>
  </w:abstractNum>
  <w:abstractNum w:abstractNumId="53">
    <w:nsid w:val="7BD3EE7B"/>
    <w:multiLevelType w:val="hybridMultilevel"/>
    <w:lvl w:ilvl="0">
      <w:lvlJc w:val="left"/>
      <w:lvlText w:val="(%1)"/>
      <w:numFmt w:val="lowerLetter"/>
      <w:start w:val="2"/>
    </w:lvl>
    <w:lvl w:ilvl="1">
      <w:lvlJc w:val="left"/>
      <w:lvlText w:val="%2"/>
      <w:numFmt w:val="decimal"/>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1"/>
      <w:numFmt w:val="lowerLetter"/>
      <w:start w:val="1"/>
    </w:lvl>
    <w:lvl w:ilvl="1">
      <w:lvlJc w:val="left"/>
      <w:lvlText w:val="(%2)"/>
      <w:numFmt w:val="decimal"/>
      <w:start w:val="1"/>
    </w:lvl>
  </w:abstractNum>
  <w:abstractNum w:abstractNumId="56">
    <w:nsid w:val="BF72B14"/>
    <w:multiLevelType w:val="hybridMultilevel"/>
    <w:lvl w:ilvl="0">
      <w:lvlJc w:val="left"/>
      <w:lvlText w:val="(%1)"/>
      <w:numFmt w:val="lowerLetter"/>
      <w:start w:val="3"/>
    </w:lvl>
    <w:lvl w:ilvl="1">
      <w:lvlJc w:val="left"/>
      <w:lvlText w:val="%2"/>
      <w:numFmt w:val="decimal"/>
      <w:start w:val="1"/>
    </w:lvl>
  </w:abstractNum>
  <w:abstractNum w:abstractNumId="57">
    <w:nsid w:val="11447B73"/>
    <w:multiLevelType w:val="hybridMultilevel"/>
    <w:lvl w:ilvl="0">
      <w:lvlJc w:val="left"/>
      <w:lvlText w:val="(%1)"/>
      <w:numFmt w:val="lowerLetter"/>
      <w:start w:val="4"/>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23"/>
    </w:lvl>
  </w:abstractNum>
  <w:abstractNum w:abstractNumId="60">
    <w:nsid w:val="8F2B15E"/>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61">
    <w:nsid w:val="1A32234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1."/>
      <w:numFmt w:val="decimal"/>
      <w:start w:val="3"/>
    </w:lvl>
    <w:lvl w:ilvl="1">
      <w:lvlJc w:val="left"/>
      <w:lvlText w:val="(%2)"/>
      <w:numFmt w:val="lowerLetter"/>
      <w:start w:val="1"/>
    </w:lvl>
  </w:abstractNum>
  <w:abstractNum w:abstractNumId="65">
    <w:nsid w:val="60B6DF70"/>
    <w:multiLevelType w:val="hybridMultilevel"/>
    <w:lvl w:ilvl="0">
      <w:lvlJc w:val="left"/>
      <w:lvlText w:val="%1"/>
      <w:numFmt w:val="decimal"/>
      <w:start w:val="1"/>
    </w:lvl>
    <w:lvl w:ilvl="1">
      <w:lvlJc w:val="left"/>
      <w:lvlText w:val="(%2)"/>
      <w:numFmt w:val="lowerLetter"/>
      <w:start w:val="3"/>
    </w:lvl>
  </w:abstractNum>
  <w:abstractNum w:abstractNumId="66">
    <w:nsid w:val="6A5EE64"/>
    <w:multiLevelType w:val="hybridMultilevel"/>
    <w:lvl w:ilvl="0">
      <w:lvlJc w:val="left"/>
      <w:lvlText w:val="%1."/>
      <w:numFmt w:val="decimal"/>
      <w:start w:val="4"/>
    </w:lvl>
    <w:lvl w:ilvl="1">
      <w:lvlJc w:val="left"/>
      <w:lvlText w:val="(%2)"/>
      <w:numFmt w:val="lowerLetter"/>
      <w:start w:val="61"/>
    </w:lvl>
  </w:abstractNum>
  <w:abstractNum w:abstractNumId="67">
    <w:nsid w:val="14330624"/>
    <w:multiLevelType w:val="hybridMultilevel"/>
    <w:lvl w:ilvl="0">
      <w:lvlJc w:val="left"/>
      <w:lvlText w:val="%1"/>
      <w:numFmt w:val="decimal"/>
      <w:start w:val="1"/>
    </w:lvl>
    <w:lvl w:ilvl="1">
      <w:lvlJc w:val="left"/>
      <w:lvlText w:val="(%2)"/>
      <w:numFmt w:val="lowerLetter"/>
      <w:start w:val="1"/>
    </w:lvl>
  </w:abstractNum>
  <w:abstractNum w:abstractNumId="68">
    <w:nsid w:val="7FFFCA11"/>
    <w:multiLevelType w:val="hybridMultilevel"/>
    <w:lvl w:ilvl="0">
      <w:lvlJc w:val="left"/>
      <w:lvlText w:val="%1"/>
      <w:numFmt w:val="lowerLetter"/>
      <w:start w:val="1"/>
    </w:lvl>
    <w:lvl w:ilvl="1">
      <w:lvlJc w:val="left"/>
      <w:lvlText w:val="(%2)"/>
      <w:numFmt w:val="lowerRoman"/>
      <w:start w:val="1"/>
    </w:lvl>
  </w:abstractNum>
  <w:abstractNum w:abstractNumId="69">
    <w:nsid w:val="1A27709E"/>
    <w:multiLevelType w:val="hybridMultilevel"/>
    <w:lvl w:ilvl="0">
      <w:lvlJc w:val="left"/>
      <w:lvlText w:val="(%1)"/>
      <w:numFmt w:val="lowerLetter"/>
      <w:start w:val="2"/>
    </w:lvl>
    <w:lvl w:ilvl="1">
      <w:lvlJc w:val="left"/>
      <w:lvlText w:val="(%2)"/>
      <w:numFmt w:val="lowerRoman"/>
      <w:start w:val="1"/>
    </w:lvl>
  </w:abstractNum>
  <w:abstractNum w:abstractNumId="70">
    <w:nsid w:val="71EA1109"/>
    <w:multiLevelType w:val="hybridMultilevel"/>
    <w:lvl w:ilvl="0">
      <w:lvlJc w:val="left"/>
      <w:lvlText w:val="%1"/>
      <w:numFmt w:val="decimal"/>
      <w:start w:val="1"/>
    </w:lvl>
    <w:lvl w:ilvl="1">
      <w:lvlJc w:val="left"/>
      <w:lvlText w:val="(%2)"/>
      <w:numFmt w:val="lowerLetter"/>
      <w:start w:val="3"/>
    </w:lvl>
  </w:abstractNum>
  <w:abstractNum w:abstractNumId="71">
    <w:nsid w:val="100F59DC"/>
    <w:multiLevelType w:val="hybridMultilevel"/>
    <w:lvl w:ilvl="0">
      <w:lvlJc w:val="left"/>
      <w:lvlText w:val="%1."/>
      <w:numFmt w:val="decimal"/>
      <w:start w:val="11"/>
    </w:lvl>
    <w:lvl w:ilvl="1">
      <w:lvlJc w:val="left"/>
      <w:lvlText w:val="%2"/>
      <w:numFmt w:val="lowerLetter"/>
      <w:start w:val="1"/>
    </w:lvl>
  </w:abstractNum>
  <w:abstractNum w:abstractNumId="72">
    <w:nsid w:val="7FB7E0AA"/>
    <w:multiLevelType w:val="hybridMultilevel"/>
    <w:lvl w:ilvl="0">
      <w:lvlJc w:val="left"/>
      <w:lvlText w:val="%1."/>
      <w:numFmt w:val="decimal"/>
      <w:start w:val="16"/>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3"/>
    </w:lvl>
    <w:lvl w:ilvl="1">
      <w:lvlJc w:val="left"/>
      <w:lvlText w:val="%2."/>
      <w:numFmt w:val="upperLetter"/>
      <w:start w:val="1"/>
    </w:lvl>
  </w:abstractNum>
  <w:abstractNum w:abstractNumId="75">
    <w:nsid w:val="94211F2"/>
    <w:multiLevelType w:val="hybridMultilevel"/>
    <w:lvl w:ilvl="0">
      <w:lvlJc w:val="left"/>
      <w:lvlText w:val="%1."/>
      <w:numFmt w:val="decimal"/>
      <w:start w:val="4"/>
    </w:lvl>
  </w:abstractNum>
  <w:abstractNum w:abstractNumId="76">
    <w:nsid w:val="885E1B"/>
    <w:multiLevelType w:val="hybridMultilevel"/>
    <w:lvl w:ilvl="0">
      <w:lvlJc w:val="left"/>
      <w:lvlText w:val="%1."/>
      <w:numFmt w:val="decimal"/>
      <w:start w:val="13"/>
    </w:lvl>
  </w:abstractNum>
  <w:abstractNum w:abstractNumId="77">
    <w:nsid w:val="76272110"/>
    <w:multiLevelType w:val="hybridMultilevel"/>
    <w:lvl w:ilvl="0">
      <w:lvlJc w:val="left"/>
      <w:lvlText w:val="%1."/>
      <w:numFmt w:val="decimal"/>
      <w:start w:val="1"/>
    </w:lvl>
    <w:lvl w:ilvl="1">
      <w:lvlJc w:val="left"/>
      <w:lvlText w:val="(%2)"/>
      <w:numFmt w:val="lowerLetter"/>
      <w:start w:val="1"/>
    </w:lvl>
  </w:abstractNum>
  <w:abstractNum w:abstractNumId="78">
    <w:nsid w:val="4C04A8AF"/>
    <w:multiLevelType w:val="hybridMultilevel"/>
    <w:lvl w:ilvl="0">
      <w:lvlJc w:val="left"/>
      <w:lvlText w:val="%1"/>
      <w:numFmt w:val="decimal"/>
      <w:start w:val="1"/>
    </w:lvl>
    <w:lvl w:ilvl="1">
      <w:lvlJc w:val="left"/>
      <w:lvlText w:val="(%2)"/>
      <w:numFmt w:val="lowerLetter"/>
      <w:start w:val="2"/>
    </w:lvl>
  </w:abstractNum>
  <w:abstractNum w:abstractNumId="79">
    <w:nsid w:val="1716703B"/>
    <w:multiLevelType w:val="hybridMultilevel"/>
    <w:lvl w:ilvl="0">
      <w:lvlJc w:val="left"/>
      <w:lvlText w:val="%1."/>
      <w:numFmt w:val="decimal"/>
      <w:start w:val="3"/>
    </w:lvl>
    <w:lvl w:ilvl="1">
      <w:lvlJc w:val="left"/>
      <w:lvlText w:val="(%2)"/>
      <w:numFmt w:val="lowerLetter"/>
      <w:start w:val="1"/>
    </w:lvl>
  </w:abstractNum>
  <w:abstractNum w:abstractNumId="80">
    <w:nsid w:val="14E17E33"/>
    <w:multiLevelType w:val="hybridMultilevel"/>
    <w:lvl w:ilvl="0">
      <w:lvlJc w:val="left"/>
      <w:lvlText w:val="%1"/>
      <w:numFmt w:val="decimal"/>
      <w:start w:val="1"/>
    </w:lvl>
    <w:lvl w:ilvl="1">
      <w:lvlJc w:val="left"/>
      <w:lvlText w:val="(%2)"/>
      <w:numFmt w:val="lowerLetter"/>
      <w:start w:val="3"/>
    </w:lvl>
  </w:abstractNum>
  <w:abstractNum w:abstractNumId="81">
    <w:nsid w:val="3222E7CD"/>
    <w:multiLevelType w:val="hybridMultilevel"/>
    <w:lvl w:ilvl="0">
      <w:lvlJc w:val="left"/>
      <w:lvlText w:val="%1."/>
      <w:numFmt w:val="decimal"/>
      <w:start w:val="4"/>
    </w:lvl>
    <w:lvl w:ilvl="1">
      <w:lvlJc w:val="left"/>
      <w:lvlText w:val="%2"/>
      <w:numFmt w:val="lowerLetter"/>
      <w:start w:val="1"/>
    </w:lvl>
  </w:abstractNum>
  <w:abstractNum w:abstractNumId="82">
    <w:nsid w:val="74DE0EE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3">
    <w:nsid w:val="68EBC550"/>
    <w:multiLevelType w:val="hybridMultilevel"/>
    <w:lvl w:ilvl="0">
      <w:lvlJc w:val="left"/>
      <w:lvlText w:val="(%1)"/>
      <w:numFmt w:val="lowerLetter"/>
      <w:start w:val="1"/>
    </w:lvl>
    <w:lvl w:ilvl="1">
      <w:lvlJc w:val="left"/>
      <w:lvlText w:val="(%2)"/>
      <w:numFmt w:val="lowerRoman"/>
      <w:start w:val="1"/>
    </w:lvl>
  </w:abstractNum>
  <w:abstractNum w:abstractNumId="84">
    <w:nsid w:val="2DF6D648"/>
    <w:multiLevelType w:val="hybridMultilevel"/>
    <w:lvl w:ilvl="0">
      <w:lvlJc w:val="left"/>
      <w:lvlText w:val="%1"/>
      <w:numFmt w:val="decimal"/>
      <w:start w:val="1"/>
    </w:lvl>
    <w:lvl w:ilvl="1">
      <w:lvlJc w:val="left"/>
      <w:lvlText w:val="(%2)"/>
      <w:numFmt w:val="lowerLetter"/>
      <w:start w:val="2"/>
    </w:lvl>
  </w:abstractNum>
  <w:abstractNum w:abstractNumId="85">
    <w:nsid w:val="46B7D447"/>
    <w:multiLevelType w:val="hybridMultilevel"/>
    <w:lvl w:ilvl="0">
      <w:lvlJc w:val="left"/>
      <w:lvlText w:val="%1."/>
      <w:numFmt w:val="decimal"/>
      <w:start w:val="10"/>
    </w:lvl>
    <w:lvl w:ilvl="1">
      <w:lvlJc w:val="left"/>
      <w:lvlText w:val="%2"/>
      <w:numFmt w:val="lowerLetter"/>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decimal"/>
      <w:start w:val="5"/>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decimal"/>
      <w:start w:val="5"/>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2019-12-05T21:21:12Z</dcterms:created>
  <dcterms:modified xsi:type="dcterms:W3CDTF">2019-12-05T21:21:12Z</dcterms:modified>
</cp:coreProperties>
</file>