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40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4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192405</wp:posOffset>
            </wp:positionV>
            <wp:extent cx="15087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7620"/>
                    </a:xfrm>
                    <a:prstGeom prst="rect">
                      <a:avLst/>
                    </a:prstGeom>
                    <a:noFill/>
                  </pic:spPr>
                </pic:pic>
              </a:graphicData>
            </a:graphic>
          </wp:anchor>
        </w:drawing>
      </w:r>
    </w:p>
    <w:p>
      <w:pPr>
        <w:spacing w:after="0" w:line="343" w:lineRule="exact"/>
        <w:rPr>
          <w:sz w:val="24"/>
          <w:szCs w:val="24"/>
          <w:color w:val="auto"/>
        </w:rPr>
      </w:pPr>
    </w:p>
    <w:p>
      <w:pPr>
        <w:jc w:val="center"/>
        <w:ind w:right="40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163830</wp:posOffset>
            </wp:positionV>
            <wp:extent cx="15087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8760" cy="7620"/>
                    </a:xfrm>
                    <a:prstGeom prst="rect">
                      <a:avLst/>
                    </a:prstGeom>
                    <a:noFill/>
                  </pic:spPr>
                </pic:pic>
              </a:graphicData>
            </a:graphic>
          </wp:anchor>
        </w:drawing>
      </w:r>
    </w:p>
    <w:p>
      <w:pPr>
        <w:spacing w:after="0" w:line="301" w:lineRule="exact"/>
        <w:rPr>
          <w:sz w:val="24"/>
          <w:szCs w:val="24"/>
          <w:color w:val="auto"/>
        </w:rPr>
      </w:pPr>
    </w:p>
    <w:p>
      <w:pPr>
        <w:jc w:val="center"/>
        <w:ind w:right="400"/>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400"/>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400"/>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ind w:left="2640"/>
        <w:spacing w:after="0"/>
        <w:rPr>
          <w:sz w:val="20"/>
          <w:szCs w:val="20"/>
          <w:color w:val="auto"/>
        </w:rPr>
      </w:pPr>
      <w:r>
        <w:rPr>
          <w:rFonts w:ascii="Arial" w:cs="Arial" w:eastAsia="Arial" w:hAnsi="Arial"/>
          <w:sz w:val="19"/>
          <w:szCs w:val="19"/>
          <w:b w:val="1"/>
          <w:bCs w:val="1"/>
          <w:color w:val="auto"/>
        </w:rPr>
        <w:t>Date of Report (Date of earliest event reported): May 14,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206375</wp:posOffset>
            </wp:positionV>
            <wp:extent cx="15087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7620"/>
                    </a:xfrm>
                    <a:prstGeom prst="rect">
                      <a:avLst/>
                    </a:prstGeom>
                    <a:noFill/>
                  </pic:spPr>
                </pic:pic>
              </a:graphicData>
            </a:graphic>
          </wp:anchor>
        </w:drawing>
      </w:r>
    </w:p>
    <w:p>
      <w:pPr>
        <w:spacing w:after="0" w:line="364" w:lineRule="exact"/>
        <w:rPr>
          <w:sz w:val="24"/>
          <w:szCs w:val="24"/>
          <w:color w:val="auto"/>
        </w:rPr>
      </w:pPr>
    </w:p>
    <w:p>
      <w:pPr>
        <w:jc w:val="center"/>
        <w:ind w:right="400"/>
        <w:spacing w:after="0"/>
        <w:rPr>
          <w:sz w:val="20"/>
          <w:szCs w:val="20"/>
          <w:color w:val="auto"/>
        </w:rPr>
      </w:pPr>
      <w:r>
        <w:rPr>
          <w:rFonts w:ascii="Arial" w:cs="Arial" w:eastAsia="Arial" w:hAnsi="Arial"/>
          <w:sz w:val="39"/>
          <w:szCs w:val="39"/>
          <w:b w:val="1"/>
          <w:bCs w:val="1"/>
          <w:color w:val="auto"/>
        </w:rPr>
        <w:t>BRADY CORPORATION</w:t>
      </w:r>
    </w:p>
    <w:p>
      <w:pPr>
        <w:spacing w:after="0" w:line="37" w:lineRule="exact"/>
        <w:rPr>
          <w:sz w:val="24"/>
          <w:szCs w:val="24"/>
          <w:color w:val="auto"/>
        </w:rPr>
      </w:pPr>
    </w:p>
    <w:p>
      <w:pPr>
        <w:ind w:left="34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150495</wp:posOffset>
            </wp:positionV>
            <wp:extent cx="15087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7620"/>
                    </a:xfrm>
                    <a:prstGeom prst="rect">
                      <a:avLst/>
                    </a:prstGeom>
                    <a:noFill/>
                  </pic:spPr>
                </pic:pic>
              </a:graphicData>
            </a:graphic>
          </wp:anchor>
        </w:drawing>
      </w:r>
    </w:p>
    <w:p>
      <w:pPr>
        <w:spacing w:after="0" w:line="285" w:lineRule="exact"/>
        <w:rPr>
          <w:sz w:val="24"/>
          <w:szCs w:val="24"/>
          <w:color w:val="auto"/>
        </w:rPr>
      </w:pPr>
    </w:p>
    <w:p>
      <w:pPr>
        <w:jc w:val="center"/>
        <w:ind w:right="400"/>
        <w:spacing w:after="0"/>
        <w:rPr>
          <w:sz w:val="20"/>
          <w:szCs w:val="20"/>
          <w:color w:val="auto"/>
        </w:rPr>
      </w:pPr>
      <w:r>
        <w:rPr>
          <w:rFonts w:ascii="Arial" w:cs="Arial" w:eastAsia="Arial" w:hAnsi="Arial"/>
          <w:sz w:val="16"/>
          <w:szCs w:val="16"/>
          <w:b w:val="1"/>
          <w:bCs w:val="1"/>
          <w:color w:val="auto"/>
        </w:rPr>
        <w:t>Commission File Number 1-14959</w:t>
      </w:r>
    </w:p>
    <w:p>
      <w:pPr>
        <w:sectPr>
          <w:pgSz w:w="11900" w:h="16838" w:orient="portrait"/>
          <w:cols w:equalWidth="0" w:num="1">
            <w:col w:w="10840"/>
          </w:cols>
          <w:pgMar w:left="740" w:top="670" w:right="319" w:bottom="1440" w:gutter="0" w:footer="0" w:header="0"/>
        </w:sectPr>
      </w:pPr>
    </w:p>
    <w:p>
      <w:pPr>
        <w:spacing w:after="0" w:line="200" w:lineRule="exact"/>
        <w:rPr>
          <w:sz w:val="24"/>
          <w:szCs w:val="24"/>
          <w:color w:val="auto"/>
        </w:rPr>
      </w:pPr>
    </w:p>
    <w:p>
      <w:pPr>
        <w:spacing w:after="0" w:line="243" w:lineRule="exact"/>
        <w:rPr>
          <w:sz w:val="24"/>
          <w:szCs w:val="24"/>
          <w:color w:val="auto"/>
        </w:rPr>
      </w:pPr>
    </w:p>
    <w:p>
      <w:pPr>
        <w:ind w:left="2100"/>
        <w:spacing w:after="0"/>
        <w:rPr>
          <w:sz w:val="20"/>
          <w:szCs w:val="20"/>
          <w:color w:val="auto"/>
        </w:rPr>
      </w:pPr>
      <w:r>
        <w:rPr>
          <w:rFonts w:ascii="Arial" w:cs="Arial" w:eastAsia="Arial" w:hAnsi="Arial"/>
          <w:sz w:val="13"/>
          <w:szCs w:val="13"/>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39-0971239</w:t>
      </w:r>
    </w:p>
    <w:p>
      <w:pPr>
        <w:spacing w:after="0" w:line="74" w:lineRule="exact"/>
        <w:rPr>
          <w:sz w:val="24"/>
          <w:szCs w:val="24"/>
          <w:color w:val="auto"/>
        </w:rPr>
      </w:pPr>
    </w:p>
    <w:p>
      <w:pPr>
        <w:sectPr>
          <w:pgSz w:w="11900" w:h="16838" w:orient="portrait"/>
          <w:cols w:equalWidth="0" w:num="2">
            <w:col w:w="6920" w:space="720"/>
            <w:col w:w="3200"/>
          </w:cols>
          <w:pgMar w:left="740" w:top="670" w:right="319" w:bottom="1440" w:gutter="0" w:footer="0" w:header="0"/>
          <w:type w:val="continuous"/>
        </w:sectPr>
      </w:pPr>
    </w:p>
    <w:p>
      <w:pPr>
        <w:jc w:val="center"/>
        <w:ind w:right="1880"/>
        <w:spacing w:after="0"/>
        <w:rPr>
          <w:sz w:val="20"/>
          <w:szCs w:val="20"/>
          <w:color w:val="auto"/>
        </w:rPr>
      </w:pPr>
      <w:r>
        <w:rPr>
          <w:rFonts w:ascii="Arial" w:cs="Arial" w:eastAsia="Arial" w:hAnsi="Arial"/>
          <w:sz w:val="13"/>
          <w:szCs w:val="13"/>
          <w:b w:val="1"/>
          <w:bCs w:val="1"/>
          <w:color w:val="auto"/>
        </w:rPr>
        <w:t>(State of</w:t>
      </w:r>
    </w:p>
    <w:p>
      <w:pPr>
        <w:jc w:val="center"/>
        <w:ind w:right="1880"/>
        <w:spacing w:after="0"/>
        <w:rPr>
          <w:sz w:val="20"/>
          <w:szCs w:val="20"/>
          <w:color w:val="auto"/>
        </w:rPr>
      </w:pPr>
      <w:r>
        <w:rPr>
          <w:rFonts w:ascii="Arial" w:cs="Arial" w:eastAsia="Arial" w:hAnsi="Arial"/>
          <w:sz w:val="11"/>
          <w:szCs w:val="11"/>
          <w:b w:val="1"/>
          <w:bCs w:val="1"/>
          <w:color w:val="auto"/>
        </w:rPr>
        <w:t>Incorporation)</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Arial" w:cs="Arial" w:eastAsia="Arial" w:hAnsi="Arial"/>
          <w:sz w:val="13"/>
          <w:szCs w:val="13"/>
          <w:b w:val="1"/>
          <w:bCs w:val="1"/>
          <w:color w:val="auto"/>
        </w:rPr>
        <w:t>(IRS Employer</w:t>
      </w:r>
    </w:p>
    <w:p>
      <w:pPr>
        <w:jc w:val="center"/>
        <w:ind w:right="2300"/>
        <w:spacing w:after="0"/>
        <w:rPr>
          <w:sz w:val="20"/>
          <w:szCs w:val="20"/>
          <w:color w:val="auto"/>
        </w:rPr>
      </w:pPr>
      <w:r>
        <w:rPr>
          <w:rFonts w:ascii="Arial" w:cs="Arial" w:eastAsia="Arial" w:hAnsi="Arial"/>
          <w:sz w:val="12"/>
          <w:szCs w:val="12"/>
          <w:b w:val="1"/>
          <w:bCs w:val="1"/>
          <w:color w:val="auto"/>
        </w:rPr>
        <w:t>Identification No.)</w:t>
      </w:r>
    </w:p>
    <w:p>
      <w:pPr>
        <w:spacing w:after="0" w:line="15" w:lineRule="exact"/>
        <w:rPr>
          <w:sz w:val="24"/>
          <w:szCs w:val="24"/>
          <w:color w:val="auto"/>
        </w:rPr>
      </w:pPr>
    </w:p>
    <w:p>
      <w:pPr>
        <w:sectPr>
          <w:pgSz w:w="11900" w:h="16838" w:orient="portrait"/>
          <w:cols w:equalWidth="0" w:num="2">
            <w:col w:w="6800" w:space="720"/>
            <w:col w:w="3320"/>
          </w:cols>
          <w:pgMar w:left="740" w:top="670" w:right="319" w:bottom="1440" w:gutter="0" w:footer="0" w:header="0"/>
          <w:type w:val="continuous"/>
        </w:sectPr>
      </w:pPr>
    </w:p>
    <w:p>
      <w:pPr>
        <w:ind w:left="4240"/>
        <w:spacing w:after="0"/>
        <w:rPr>
          <w:sz w:val="20"/>
          <w:szCs w:val="20"/>
          <w:color w:val="auto"/>
        </w:rPr>
      </w:pPr>
      <w:r>
        <w:rPr>
          <w:rFonts w:ascii="Arial" w:cs="Arial" w:eastAsia="Arial" w:hAnsi="Arial"/>
          <w:sz w:val="16"/>
          <w:szCs w:val="16"/>
          <w:b w:val="1"/>
          <w:bCs w:val="1"/>
          <w:color w:val="auto"/>
        </w:rPr>
        <w:t>6555 West Good Hope Road</w:t>
      </w:r>
    </w:p>
    <w:p>
      <w:pPr>
        <w:spacing w:after="0" w:line="19"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Milwaukee, Wisconsin 53223</w:t>
      </w:r>
    </w:p>
    <w:p>
      <w:pPr>
        <w:spacing w:after="0" w:line="3" w:lineRule="exact"/>
        <w:rPr>
          <w:sz w:val="24"/>
          <w:szCs w:val="24"/>
          <w:color w:val="auto"/>
        </w:rPr>
      </w:pPr>
    </w:p>
    <w:p>
      <w:pPr>
        <w:jc w:val="center"/>
        <w:ind w:right="420"/>
        <w:spacing w:after="0"/>
        <w:rPr>
          <w:sz w:val="20"/>
          <w:szCs w:val="20"/>
          <w:color w:val="auto"/>
        </w:rPr>
      </w:pPr>
      <w:r>
        <w:rPr>
          <w:rFonts w:ascii="Arial" w:cs="Arial" w:eastAsia="Arial" w:hAnsi="Arial"/>
          <w:sz w:val="11"/>
          <w:szCs w:val="11"/>
          <w:b w:val="1"/>
          <w:bCs w:val="1"/>
          <w:color w:val="auto"/>
        </w:rPr>
        <w:t>(Address of Principal Executive Offices and Zip Code)</w:t>
      </w:r>
    </w:p>
    <w:p>
      <w:pPr>
        <w:spacing w:after="0" w:line="153" w:lineRule="exact"/>
        <w:rPr>
          <w:sz w:val="24"/>
          <w:szCs w:val="24"/>
          <w:color w:val="auto"/>
        </w:rPr>
      </w:pPr>
    </w:p>
    <w:p>
      <w:pPr>
        <w:jc w:val="center"/>
        <w:ind w:right="420"/>
        <w:spacing w:after="0"/>
        <w:rPr>
          <w:sz w:val="20"/>
          <w:szCs w:val="20"/>
          <w:color w:val="auto"/>
        </w:rPr>
      </w:pPr>
      <w:r>
        <w:rPr>
          <w:rFonts w:ascii="Arial" w:cs="Arial" w:eastAsia="Arial" w:hAnsi="Arial"/>
          <w:sz w:val="16"/>
          <w:szCs w:val="16"/>
          <w:b w:val="1"/>
          <w:bCs w:val="1"/>
          <w:color w:val="auto"/>
        </w:rPr>
        <w:t>(414) 358-6600</w:t>
      </w:r>
    </w:p>
    <w:p>
      <w:pPr>
        <w:spacing w:after="0" w:line="30" w:lineRule="exact"/>
        <w:rPr>
          <w:sz w:val="24"/>
          <w:szCs w:val="24"/>
          <w:color w:val="auto"/>
        </w:rPr>
      </w:pPr>
    </w:p>
    <w:p>
      <w:pPr>
        <w:jc w:val="center"/>
        <w:ind w:right="420"/>
        <w:spacing w:after="0"/>
        <w:rPr>
          <w:sz w:val="20"/>
          <w:szCs w:val="20"/>
          <w:color w:val="auto"/>
        </w:rPr>
      </w:pPr>
      <w:r>
        <w:rPr>
          <w:rFonts w:ascii="Arial" w:cs="Arial" w:eastAsia="Arial" w:hAnsi="Arial"/>
          <w:sz w:val="13"/>
          <w:szCs w:val="13"/>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170815</wp:posOffset>
            </wp:positionV>
            <wp:extent cx="15087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8760" cy="7620"/>
                    </a:xfrm>
                    <a:prstGeom prst="rect">
                      <a:avLst/>
                    </a:prstGeom>
                    <a:noFill/>
                  </pic:spPr>
                </pic:pic>
              </a:graphicData>
            </a:graphic>
          </wp:anchor>
        </w:drawing>
      </w:r>
    </w:p>
    <w:p>
      <w:pPr>
        <w:sectPr>
          <w:pgSz w:w="11900" w:h="16838" w:orient="portrait"/>
          <w:cols w:equalWidth="0" w:num="1">
            <w:col w:w="10840"/>
          </w:cols>
          <w:pgMar w:left="740" w:top="670" w:right="319" w:bottom="1440" w:gutter="0" w:footer="0" w:header="0"/>
          <w:type w:val="continuous"/>
        </w:sectPr>
      </w:pPr>
    </w:p>
    <w:p>
      <w:pPr>
        <w:spacing w:after="0" w:line="34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60" w:hanging="633"/>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60" w:hanging="633"/>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60" w:hanging="633"/>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60" w:hanging="633"/>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0840"/>
          </w:cols>
          <w:pgMar w:left="740" w:top="670" w:right="319" w:bottom="1440" w:gutter="0" w:footer="0" w:header="0"/>
          <w:type w:val="continuous"/>
        </w:sectPr>
      </w:pPr>
    </w:p>
    <w:bookmarkStart w:id="1" w:name="page2"/>
    <w:bookmarkEnd w:id="1"/>
    <w:p>
      <w:pPr>
        <w:ind w:left="24"/>
        <w:spacing w:after="0"/>
        <w:tabs>
          <w:tab w:leader="none" w:pos="1043"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left="4" w:right="20" w:firstLine="579"/>
        <w:spacing w:after="0" w:line="265" w:lineRule="auto"/>
        <w:rPr>
          <w:sz w:val="20"/>
          <w:szCs w:val="20"/>
          <w:color w:val="auto"/>
        </w:rPr>
      </w:pPr>
      <w:r>
        <w:rPr>
          <w:rFonts w:ascii="Arial" w:cs="Arial" w:eastAsia="Arial" w:hAnsi="Arial"/>
          <w:sz w:val="16"/>
          <w:szCs w:val="16"/>
          <w:color w:val="auto"/>
        </w:rPr>
        <w:t>On May 16, 2013, Brady Corporation (the "Company") issued a press release announcing its fiscal 2013 third quarter financial results. A copy of the press release announcing the third quarter financial results is being furnished to the Securities and Exchange Commission as Exhibit 99.1 attached hereto and is incorporated herein by reference.</w:t>
      </w:r>
    </w:p>
    <w:p>
      <w:pPr>
        <w:spacing w:after="0" w:line="307" w:lineRule="exact"/>
        <w:rPr>
          <w:sz w:val="20"/>
          <w:szCs w:val="20"/>
          <w:color w:val="auto"/>
        </w:rPr>
      </w:pPr>
    </w:p>
    <w:p>
      <w:pPr>
        <w:ind w:left="24"/>
        <w:spacing w:after="0"/>
        <w:tabs>
          <w:tab w:leader="none" w:pos="1023" w:val="left"/>
        </w:tabs>
        <w:rPr>
          <w:sz w:val="20"/>
          <w:szCs w:val="20"/>
          <w:color w:val="auto"/>
        </w:rPr>
      </w:pPr>
      <w:r>
        <w:rPr>
          <w:rFonts w:ascii="Arial" w:cs="Arial" w:eastAsia="Arial" w:hAnsi="Arial"/>
          <w:sz w:val="16"/>
          <w:szCs w:val="16"/>
          <w:color w:val="auto"/>
        </w:rPr>
        <w:t>Item 2.06</w:t>
      </w:r>
      <w:r>
        <w:rPr>
          <w:sz w:val="20"/>
          <w:szCs w:val="20"/>
          <w:color w:val="auto"/>
        </w:rPr>
        <w:tab/>
      </w:r>
      <w:r>
        <w:rPr>
          <w:rFonts w:ascii="Arial" w:cs="Arial" w:eastAsia="Arial" w:hAnsi="Arial"/>
          <w:sz w:val="16"/>
          <w:szCs w:val="16"/>
          <w:color w:val="auto"/>
        </w:rPr>
        <w:t>MATERIAL IMPAIRMENTS</w:t>
      </w:r>
    </w:p>
    <w:p>
      <w:pPr>
        <w:spacing w:after="0" w:line="226" w:lineRule="exact"/>
        <w:rPr>
          <w:sz w:val="20"/>
          <w:szCs w:val="20"/>
          <w:color w:val="auto"/>
        </w:rPr>
      </w:pPr>
    </w:p>
    <w:p>
      <w:pPr>
        <w:jc w:val="both"/>
        <w:ind w:left="4" w:right="20" w:firstLine="579"/>
        <w:spacing w:after="0" w:line="258" w:lineRule="auto"/>
        <w:rPr>
          <w:sz w:val="20"/>
          <w:szCs w:val="20"/>
          <w:color w:val="auto"/>
        </w:rPr>
      </w:pPr>
      <w:r>
        <w:rPr>
          <w:rFonts w:ascii="Arial" w:cs="Arial" w:eastAsia="Arial" w:hAnsi="Arial"/>
          <w:sz w:val="16"/>
          <w:szCs w:val="16"/>
          <w:color w:val="auto"/>
        </w:rPr>
        <w:t>On May 15, 2013, the Company concluded that under generally accepted accounting principles a material impairment charge of approximately $16 million will be recorded in the Company's third fiscal quarter ended April 30, 2013. The impairment charge relates to the Company's plan to divest the Company's Asia-based Die-Cut business, as announced by the Company on May 16, 2013. In conjunction with this plan of sale, the Company is reporting the financial results of the Die-Cut business, as well as the financial results of the three businesses disposed of within the last year, Etimark, Varitronics, and Brady Medical, as discontinued operations on the condensed consolidated statements of income for the third quarter ended April 30, 2013.</w:t>
      </w:r>
    </w:p>
    <w:p>
      <w:pPr>
        <w:spacing w:after="0" w:line="169" w:lineRule="exact"/>
        <w:rPr>
          <w:sz w:val="20"/>
          <w:szCs w:val="20"/>
          <w:color w:val="auto"/>
        </w:rPr>
      </w:pPr>
    </w:p>
    <w:p>
      <w:pPr>
        <w:jc w:val="both"/>
        <w:ind w:left="4" w:firstLine="579"/>
        <w:spacing w:after="0" w:line="304" w:lineRule="auto"/>
        <w:rPr>
          <w:sz w:val="20"/>
          <w:szCs w:val="20"/>
          <w:color w:val="auto"/>
        </w:rPr>
      </w:pPr>
      <w:r>
        <w:rPr>
          <w:rFonts w:ascii="Arial" w:cs="Arial" w:eastAsia="Arial" w:hAnsi="Arial"/>
          <w:sz w:val="14"/>
          <w:szCs w:val="14"/>
          <w:color w:val="auto"/>
        </w:rPr>
        <w:t>The assets of the Asia-based Die-Cut business are located within several countries in North and South Asia, and include property, plant and equipment, accounts receivable, inventory and intangible assets. Liabilities of the business include normal trade payables and accrued expenses. The Company took this action to focus on its core Identifications Solutions and Workplace Safety businesses. Under generally accepted accounting principles, the plan of divestiture requires the Company to report the Asia-based Die-Cut business as a disposal group held for sale at approximate fair value less cost to sell, which results in a non-cash write-down on the carrying value of the assets of approximately $16 million, recorded in the Company's third quarter ended April 30, 2013. Future cash expenditures related to the disposal actions are expected to be immaterial.</w:t>
      </w:r>
    </w:p>
    <w:p>
      <w:pPr>
        <w:spacing w:after="0" w:line="138" w:lineRule="exact"/>
        <w:rPr>
          <w:sz w:val="20"/>
          <w:szCs w:val="20"/>
          <w:color w:val="auto"/>
        </w:rPr>
      </w:pPr>
    </w:p>
    <w:p>
      <w:pPr>
        <w:jc w:val="both"/>
        <w:ind w:left="4" w:right="20" w:firstLine="579"/>
        <w:spacing w:after="0" w:line="279" w:lineRule="auto"/>
        <w:rPr>
          <w:sz w:val="20"/>
          <w:szCs w:val="20"/>
          <w:color w:val="auto"/>
        </w:rPr>
      </w:pPr>
      <w:r>
        <w:rPr>
          <w:rFonts w:ascii="Arial" w:cs="Arial" w:eastAsia="Arial" w:hAnsi="Arial"/>
          <w:sz w:val="16"/>
          <w:szCs w:val="16"/>
          <w:color w:val="auto"/>
        </w:rPr>
        <w:t>The press releases issued by the Company relating to third quarter fiscal 2013 financial results and the plan to divest the Asia-based Die Cut business are furnished to the Securities and Exchange Commission as Exhibits 99.1 and 99.3, respectively, attached hereto and are incorporated herein by reference.</w:t>
      </w:r>
    </w:p>
    <w:p>
      <w:pPr>
        <w:spacing w:after="0" w:line="296" w:lineRule="exact"/>
        <w:rPr>
          <w:sz w:val="20"/>
          <w:szCs w:val="20"/>
          <w:color w:val="auto"/>
        </w:rPr>
      </w:pPr>
    </w:p>
    <w:p>
      <w:pPr>
        <w:ind w:left="24"/>
        <w:spacing w:after="0"/>
        <w:tabs>
          <w:tab w:leader="none" w:pos="803" w:val="left"/>
        </w:tabs>
        <w:rPr>
          <w:sz w:val="20"/>
          <w:szCs w:val="20"/>
          <w:color w:val="auto"/>
        </w:rPr>
      </w:pPr>
      <w:r>
        <w:rPr>
          <w:rFonts w:ascii="Arial" w:cs="Arial" w:eastAsia="Arial" w:hAnsi="Arial"/>
          <w:sz w:val="16"/>
          <w:szCs w:val="16"/>
          <w:color w:val="auto"/>
        </w:rPr>
        <w:t>Item 5.02</w:t>
      </w:r>
      <w:r>
        <w:rPr>
          <w:sz w:val="20"/>
          <w:szCs w:val="20"/>
          <w:color w:val="auto"/>
        </w:rPr>
        <w:tab/>
      </w:r>
      <w:r>
        <w:rPr>
          <w:rFonts w:ascii="Arial" w:cs="Arial" w:eastAsia="Arial" w:hAnsi="Arial"/>
          <w:sz w:val="15"/>
          <w:szCs w:val="15"/>
          <w:color w:val="auto"/>
        </w:rPr>
        <w:t>DEPARTURE OF DIRECTORS OR CERTAIN OFFICERS; ELECTION OF DIRECTORS; APPOINTMENT OF</w:t>
      </w:r>
    </w:p>
    <w:p>
      <w:pPr>
        <w:spacing w:after="0" w:line="21" w:lineRule="exact"/>
        <w:rPr>
          <w:sz w:val="20"/>
          <w:szCs w:val="20"/>
          <w:color w:val="auto"/>
        </w:rPr>
      </w:pPr>
    </w:p>
    <w:p>
      <w:pPr>
        <w:ind w:left="824"/>
        <w:spacing w:after="0"/>
        <w:rPr>
          <w:sz w:val="20"/>
          <w:szCs w:val="20"/>
          <w:color w:val="auto"/>
        </w:rPr>
      </w:pPr>
      <w:r>
        <w:rPr>
          <w:rFonts w:ascii="Arial" w:cs="Arial" w:eastAsia="Arial" w:hAnsi="Arial"/>
          <w:sz w:val="16"/>
          <w:szCs w:val="16"/>
          <w:color w:val="auto"/>
        </w:rPr>
        <w:t>CERTAIN OFFICERS; COMPENSATORY ARRANGEMENTS OF CERTAIN OFFICERS</w:t>
      </w:r>
    </w:p>
    <w:p>
      <w:pPr>
        <w:spacing w:after="0" w:line="214" w:lineRule="exact"/>
        <w:rPr>
          <w:sz w:val="20"/>
          <w:szCs w:val="20"/>
          <w:color w:val="auto"/>
        </w:rPr>
      </w:pPr>
    </w:p>
    <w:p>
      <w:pPr>
        <w:jc w:val="both"/>
        <w:ind w:left="4" w:firstLine="579"/>
        <w:spacing w:after="0" w:line="261" w:lineRule="auto"/>
        <w:rPr>
          <w:sz w:val="20"/>
          <w:szCs w:val="20"/>
          <w:color w:val="auto"/>
        </w:rPr>
      </w:pPr>
      <w:r>
        <w:rPr>
          <w:rFonts w:ascii="Arial" w:cs="Arial" w:eastAsia="Arial" w:hAnsi="Arial"/>
          <w:sz w:val="16"/>
          <w:szCs w:val="16"/>
          <w:color w:val="auto"/>
        </w:rPr>
        <w:t>On May 14, 2013, the Management Development and Compensation Committee of the Board of Directors of the Company approved the following modifications to the compensation arrangement with Scott Hoffman in connection with his recently announced appointment as President - Workplace Safety: (i) increase in annual base salary to $300,000, with eligibility for an annual bonus at 70% of base salary; and (ii) authorization to enter into an amended Change of Control Agreement with Mr. Hoffman providing for the payment of two years of base salary and bonus.</w:t>
      </w:r>
    </w:p>
    <w:p>
      <w:pPr>
        <w:spacing w:after="0" w:line="309" w:lineRule="exact"/>
        <w:rPr>
          <w:sz w:val="20"/>
          <w:szCs w:val="20"/>
          <w:color w:val="auto"/>
        </w:rPr>
      </w:pPr>
    </w:p>
    <w:p>
      <w:pPr>
        <w:ind w:left="24"/>
        <w:spacing w:after="0"/>
        <w:tabs>
          <w:tab w:leader="none" w:pos="1043"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50" w:lineRule="exact"/>
        <w:rPr>
          <w:sz w:val="20"/>
          <w:szCs w:val="20"/>
          <w:color w:val="auto"/>
        </w:rPr>
      </w:pPr>
    </w:p>
    <w:p>
      <w:pPr>
        <w:ind w:left="804" w:hanging="804"/>
        <w:spacing w:after="0"/>
        <w:tabs>
          <w:tab w:leader="none" w:pos="804"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are filed as Exhibits to this Report.</w:t>
      </w:r>
    </w:p>
    <w:p>
      <w:pPr>
        <w:spacing w:after="0" w:line="347"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1260" w:type="dxa"/>
            <w:vAlign w:val="bottom"/>
            <w:gridSpan w:val="2"/>
          </w:tcPr>
          <w:p>
            <w:pPr>
              <w:ind w:left="20"/>
              <w:spacing w:after="0"/>
              <w:rPr>
                <w:sz w:val="20"/>
                <w:szCs w:val="20"/>
                <w:color w:val="auto"/>
              </w:rPr>
            </w:pPr>
            <w:r>
              <w:rPr>
                <w:rFonts w:ascii="Arial" w:cs="Arial" w:eastAsia="Arial" w:hAnsi="Arial"/>
                <w:sz w:val="16"/>
                <w:szCs w:val="16"/>
                <w:color w:val="auto"/>
              </w:rPr>
              <w:t>Exhibit No.</w:t>
            </w:r>
          </w:p>
        </w:tc>
        <w:tc>
          <w:tcPr>
            <w:tcW w:w="10180" w:type="dxa"/>
            <w:vAlign w:val="bottom"/>
          </w:tcPr>
          <w:p>
            <w:pPr>
              <w:ind w:left="20"/>
              <w:spacing w:after="0"/>
              <w:rPr>
                <w:sz w:val="20"/>
                <w:szCs w:val="20"/>
                <w:color w:val="auto"/>
              </w:rPr>
            </w:pPr>
            <w:r>
              <w:rPr>
                <w:rFonts w:ascii="Arial" w:cs="Arial" w:eastAsia="Arial" w:hAnsi="Arial"/>
                <w:sz w:val="16"/>
                <w:szCs w:val="16"/>
                <w:color w:val="auto"/>
              </w:rPr>
              <w:t>Description of Exhibit</w:t>
            </w:r>
          </w:p>
        </w:tc>
      </w:tr>
      <w:tr>
        <w:trPr>
          <w:trHeight w:val="24"/>
        </w:trPr>
        <w:tc>
          <w:tcPr>
            <w:tcW w:w="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180" w:type="dxa"/>
            <w:vAlign w:val="bottom"/>
            <w:tcBorders>
              <w:bottom w:val="single" w:sz="8" w:color="auto"/>
            </w:tcBorders>
          </w:tcPr>
          <w:p>
            <w:pPr>
              <w:spacing w:after="0"/>
              <w:rPr>
                <w:sz w:val="2"/>
                <w:szCs w:val="2"/>
                <w:color w:val="auto"/>
              </w:rPr>
            </w:pPr>
          </w:p>
        </w:tc>
      </w:tr>
      <w:tr>
        <w:trPr>
          <w:trHeight w:val="498"/>
        </w:trPr>
        <w:tc>
          <w:tcPr>
            <w:tcW w:w="920" w:type="dxa"/>
            <w:vAlign w:val="bottom"/>
          </w:tcPr>
          <w:p>
            <w:pPr>
              <w:ind w:left="20"/>
              <w:spacing w:after="0"/>
              <w:rPr>
                <w:sz w:val="20"/>
                <w:szCs w:val="20"/>
                <w:color w:val="auto"/>
              </w:rPr>
            </w:pPr>
            <w:r>
              <w:rPr>
                <w:rFonts w:ascii="Arial" w:cs="Arial" w:eastAsia="Arial" w:hAnsi="Arial"/>
                <w:sz w:val="16"/>
                <w:szCs w:val="16"/>
                <w:color w:val="auto"/>
              </w:rPr>
              <w:t>99.1</w:t>
            </w:r>
          </w:p>
        </w:tc>
        <w:tc>
          <w:tcPr>
            <w:tcW w:w="340" w:type="dxa"/>
            <w:vAlign w:val="bottom"/>
          </w:tcPr>
          <w:p>
            <w:pPr>
              <w:spacing w:after="0"/>
              <w:rPr>
                <w:sz w:val="24"/>
                <w:szCs w:val="24"/>
                <w:color w:val="auto"/>
              </w:rPr>
            </w:pPr>
          </w:p>
        </w:tc>
        <w:tc>
          <w:tcPr>
            <w:tcW w:w="10180" w:type="dxa"/>
            <w:vAlign w:val="bottom"/>
          </w:tcPr>
          <w:p>
            <w:pPr>
              <w:ind w:left="20"/>
              <w:spacing w:after="0"/>
              <w:rPr>
                <w:sz w:val="20"/>
                <w:szCs w:val="20"/>
                <w:color w:val="auto"/>
              </w:rPr>
            </w:pPr>
            <w:r>
              <w:rPr>
                <w:rFonts w:ascii="Arial" w:cs="Arial" w:eastAsia="Arial" w:hAnsi="Arial"/>
                <w:sz w:val="16"/>
                <w:szCs w:val="16"/>
                <w:color w:val="auto"/>
              </w:rPr>
              <w:t>Press Release of Brady Corporation, dated May 16, 2013, relating to third quarter fiscal 2013 financial results.</w:t>
            </w:r>
          </w:p>
        </w:tc>
      </w:tr>
      <w:tr>
        <w:trPr>
          <w:trHeight w:val="241"/>
        </w:trPr>
        <w:tc>
          <w:tcPr>
            <w:tcW w:w="920" w:type="dxa"/>
            <w:vAlign w:val="bottom"/>
          </w:tcPr>
          <w:p>
            <w:pPr>
              <w:ind w:left="20"/>
              <w:spacing w:after="0"/>
              <w:rPr>
                <w:sz w:val="20"/>
                <w:szCs w:val="20"/>
                <w:color w:val="auto"/>
              </w:rPr>
            </w:pPr>
            <w:r>
              <w:rPr>
                <w:rFonts w:ascii="Arial" w:cs="Arial" w:eastAsia="Arial" w:hAnsi="Arial"/>
                <w:sz w:val="16"/>
                <w:szCs w:val="16"/>
                <w:color w:val="auto"/>
              </w:rPr>
              <w:t>99.2</w:t>
            </w:r>
          </w:p>
        </w:tc>
        <w:tc>
          <w:tcPr>
            <w:tcW w:w="34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6"/>
                <w:szCs w:val="16"/>
                <w:color w:val="auto"/>
              </w:rPr>
              <w:t>Informational slides provided by Brady Corporation, dated May 16, 2013, relating to third quarter fiscal 2013 financial results.</w:t>
            </w:r>
          </w:p>
        </w:tc>
      </w:tr>
      <w:tr>
        <w:trPr>
          <w:trHeight w:val="241"/>
        </w:trPr>
        <w:tc>
          <w:tcPr>
            <w:tcW w:w="920" w:type="dxa"/>
            <w:vAlign w:val="bottom"/>
          </w:tcPr>
          <w:p>
            <w:pPr>
              <w:ind w:left="20"/>
              <w:spacing w:after="0"/>
              <w:rPr>
                <w:sz w:val="20"/>
                <w:szCs w:val="20"/>
                <w:color w:val="auto"/>
              </w:rPr>
            </w:pPr>
            <w:r>
              <w:rPr>
                <w:rFonts w:ascii="Arial" w:cs="Arial" w:eastAsia="Arial" w:hAnsi="Arial"/>
                <w:sz w:val="16"/>
                <w:szCs w:val="16"/>
                <w:color w:val="auto"/>
              </w:rPr>
              <w:t>99.3</w:t>
            </w:r>
          </w:p>
        </w:tc>
        <w:tc>
          <w:tcPr>
            <w:tcW w:w="34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6"/>
                <w:szCs w:val="16"/>
                <w:color w:val="auto"/>
              </w:rPr>
              <w:t>Press Release of Brady Corporation, dated May 16, 2013, relating to plan to divest Asia-based Die-Cut business.</w:t>
            </w:r>
          </w:p>
        </w:tc>
      </w:tr>
    </w:tbl>
    <w:p>
      <w:pPr>
        <w:sectPr>
          <w:pgSz w:w="11900" w:h="16838" w:orient="portrait"/>
          <w:cols w:equalWidth="0" w:num="1">
            <w:col w:w="11444"/>
          </w:cols>
          <w:pgMar w:left="236" w:top="682"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BRADY CORPORATION</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May 16, 2013</w:t>
      </w:r>
    </w:p>
    <w:p>
      <w:pPr>
        <w:spacing w:after="0" w:line="34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29210</wp:posOffset>
            </wp:positionV>
            <wp:extent cx="33013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1365" cy="7620"/>
                    </a:xfrm>
                    <a:prstGeom prst="rect">
                      <a:avLst/>
                    </a:prstGeom>
                    <a:noFill/>
                  </pic:spPr>
                </pic:pic>
              </a:graphicData>
            </a:graphic>
          </wp:anchor>
        </w:drawing>
      </w:r>
    </w:p>
    <w:p>
      <w:pPr>
        <w:spacing w:after="0" w:line="4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Thomas J. Felmer</w:t>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Senior Vice President &amp;</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40"/>
          </w:cols>
          <w:pgMar w:left="240" w:top="53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40" w:type="dxa"/>
            <w:vAlign w:val="bottom"/>
          </w:tcPr>
          <w:p>
            <w:pPr>
              <w:ind w:left="3520"/>
              <w:spacing w:after="0"/>
              <w:rPr>
                <w:sz w:val="20"/>
                <w:szCs w:val="20"/>
                <w:color w:val="auto"/>
              </w:rPr>
            </w:pPr>
            <w:r>
              <w:rPr>
                <w:rFonts w:ascii="Arial" w:cs="Arial" w:eastAsia="Arial" w:hAnsi="Arial"/>
                <w:sz w:val="16"/>
                <w:szCs w:val="16"/>
                <w:color w:val="auto"/>
              </w:rPr>
              <w:t>EXHIBIT INDEX</w:t>
            </w:r>
          </w:p>
        </w:tc>
      </w:tr>
      <w:tr>
        <w:trPr>
          <w:trHeight w:val="518"/>
        </w:trPr>
        <w:tc>
          <w:tcPr>
            <w:tcW w:w="1600" w:type="dxa"/>
            <w:vAlign w:val="bottom"/>
            <w:gridSpan w:val="2"/>
          </w:tcPr>
          <w:p>
            <w:pPr>
              <w:ind w:left="20"/>
              <w:spacing w:after="0"/>
              <w:rPr>
                <w:sz w:val="20"/>
                <w:szCs w:val="20"/>
                <w:color w:val="auto"/>
              </w:rPr>
            </w:pPr>
            <w:r>
              <w:rPr>
                <w:rFonts w:ascii="Arial" w:cs="Arial" w:eastAsia="Arial" w:hAnsi="Arial"/>
                <w:sz w:val="16"/>
                <w:szCs w:val="16"/>
                <w:color w:val="auto"/>
              </w:rPr>
              <w:t>EXHIBIT</w:t>
            </w:r>
          </w:p>
        </w:tc>
        <w:tc>
          <w:tcPr>
            <w:tcW w:w="9840" w:type="dxa"/>
            <w:vAlign w:val="bottom"/>
          </w:tcPr>
          <w:p>
            <w:pPr>
              <w:spacing w:after="0"/>
              <w:rPr>
                <w:sz w:val="24"/>
                <w:szCs w:val="24"/>
                <w:color w:val="auto"/>
              </w:rPr>
            </w:pPr>
          </w:p>
        </w:tc>
      </w:tr>
      <w:tr>
        <w:trPr>
          <w:trHeight w:val="205"/>
        </w:trPr>
        <w:tc>
          <w:tcPr>
            <w:tcW w:w="1600" w:type="dxa"/>
            <w:vAlign w:val="bottom"/>
            <w:gridSpan w:val="2"/>
          </w:tcPr>
          <w:p>
            <w:pPr>
              <w:ind w:left="20"/>
              <w:spacing w:after="0"/>
              <w:rPr>
                <w:sz w:val="20"/>
                <w:szCs w:val="20"/>
                <w:color w:val="auto"/>
              </w:rPr>
            </w:pPr>
            <w:r>
              <w:rPr>
                <w:rFonts w:ascii="Arial" w:cs="Arial" w:eastAsia="Arial" w:hAnsi="Arial"/>
                <w:sz w:val="16"/>
                <w:szCs w:val="16"/>
                <w:color w:val="auto"/>
              </w:rPr>
              <w:t>NUMBER</w:t>
            </w:r>
          </w:p>
        </w:tc>
        <w:tc>
          <w:tcPr>
            <w:tcW w:w="9840" w:type="dxa"/>
            <w:vAlign w:val="bottom"/>
          </w:tcPr>
          <w:p>
            <w:pPr>
              <w:ind w:left="20"/>
              <w:spacing w:after="0"/>
              <w:rPr>
                <w:sz w:val="20"/>
                <w:szCs w:val="20"/>
                <w:color w:val="auto"/>
              </w:rPr>
            </w:pPr>
            <w:r>
              <w:rPr>
                <w:rFonts w:ascii="Arial" w:cs="Arial" w:eastAsia="Arial" w:hAnsi="Arial"/>
                <w:sz w:val="16"/>
                <w:szCs w:val="16"/>
                <w:color w:val="auto"/>
              </w:rPr>
              <w:t>DESCRIPTION</w:t>
            </w:r>
          </w:p>
        </w:tc>
      </w:tr>
      <w:tr>
        <w:trPr>
          <w:trHeight w:val="24"/>
        </w:trPr>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r>
        <w:trPr>
          <w:trHeight w:val="498"/>
        </w:trPr>
        <w:tc>
          <w:tcPr>
            <w:tcW w:w="1260" w:type="dxa"/>
            <w:vAlign w:val="bottom"/>
          </w:tcPr>
          <w:p>
            <w:pPr>
              <w:ind w:left="20"/>
              <w:spacing w:after="0"/>
              <w:rPr>
                <w:sz w:val="20"/>
                <w:szCs w:val="20"/>
                <w:color w:val="auto"/>
              </w:rPr>
            </w:pPr>
            <w:r>
              <w:rPr>
                <w:rFonts w:ascii="Arial" w:cs="Arial" w:eastAsia="Arial" w:hAnsi="Arial"/>
                <w:sz w:val="16"/>
                <w:szCs w:val="16"/>
                <w:color w:val="auto"/>
              </w:rPr>
              <w:t>99.1</w:t>
            </w:r>
          </w:p>
        </w:tc>
        <w:tc>
          <w:tcPr>
            <w:tcW w:w="34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rPr>
              <w:t>Press Release of Brady Corporation, dated May 16, 2013, relating to third quarter fiscal 2013 financial results.</w:t>
            </w:r>
          </w:p>
        </w:tc>
      </w:tr>
      <w:tr>
        <w:trPr>
          <w:trHeight w:val="241"/>
        </w:trPr>
        <w:tc>
          <w:tcPr>
            <w:tcW w:w="1260" w:type="dxa"/>
            <w:vAlign w:val="bottom"/>
          </w:tcPr>
          <w:p>
            <w:pPr>
              <w:ind w:left="20"/>
              <w:spacing w:after="0"/>
              <w:rPr>
                <w:sz w:val="20"/>
                <w:szCs w:val="20"/>
                <w:color w:val="auto"/>
              </w:rPr>
            </w:pPr>
            <w:r>
              <w:rPr>
                <w:rFonts w:ascii="Arial" w:cs="Arial" w:eastAsia="Arial" w:hAnsi="Arial"/>
                <w:sz w:val="16"/>
                <w:szCs w:val="16"/>
                <w:color w:val="auto"/>
              </w:rPr>
              <w:t>99.2</w:t>
            </w:r>
          </w:p>
        </w:tc>
        <w:tc>
          <w:tcPr>
            <w:tcW w:w="34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rPr>
              <w:t>Informational slides provided by Brady Corporation, dated May 16, 2013, relating to third quarter fiscal 2013 financial results.</w:t>
            </w:r>
          </w:p>
        </w:tc>
      </w:tr>
      <w:tr>
        <w:trPr>
          <w:trHeight w:val="241"/>
        </w:trPr>
        <w:tc>
          <w:tcPr>
            <w:tcW w:w="1260" w:type="dxa"/>
            <w:vAlign w:val="bottom"/>
          </w:tcPr>
          <w:p>
            <w:pPr>
              <w:ind w:left="20"/>
              <w:spacing w:after="0"/>
              <w:rPr>
                <w:sz w:val="20"/>
                <w:szCs w:val="20"/>
                <w:color w:val="auto"/>
              </w:rPr>
            </w:pPr>
            <w:r>
              <w:rPr>
                <w:rFonts w:ascii="Arial" w:cs="Arial" w:eastAsia="Arial" w:hAnsi="Arial"/>
                <w:sz w:val="16"/>
                <w:szCs w:val="16"/>
                <w:color w:val="auto"/>
              </w:rPr>
              <w:t>99.3</w:t>
            </w:r>
          </w:p>
        </w:tc>
        <w:tc>
          <w:tcPr>
            <w:tcW w:w="34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rPr>
              <w:t>Press Release of Brady Corporation, dated May 16, 2013, relating to plan to divest Asia-based Die-Cut business.</w:t>
            </w:r>
          </w:p>
        </w:tc>
      </w:tr>
    </w:tbl>
    <w:p>
      <w:pPr>
        <w:sectPr>
          <w:pgSz w:w="11900" w:h="16838" w:orient="portrait"/>
          <w:cols w:equalWidth="0" w:num="1">
            <w:col w:w="11440"/>
          </w:cols>
          <w:pgMar w:left="240" w:top="53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rPr>
          <w:sz w:val="20"/>
          <w:szCs w:val="20"/>
          <w:color w:val="auto"/>
        </w:rPr>
      </w:pPr>
      <w:r>
        <w:rPr>
          <w:rFonts w:ascii="Arial" w:cs="Arial" w:eastAsia="Arial" w:hAnsi="Arial"/>
          <w:sz w:val="18"/>
          <w:szCs w:val="18"/>
          <w:color w:val="auto"/>
        </w:rPr>
        <w:t>Media contact: Carole Herbstreit 414-438-6882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2013 Third Quarter Results</w:t>
      </w:r>
    </w:p>
    <w:p>
      <w:pPr>
        <w:spacing w:after="0" w:line="257" w:lineRule="exact"/>
        <w:rPr>
          <w:sz w:val="20"/>
          <w:szCs w:val="20"/>
          <w:color w:val="auto"/>
        </w:rPr>
      </w:pPr>
    </w:p>
    <w:p>
      <w:pPr>
        <w:ind w:right="20"/>
        <w:spacing w:after="0" w:line="368" w:lineRule="auto"/>
        <w:rPr>
          <w:sz w:val="20"/>
          <w:szCs w:val="20"/>
          <w:color w:val="auto"/>
        </w:rPr>
      </w:pPr>
      <w:r>
        <w:rPr>
          <w:rFonts w:ascii="Arial" w:cs="Arial" w:eastAsia="Arial" w:hAnsi="Arial"/>
          <w:sz w:val="18"/>
          <w:szCs w:val="18"/>
          <w:color w:val="auto"/>
        </w:rPr>
        <w:t>MILWAUKEE (May 16, 2013)--Brady Corporation (NYSE: BRC) (“Brady”), a world leader in identification solutions, today reported its financial results for the fiscal 2013 third quarter ended April 30, 2013.</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April 30, 2013 Financial Results:</w:t>
      </w:r>
    </w:p>
    <w:p>
      <w:pPr>
        <w:spacing w:after="0" w:line="101" w:lineRule="exact"/>
        <w:rPr>
          <w:sz w:val="20"/>
          <w:szCs w:val="20"/>
          <w:color w:val="auto"/>
        </w:rPr>
      </w:pPr>
    </w:p>
    <w:p>
      <w:pPr>
        <w:ind w:right="200" w:firstLine="579"/>
        <w:spacing w:after="0" w:line="349" w:lineRule="auto"/>
        <w:rPr>
          <w:sz w:val="20"/>
          <w:szCs w:val="20"/>
          <w:color w:val="auto"/>
        </w:rPr>
      </w:pPr>
      <w:r>
        <w:rPr>
          <w:rFonts w:ascii="Arial" w:cs="Arial" w:eastAsia="Arial" w:hAnsi="Arial"/>
          <w:sz w:val="18"/>
          <w:szCs w:val="18"/>
          <w:color w:val="auto"/>
        </w:rPr>
        <w:t>The company continued its portfolio realignment process by announcing plans to sell its Asia-based Die-Cut business which was outlined in a separate press release on May 16, 2013. Accordingly, the company has recast its financial statements to report the financial results of the Die-Cut business on one line item in the accompanying condensed consolidated statements of income.</w:t>
      </w:r>
    </w:p>
    <w:p>
      <w:pPr>
        <w:spacing w:after="0" w:line="2" w:lineRule="exact"/>
        <w:rPr>
          <w:sz w:val="20"/>
          <w:szCs w:val="20"/>
          <w:color w:val="auto"/>
        </w:rPr>
      </w:pPr>
    </w:p>
    <w:p>
      <w:pPr>
        <w:ind w:right="100" w:firstLine="579"/>
        <w:spacing w:after="0" w:line="419" w:lineRule="auto"/>
        <w:rPr>
          <w:sz w:val="20"/>
          <w:szCs w:val="20"/>
          <w:color w:val="auto"/>
        </w:rPr>
      </w:pPr>
      <w:r>
        <w:rPr>
          <w:rFonts w:ascii="Arial" w:cs="Arial" w:eastAsia="Arial" w:hAnsi="Arial"/>
          <w:sz w:val="15"/>
          <w:szCs w:val="15"/>
          <w:color w:val="auto"/>
        </w:rPr>
        <w:t>Sales from continuing operations for the fiscal 2013 third quarter were up 11.0 percent to $305.7 million compared to $275.4 million in the third quarter of fiscal 2012. Organic sales were down 4.7 percent, acquisitions added 16.8 percent, and the impact of foreign currency translation decreased sales by 1.1 percent. By segment, organic sales decreased 2.9 percent in the Americas, 4.8 percent in EMEA and 11.6 percent in the Asia-Pacific region.</w:t>
      </w:r>
    </w:p>
    <w:p>
      <w:pPr>
        <w:spacing w:after="0" w:line="1" w:lineRule="exact"/>
        <w:rPr>
          <w:sz w:val="20"/>
          <w:szCs w:val="20"/>
          <w:color w:val="auto"/>
        </w:rPr>
      </w:pPr>
    </w:p>
    <w:p>
      <w:pPr>
        <w:ind w:right="20" w:firstLine="579"/>
        <w:spacing w:after="0" w:line="349" w:lineRule="auto"/>
        <w:rPr>
          <w:sz w:val="20"/>
          <w:szCs w:val="20"/>
          <w:color w:val="auto"/>
        </w:rPr>
      </w:pPr>
      <w:r>
        <w:rPr>
          <w:rFonts w:ascii="Arial" w:cs="Arial" w:eastAsia="Arial" w:hAnsi="Arial"/>
          <w:sz w:val="18"/>
          <w:szCs w:val="18"/>
          <w:color w:val="auto"/>
        </w:rPr>
        <w:t>Net earnings from continuing operations in the fiscal 2013 third quarter were $21.8 million compared to $28.0 million in the same quarter last year. Non-GAAP net earnings from continuing operations* were $28.7 million in the third quarter of fiscal 2013, compared to $29.9 million in the third quarter of fiscal 2012.</w:t>
      </w:r>
    </w:p>
    <w:p>
      <w:pPr>
        <w:spacing w:after="0" w:line="2" w:lineRule="exact"/>
        <w:rPr>
          <w:sz w:val="20"/>
          <w:szCs w:val="20"/>
          <w:color w:val="auto"/>
        </w:rPr>
      </w:pPr>
    </w:p>
    <w:p>
      <w:pPr>
        <w:ind w:right="160" w:firstLine="579"/>
        <w:spacing w:after="0" w:line="359" w:lineRule="auto"/>
        <w:rPr>
          <w:sz w:val="20"/>
          <w:szCs w:val="20"/>
          <w:color w:val="auto"/>
        </w:rPr>
      </w:pPr>
      <w:r>
        <w:rPr>
          <w:rFonts w:ascii="Arial" w:cs="Arial" w:eastAsia="Arial" w:hAnsi="Arial"/>
          <w:sz w:val="18"/>
          <w:szCs w:val="18"/>
          <w:color w:val="auto"/>
        </w:rPr>
        <w:t>Earnings from continuing operations per diluted Class A Nonvoting Common Share were $0.42 in the third quarter of fiscal 2013 compared to $0.53 in the same quarter last year. Non-GAAP earnings from continuing operations per diluted Class A Nonvoting Common Share* were $0.55 in the third quarter of fiscal 2013, compared to $0.56 in the same quarter of fiscal 2012.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April 30, 2013 Financial Results:</w:t>
      </w:r>
    </w:p>
    <w:p>
      <w:pPr>
        <w:spacing w:after="0" w:line="101" w:lineRule="exact"/>
        <w:rPr>
          <w:sz w:val="20"/>
          <w:szCs w:val="20"/>
          <w:color w:val="auto"/>
        </w:rPr>
      </w:pPr>
    </w:p>
    <w:p>
      <w:pPr>
        <w:jc w:val="both"/>
        <w:ind w:right="280" w:firstLine="579"/>
        <w:spacing w:after="0" w:line="419" w:lineRule="auto"/>
        <w:rPr>
          <w:sz w:val="20"/>
          <w:szCs w:val="20"/>
          <w:color w:val="auto"/>
        </w:rPr>
      </w:pPr>
      <w:r>
        <w:rPr>
          <w:rFonts w:ascii="Arial" w:cs="Arial" w:eastAsia="Arial" w:hAnsi="Arial"/>
          <w:sz w:val="15"/>
          <w:szCs w:val="15"/>
          <w:color w:val="auto"/>
        </w:rPr>
        <w:t>Sales for the nine-month period ended April 30, 2013 were up 5.3 percent to $856.4 million compared to $813.6 million in the same period last year. Organic sales were down 2.7 percent, acquisitions added 9.3 percent to sales and the impact of foreign currency translation decreased sales by 1.3 percent. By segment, organic sales decreased 0.7 percent in the Americas, 4.2 percent in EMEA and 6.8 percent in the Asia-Pacific region.</w:t>
      </w:r>
    </w:p>
    <w:p>
      <w:pPr>
        <w:spacing w:after="0" w:line="1" w:lineRule="exact"/>
        <w:rPr>
          <w:sz w:val="20"/>
          <w:szCs w:val="20"/>
          <w:color w:val="auto"/>
        </w:rPr>
      </w:pPr>
    </w:p>
    <w:p>
      <w:pPr>
        <w:jc w:val="both"/>
        <w:ind w:right="440" w:firstLine="579"/>
        <w:spacing w:after="0" w:line="349" w:lineRule="auto"/>
        <w:rPr>
          <w:sz w:val="20"/>
          <w:szCs w:val="20"/>
          <w:color w:val="auto"/>
        </w:rPr>
      </w:pPr>
      <w:r>
        <w:rPr>
          <w:rFonts w:ascii="Arial" w:cs="Arial" w:eastAsia="Arial" w:hAnsi="Arial"/>
          <w:sz w:val="18"/>
          <w:szCs w:val="18"/>
          <w:color w:val="auto"/>
        </w:rPr>
        <w:t>Net earnings from continuing operations for the nine-month period ended April 30, 2013 were $37.7 million compared to $84.3 million in the same period in fiscal 2012. Non-GAAP net earnings from continuing operations* were $75.1 million in the nine-month period ended April 30, 2013 compared to $86.1 million in the same period of fiscal 2012.</w:t>
      </w:r>
    </w:p>
    <w:p>
      <w:pPr>
        <w:spacing w:after="0" w:line="2" w:lineRule="exact"/>
        <w:rPr>
          <w:sz w:val="20"/>
          <w:szCs w:val="20"/>
          <w:color w:val="auto"/>
        </w:rPr>
      </w:pPr>
    </w:p>
    <w:p>
      <w:pPr>
        <w:ind w:right="680" w:firstLine="579"/>
        <w:spacing w:after="0" w:line="368" w:lineRule="auto"/>
        <w:rPr>
          <w:sz w:val="20"/>
          <w:szCs w:val="20"/>
          <w:color w:val="auto"/>
        </w:rPr>
      </w:pPr>
      <w:r>
        <w:rPr>
          <w:rFonts w:ascii="Arial" w:cs="Arial" w:eastAsia="Arial" w:hAnsi="Arial"/>
          <w:sz w:val="18"/>
          <w:szCs w:val="18"/>
          <w:color w:val="auto"/>
        </w:rPr>
        <w:t>Earnings from continuing operations per diluted Class A Nonvoting Common Share were $0.73 for the nine-month period ended April 30, 2013 compared to $1.59 in the same period of fiscal 2012. Non-GAAP earnings from</w:t>
      </w:r>
    </w:p>
    <w:p>
      <w:pPr>
        <w:sectPr>
          <w:pgSz w:w="11900" w:h="16838" w:orient="portrait"/>
          <w:cols w:equalWidth="0" w:num="1">
            <w:col w:w="11440"/>
          </w:cols>
          <w:pgMar w:left="240" w:top="529" w:right="219" w:bottom="1440" w:gutter="0" w:footer="0" w:header="0"/>
        </w:sectPr>
      </w:pPr>
    </w:p>
    <w:bookmarkStart w:id="5" w:name="page6"/>
    <w:bookmarkEnd w:id="5"/>
    <w:p>
      <w:pPr>
        <w:ind w:right="360"/>
        <w:spacing w:after="0" w:line="368" w:lineRule="auto"/>
        <w:rPr>
          <w:sz w:val="20"/>
          <w:szCs w:val="20"/>
          <w:color w:val="auto"/>
        </w:rPr>
      </w:pPr>
      <w:r>
        <w:rPr>
          <w:rFonts w:ascii="Arial" w:cs="Arial" w:eastAsia="Arial" w:hAnsi="Arial"/>
          <w:sz w:val="18"/>
          <w:szCs w:val="18"/>
          <w:color w:val="auto"/>
        </w:rPr>
        <w:t>continuing operations per diluted Class A Nonvoting Common Share* were $1.45 for the nine-month period ended April 30, 2013, compared to $1.62 in the same period of fiscal 2012.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 and Guidance:</w:t>
      </w:r>
    </w:p>
    <w:p>
      <w:pPr>
        <w:spacing w:after="0" w:line="101" w:lineRule="exact"/>
        <w:rPr>
          <w:sz w:val="20"/>
          <w:szCs w:val="20"/>
          <w:color w:val="auto"/>
        </w:rPr>
      </w:pPr>
    </w:p>
    <w:p>
      <w:pPr>
        <w:ind w:right="60" w:firstLine="579"/>
        <w:spacing w:after="0" w:line="370"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222222"/>
        </w:rPr>
        <w:t>In the face of a challenging economy, we continue to position Brady for long-term success by optimizing our portfolio of businesses, aligning our</w:t>
      </w:r>
      <w:r>
        <w:rPr>
          <w:rFonts w:ascii="Arial" w:cs="Arial" w:eastAsia="Arial" w:hAnsi="Arial"/>
          <w:sz w:val="17"/>
          <w:szCs w:val="17"/>
          <w:color w:val="auto"/>
        </w:rPr>
        <w:t xml:space="preserve"> </w:t>
      </w:r>
      <w:r>
        <w:rPr>
          <w:rFonts w:ascii="Arial" w:cs="Arial" w:eastAsia="Arial" w:hAnsi="Arial"/>
          <w:sz w:val="17"/>
          <w:szCs w:val="17"/>
          <w:color w:val="222222"/>
        </w:rPr>
        <w:t>organization with growth opportunities and reducing our infrastructure costs. This morning we announced our intention to sell our Die-Cut business which will continue the process of portfolio realignment as we have already divested three businesses and acquired Precision Dynamics Corporation, a business serving the healthcare space. These portfolio adjustments will allow us to focus more on our continuing businesses of Identification Solutions and Workplace Safety</w:t>
      </w:r>
      <w:r>
        <w:rPr>
          <w:rFonts w:ascii="Arial" w:cs="Arial" w:eastAsia="Arial" w:hAnsi="Arial"/>
          <w:sz w:val="17"/>
          <w:szCs w:val="17"/>
          <w:color w:val="000000"/>
        </w:rPr>
        <w:t>,” stated</w:t>
      </w:r>
      <w:r>
        <w:rPr>
          <w:rFonts w:ascii="Arial" w:cs="Arial" w:eastAsia="Arial" w:hAnsi="Arial"/>
          <w:sz w:val="17"/>
          <w:szCs w:val="17"/>
          <w:color w:val="222222"/>
        </w:rPr>
        <w:t xml:space="preserve"> </w:t>
      </w:r>
      <w:r>
        <w:rPr>
          <w:rFonts w:ascii="Arial" w:cs="Arial" w:eastAsia="Arial" w:hAnsi="Arial"/>
          <w:sz w:val="17"/>
          <w:szCs w:val="17"/>
          <w:color w:val="000000"/>
        </w:rPr>
        <w:t>Brady's President and Chief Executive Officer, Frank M. Jaehnert. “As part of our previously announced strategy to improve organic growth and profitability, effective May 1, 2013, we are changing our organizational structure from geographically-based to an organization structured around global business platforms. We are also targeting expansion in faster-growing geographies such as Central Europe, the Middle East, Africa and selected markets in Asia; and focusing on industries such as food and beverage, chemical, oil, and gas and healthcare.</w:t>
      </w:r>
    </w:p>
    <w:p>
      <w:pPr>
        <w:spacing w:after="0" w:line="2" w:lineRule="exact"/>
        <w:rPr>
          <w:sz w:val="20"/>
          <w:szCs w:val="20"/>
          <w:color w:val="auto"/>
        </w:rPr>
      </w:pPr>
    </w:p>
    <w:p>
      <w:pPr>
        <w:jc w:val="both"/>
        <w:ind w:right="200" w:firstLine="579"/>
        <w:spacing w:after="0" w:line="419" w:lineRule="auto"/>
        <w:rPr>
          <w:sz w:val="20"/>
          <w:szCs w:val="20"/>
          <w:color w:val="auto"/>
        </w:rPr>
      </w:pPr>
      <w:r>
        <w:rPr>
          <w:rFonts w:ascii="Arial" w:cs="Arial" w:eastAsia="Arial" w:hAnsi="Arial"/>
          <w:sz w:val="15"/>
          <w:szCs w:val="15"/>
          <w:color w:val="auto"/>
        </w:rPr>
        <w:t>“In addition to improving organic growth, we believe that our reorganization around global business platforms will yield approximately $25 million to $30 million of annual pre-tax savings, approximately half of which will be reinvested into growth initiatives. We also continue to review our facility footprint and believe that we have further opportunities for rationalization as we move forward with our business reorganization and simplification.”</w:t>
      </w:r>
    </w:p>
    <w:p>
      <w:pPr>
        <w:spacing w:after="0" w:line="1" w:lineRule="exact"/>
        <w:rPr>
          <w:sz w:val="20"/>
          <w:szCs w:val="20"/>
          <w:color w:val="auto"/>
        </w:rPr>
      </w:pPr>
    </w:p>
    <w:p>
      <w:pPr>
        <w:ind w:right="60" w:firstLine="579"/>
        <w:spacing w:after="0" w:line="356" w:lineRule="auto"/>
        <w:rPr>
          <w:sz w:val="20"/>
          <w:szCs w:val="20"/>
          <w:color w:val="auto"/>
        </w:rPr>
      </w:pPr>
      <w:r>
        <w:rPr>
          <w:rFonts w:ascii="Arial" w:cs="Arial" w:eastAsia="Arial" w:hAnsi="Arial"/>
          <w:sz w:val="18"/>
          <w:szCs w:val="18"/>
          <w:color w:val="auto"/>
        </w:rPr>
        <w:t>Brady's Chief Financial Officer, Thomas J. Felmer said, “Our balance sheet remains strong. Having repaid much of the debt incurred to finance the PDC acquisition, Brady is in a solid financial position to fund future organic and inorganic growth opportunities. We expect earnings from continuing operations per diluted Class A Nonvoting Common Share to range from between $0.45 and $0.55, exclusive of restructuring charges and certain other items during our fiscal 2013 fourth quarter ending July 31, 2013.”</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2013 third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95" w:lineRule="exact"/>
        <w:rPr>
          <w:sz w:val="20"/>
          <w:szCs w:val="20"/>
          <w:color w:val="auto"/>
        </w:rPr>
      </w:pPr>
    </w:p>
    <w:p>
      <w:pPr>
        <w:ind w:firstLine="579"/>
        <w:spacing w:after="0" w:line="433" w:lineRule="auto"/>
        <w:rPr>
          <w:sz w:val="20"/>
          <w:szCs w:val="20"/>
          <w:color w:val="auto"/>
        </w:rPr>
      </w:pPr>
      <w:r>
        <w:rPr>
          <w:rFonts w:ascii="Arial" w:cs="Arial" w:eastAsia="Arial" w:hAnsi="Arial"/>
          <w:sz w:val="15"/>
          <w:szCs w:val="15"/>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as of January 31, 2013 employed approximately 8,200 people at operations in the Americas, EMEA and Asia-Pacific. Brady's fiscal 2012 sales were approximately $1.32 billion. Brady stock trades on the New York Stock Exchange under the symbol BRC. More information is available on the Internet at </w:t>
      </w:r>
      <w:r>
        <w:rPr>
          <w:rFonts w:ascii="Arial" w:cs="Arial" w:eastAsia="Arial" w:hAnsi="Arial"/>
          <w:sz w:val="15"/>
          <w:szCs w:val="15"/>
          <w:u w:val="single" w:color="auto"/>
          <w:color w:val="0000FF"/>
        </w:rPr>
        <w:t>www.bradycorp.com.</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ectPr>
          <w:pgSz w:w="11900" w:h="16838" w:orient="portrait"/>
          <w:cols w:equalWidth="0" w:num="1">
            <w:col w:w="11420"/>
          </w:cols>
          <w:pgMar w:left="240" w:top="58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2012. These uncertainties may cause Brady's actual future results to be materially different than those expressed in its forward-looking statements. Brady does not undertake to update its forward-looking statements.</w:t>
      </w:r>
    </w:p>
    <w:p>
      <w:pPr>
        <w:sectPr>
          <w:pgSz w:w="11900" w:h="16838" w:orient="portrait"/>
          <w:cols w:equalWidth="0" w:num="1">
            <w:col w:w="11420"/>
          </w:cols>
          <w:pgMar w:left="240" w:top="583"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center"/>
              <w:ind w:left="468"/>
              <w:spacing w:after="0"/>
              <w:rPr>
                <w:sz w:val="20"/>
                <w:szCs w:val="20"/>
                <w:color w:val="auto"/>
              </w:rPr>
            </w:pPr>
            <w:r>
              <w:rPr>
                <w:rFonts w:ascii="Arial" w:cs="Arial" w:eastAsia="Arial" w:hAnsi="Arial"/>
                <w:sz w:val="14"/>
                <w:szCs w:val="14"/>
                <w:color w:val="auto"/>
                <w:w w:val="95"/>
              </w:rPr>
              <w:t>(Unaudited)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640" w:type="dxa"/>
            <w:vAlign w:val="bottom"/>
          </w:tcPr>
          <w:p>
            <w:pPr>
              <w:spacing w:after="0"/>
              <w:rPr>
                <w:sz w:val="15"/>
                <w:szCs w:val="15"/>
                <w:color w:val="auto"/>
              </w:rPr>
            </w:pPr>
          </w:p>
        </w:tc>
      </w:tr>
      <w:tr>
        <w:trPr>
          <w:trHeight w:val="30"/>
        </w:trPr>
        <w:tc>
          <w:tcPr>
            <w:tcW w:w="4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203"/>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color w:val="auto"/>
                <w:w w:val="95"/>
              </w:rPr>
              <w:t>Three Months Ended April 30,</w:t>
            </w:r>
          </w:p>
        </w:tc>
        <w:tc>
          <w:tcPr>
            <w:tcW w:w="140" w:type="dxa"/>
            <w:vAlign w:val="bottom"/>
          </w:tcPr>
          <w:p>
            <w:pPr>
              <w:spacing w:after="0"/>
              <w:rPr>
                <w:sz w:val="17"/>
                <w:szCs w:val="17"/>
                <w:color w:val="auto"/>
              </w:rPr>
            </w:pPr>
          </w:p>
        </w:tc>
        <w:tc>
          <w:tcPr>
            <w:tcW w:w="1920" w:type="dxa"/>
            <w:vAlign w:val="bottom"/>
            <w:gridSpan w:val="4"/>
          </w:tcPr>
          <w:p>
            <w:pPr>
              <w:jc w:val="right"/>
              <w:ind w:right="88"/>
              <w:spacing w:after="0"/>
              <w:rPr>
                <w:sz w:val="20"/>
                <w:szCs w:val="20"/>
                <w:color w:val="auto"/>
              </w:rPr>
            </w:pPr>
            <w:r>
              <w:rPr>
                <w:rFonts w:ascii="Arial" w:cs="Arial" w:eastAsia="Arial" w:hAnsi="Arial"/>
                <w:sz w:val="14"/>
                <w:szCs w:val="14"/>
                <w:color w:val="auto"/>
                <w:w w:val="97"/>
              </w:rPr>
              <w:t>Nine Months Ended April 30,</w:t>
            </w:r>
          </w:p>
        </w:tc>
      </w:tr>
      <w:tr>
        <w:trPr>
          <w:trHeight w:val="241"/>
        </w:trPr>
        <w:tc>
          <w:tcPr>
            <w:tcW w:w="4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288"/>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268"/>
              <w:spacing w:after="0"/>
              <w:rPr>
                <w:sz w:val="20"/>
                <w:szCs w:val="20"/>
                <w:color w:val="auto"/>
              </w:rPr>
            </w:pPr>
            <w:r>
              <w:rPr>
                <w:rFonts w:ascii="Arial" w:cs="Arial" w:eastAsia="Arial" w:hAnsi="Arial"/>
                <w:sz w:val="14"/>
                <w:szCs w:val="14"/>
                <w:color w:val="auto"/>
                <w:w w:val="89"/>
              </w:rPr>
              <w:t>2012</w:t>
            </w:r>
          </w:p>
        </w:tc>
      </w:tr>
      <w:tr>
        <w:trPr>
          <w:trHeight w:val="30"/>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305,737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275,388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856,408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813,573</w:t>
            </w:r>
          </w:p>
        </w:tc>
      </w:tr>
      <w:tr>
        <w:trPr>
          <w:trHeight w:val="211"/>
        </w:trPr>
        <w:tc>
          <w:tcPr>
            <w:tcW w:w="442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1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146,031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123,641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403,888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367,330</w:t>
            </w:r>
          </w:p>
        </w:tc>
      </w:tr>
      <w:tr>
        <w:trPr>
          <w:trHeight w:val="30"/>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1"/>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Gross margin</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159,706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151,747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452,520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446,243</w:t>
            </w:r>
          </w:p>
        </w:tc>
      </w:tr>
      <w:tr>
        <w:trPr>
          <w:trHeight w:val="199"/>
        </w:trPr>
        <w:tc>
          <w:tcPr>
            <w:tcW w:w="44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2"/>
        </w:trPr>
        <w:tc>
          <w:tcPr>
            <w:tcW w:w="4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1"/>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Research and development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8,062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8,200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25,657</w:t>
            </w:r>
          </w:p>
        </w:tc>
      </w:tr>
      <w:tr>
        <w:trPr>
          <w:trHeight w:val="211"/>
        </w:trPr>
        <w:tc>
          <w:tcPr>
            <w:tcW w:w="4420" w:type="dxa"/>
            <w:vAlign w:val="bottom"/>
          </w:tcPr>
          <w:p>
            <w:pPr>
              <w:ind w:left="34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112,148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98,614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321,909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293,518</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1"/>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8,540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1,977</w:t>
            </w:r>
          </w:p>
        </w:tc>
      </w:tr>
      <w:tr>
        <w:trPr>
          <w:trHeight w:val="191"/>
        </w:trPr>
        <w:tc>
          <w:tcPr>
            <w:tcW w:w="442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128,750</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108,791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356,558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321,152</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7"/>
        </w:trPr>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211"/>
        </w:trPr>
        <w:tc>
          <w:tcPr>
            <w:tcW w:w="44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30,956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42,956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95,962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125,091</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7"/>
        </w:trPr>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99"/>
        </w:trPr>
        <w:tc>
          <w:tcPr>
            <w:tcW w:w="4420" w:type="dxa"/>
            <w:vAlign w:val="bottom"/>
          </w:tcPr>
          <w:p>
            <w:pPr>
              <w:ind w:left="20"/>
              <w:spacing w:after="0"/>
              <w:rPr>
                <w:sz w:val="20"/>
                <w:szCs w:val="20"/>
                <w:color w:val="auto"/>
              </w:rPr>
            </w:pPr>
            <w:r>
              <w:rPr>
                <w:rFonts w:ascii="Arial" w:cs="Arial" w:eastAsia="Arial" w:hAnsi="Arial"/>
                <w:sz w:val="14"/>
                <w:szCs w:val="14"/>
                <w:color w:val="auto"/>
              </w:rPr>
              <w:t>Other income and (expense):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2"/>
        </w:trPr>
        <w:tc>
          <w:tcPr>
            <w:tcW w:w="4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1"/>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Investment and other income</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1,719</w:t>
            </w:r>
          </w:p>
        </w:tc>
      </w:tr>
      <w:tr>
        <w:trPr>
          <w:trHeight w:val="211"/>
        </w:trPr>
        <w:tc>
          <w:tcPr>
            <w:tcW w:w="4420" w:type="dxa"/>
            <w:vAlign w:val="bottom"/>
          </w:tcPr>
          <w:p>
            <w:pPr>
              <w:ind w:left="34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(14,715)</w:t>
            </w:r>
          </w:p>
        </w:tc>
      </w:tr>
      <w:tr>
        <w:trPr>
          <w:trHeight w:val="30"/>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49"/>
        </w:trPr>
        <w:tc>
          <w:tcPr>
            <w:tcW w:w="4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211"/>
        </w:trPr>
        <w:tc>
          <w:tcPr>
            <w:tcW w:w="442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1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27,902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39,329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85,634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112,095</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7"/>
        </w:trPr>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211"/>
        </w:trPr>
        <w:tc>
          <w:tcPr>
            <w:tcW w:w="442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6,064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47,965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27,767</w:t>
            </w:r>
          </w:p>
        </w:tc>
      </w:tr>
      <w:tr>
        <w:trPr>
          <w:trHeight w:val="30"/>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49"/>
        </w:trPr>
        <w:tc>
          <w:tcPr>
            <w:tcW w:w="4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211"/>
        </w:trPr>
        <w:tc>
          <w:tcPr>
            <w:tcW w:w="4420" w:type="dxa"/>
            <w:vAlign w:val="bottom"/>
          </w:tcPr>
          <w:p>
            <w:pPr>
              <w:ind w:left="20"/>
              <w:spacing w:after="0"/>
              <w:rPr>
                <w:sz w:val="20"/>
                <w:szCs w:val="20"/>
                <w:color w:val="auto"/>
              </w:rPr>
            </w:pPr>
            <w:r>
              <w:rPr>
                <w:rFonts w:ascii="Arial" w:cs="Arial" w:eastAsia="Arial" w:hAnsi="Arial"/>
                <w:sz w:val="14"/>
                <w:szCs w:val="14"/>
                <w:color w:val="auto"/>
              </w:rPr>
              <w:t>Net earnings from 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21,838</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28,039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37,669</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84,328</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7"/>
        </w:trPr>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211"/>
        </w:trPr>
        <w:tc>
          <w:tcPr>
            <w:tcW w:w="4420" w:type="dxa"/>
            <w:vAlign w:val="bottom"/>
          </w:tcPr>
          <w:p>
            <w:pPr>
              <w:ind w:left="20"/>
              <w:spacing w:after="0"/>
              <w:rPr>
                <w:sz w:val="20"/>
                <w:szCs w:val="20"/>
                <w:color w:val="auto"/>
              </w:rPr>
            </w:pPr>
            <w:r>
              <w:rPr>
                <w:rFonts w:ascii="Arial" w:cs="Arial" w:eastAsia="Arial" w:hAnsi="Arial"/>
                <w:sz w:val="14"/>
                <w:szCs w:val="14"/>
                <w:color w:val="auto"/>
              </w:rPr>
              <w:t>(Loss) from discontinued operations, net of income tax</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(14,933)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(113,898)</w:t>
            </w:r>
          </w:p>
        </w:tc>
      </w:tr>
      <w:tr>
        <w:trPr>
          <w:trHeight w:val="30"/>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49"/>
        </w:trPr>
        <w:tc>
          <w:tcPr>
            <w:tcW w:w="4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211"/>
        </w:trPr>
        <w:tc>
          <w:tcPr>
            <w:tcW w:w="442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4,233</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27,652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22,736</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(29,570)</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7"/>
        </w:trPr>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97"/>
        </w:trPr>
        <w:tc>
          <w:tcPr>
            <w:tcW w:w="442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A Nonvoting Common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1"/>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211"/>
        </w:trPr>
        <w:tc>
          <w:tcPr>
            <w:tcW w:w="4420" w:type="dxa"/>
            <w:vAlign w:val="bottom"/>
          </w:tcPr>
          <w:p>
            <w:pPr>
              <w:ind w:left="3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7"/>
        </w:trPr>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99"/>
        </w:trPr>
        <w:tc>
          <w:tcPr>
            <w:tcW w:w="4420" w:type="dxa"/>
            <w:vAlign w:val="bottom"/>
          </w:tcPr>
          <w:p>
            <w:pPr>
              <w:ind w:left="20"/>
              <w:spacing w:after="0"/>
              <w:rPr>
                <w:sz w:val="20"/>
                <w:szCs w:val="20"/>
                <w:color w:val="auto"/>
              </w:rPr>
            </w:pPr>
            <w:r>
              <w:rPr>
                <w:rFonts w:ascii="Arial" w:cs="Arial" w:eastAsia="Arial" w:hAnsi="Arial"/>
                <w:sz w:val="14"/>
                <w:szCs w:val="14"/>
                <w:color w:val="auto"/>
                <w:w w:val="97"/>
              </w:rPr>
              <w:t>Earnings from continuing operations per Class B Voting Common Share: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2"/>
        </w:trPr>
        <w:tc>
          <w:tcPr>
            <w:tcW w:w="4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1"/>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211"/>
        </w:trPr>
        <w:tc>
          <w:tcPr>
            <w:tcW w:w="4420" w:type="dxa"/>
            <w:vAlign w:val="bottom"/>
          </w:tcPr>
          <w:p>
            <w:pPr>
              <w:ind w:left="3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7"/>
        </w:trPr>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97"/>
        </w:trPr>
        <w:tc>
          <w:tcPr>
            <w:tcW w:w="4420" w:type="dxa"/>
            <w:vAlign w:val="bottom"/>
          </w:tcPr>
          <w:p>
            <w:pPr>
              <w:ind w:left="20"/>
              <w:spacing w:after="0"/>
              <w:rPr>
                <w:sz w:val="20"/>
                <w:szCs w:val="20"/>
                <w:color w:val="auto"/>
              </w:rPr>
            </w:pPr>
            <w:r>
              <w:rPr>
                <w:rFonts w:ascii="Arial" w:cs="Arial" w:eastAsia="Arial" w:hAnsi="Arial"/>
                <w:sz w:val="14"/>
                <w:szCs w:val="14"/>
                <w:color w:val="auto"/>
              </w:rPr>
              <w:t>(Loss) from discontinued operations per Class A Nonvoting Common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1"/>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211"/>
        </w:trPr>
        <w:tc>
          <w:tcPr>
            <w:tcW w:w="4420" w:type="dxa"/>
            <w:vAlign w:val="bottom"/>
          </w:tcPr>
          <w:p>
            <w:pPr>
              <w:ind w:left="3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(0.34)</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7"/>
        </w:trPr>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99"/>
        </w:trPr>
        <w:tc>
          <w:tcPr>
            <w:tcW w:w="4420" w:type="dxa"/>
            <w:vAlign w:val="bottom"/>
          </w:tcPr>
          <w:p>
            <w:pPr>
              <w:ind w:left="20"/>
              <w:spacing w:after="0"/>
              <w:rPr>
                <w:sz w:val="20"/>
                <w:szCs w:val="20"/>
                <w:color w:val="auto"/>
              </w:rPr>
            </w:pPr>
            <w:r>
              <w:rPr>
                <w:rFonts w:ascii="Arial" w:cs="Arial" w:eastAsia="Arial" w:hAnsi="Arial"/>
                <w:sz w:val="14"/>
                <w:szCs w:val="14"/>
                <w:color w:val="auto"/>
                <w:w w:val="97"/>
              </w:rPr>
              <w:t>(Loss) from discontinued operations per Class B Voting Common Share: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2"/>
        </w:trPr>
        <w:tc>
          <w:tcPr>
            <w:tcW w:w="4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1"/>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211"/>
        </w:trPr>
        <w:tc>
          <w:tcPr>
            <w:tcW w:w="4420" w:type="dxa"/>
            <w:vAlign w:val="bottom"/>
          </w:tcPr>
          <w:p>
            <w:pPr>
              <w:ind w:left="3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(0.34)</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7"/>
        </w:trPr>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211"/>
        </w:trPr>
        <w:tc>
          <w:tcPr>
            <w:tcW w:w="4420" w:type="dxa"/>
            <w:vAlign w:val="bottom"/>
          </w:tcPr>
          <w:p>
            <w:pPr>
              <w:ind w:left="20"/>
              <w:spacing w:after="0"/>
              <w:rPr>
                <w:sz w:val="20"/>
                <w:szCs w:val="20"/>
                <w:color w:val="auto"/>
              </w:rPr>
            </w:pPr>
            <w:r>
              <w:rPr>
                <w:rFonts w:ascii="Arial" w:cs="Arial" w:eastAsia="Arial" w:hAnsi="Arial"/>
                <w:sz w:val="14"/>
                <w:szCs w:val="14"/>
                <w:color w:val="auto"/>
              </w:rPr>
              <w:t>Earnings per Class A Nonvoting Common Share: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1"/>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(0.57)</w:t>
            </w:r>
          </w:p>
        </w:tc>
      </w:tr>
      <w:tr>
        <w:trPr>
          <w:trHeight w:val="211"/>
        </w:trPr>
        <w:tc>
          <w:tcPr>
            <w:tcW w:w="4420" w:type="dxa"/>
            <w:vAlign w:val="bottom"/>
          </w:tcPr>
          <w:p>
            <w:pPr>
              <w:ind w:left="3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0.08</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(0.57)</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1"/>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Dividends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0.555</w:t>
            </w:r>
          </w:p>
        </w:tc>
      </w:tr>
      <w:tr>
        <w:trPr>
          <w:trHeight w:val="157"/>
        </w:trPr>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per Class B Voting Common Share:</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11"/>
        </w:trPr>
        <w:tc>
          <w:tcPr>
            <w:tcW w:w="4420" w:type="dxa"/>
            <w:vAlign w:val="bottom"/>
          </w:tcPr>
          <w:p>
            <w:pPr>
              <w:ind w:left="340"/>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0.08</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(0.58)</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1"/>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(0.58)</w:t>
            </w:r>
          </w:p>
        </w:tc>
      </w:tr>
      <w:tr>
        <w:trPr>
          <w:trHeight w:val="211"/>
        </w:trPr>
        <w:tc>
          <w:tcPr>
            <w:tcW w:w="4420" w:type="dxa"/>
            <w:vAlign w:val="bottom"/>
          </w:tcPr>
          <w:p>
            <w:pPr>
              <w:ind w:left="340"/>
              <w:spacing w:after="0"/>
              <w:rPr>
                <w:sz w:val="20"/>
                <w:szCs w:val="20"/>
                <w:color w:val="auto"/>
              </w:rPr>
            </w:pPr>
            <w:r>
              <w:rPr>
                <w:rFonts w:ascii="Arial" w:cs="Arial" w:eastAsia="Arial" w:hAnsi="Arial"/>
                <w:sz w:val="14"/>
                <w:szCs w:val="14"/>
                <w:color w:val="auto"/>
              </w:rPr>
              <w:t>Dividends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0.19</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0.185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0.553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0.538</w:t>
            </w: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7"/>
        </w:trPr>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211"/>
        </w:trPr>
        <w:tc>
          <w:tcPr>
            <w:tcW w:w="442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0"/>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1"/>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51,415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52,513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52,539</w:t>
            </w:r>
          </w:p>
        </w:tc>
      </w:tr>
      <w:tr>
        <w:trPr>
          <w:trHeight w:val="211"/>
        </w:trPr>
        <w:tc>
          <w:tcPr>
            <w:tcW w:w="4420" w:type="dxa"/>
            <w:vAlign w:val="bottom"/>
          </w:tcPr>
          <w:p>
            <w:pPr>
              <w:ind w:left="34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52,041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53,003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51,685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52,946</w:t>
            </w:r>
          </w:p>
        </w:tc>
      </w:tr>
    </w:tbl>
    <w:p>
      <w:pPr>
        <w:sectPr>
          <w:pgSz w:w="11900" w:h="16838" w:orient="portrait"/>
          <w:cols w:equalWidth="0" w:num="1">
            <w:col w:w="10219"/>
          </w:cols>
          <w:pgMar w:left="240" w:top="533"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4"/>
          </w:tcPr>
          <w:p>
            <w:pPr>
              <w:jc w:val="right"/>
              <w:ind w:right="788"/>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April 30, 2013</w:t>
            </w:r>
          </w:p>
        </w:tc>
        <w:tc>
          <w:tcPr>
            <w:tcW w:w="14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w w:val="96"/>
              </w:rPr>
              <w:t>July 31, 2012</w:t>
            </w:r>
          </w:p>
        </w:tc>
        <w:tc>
          <w:tcPr>
            <w:tcW w:w="0" w:type="dxa"/>
            <w:vAlign w:val="bottom"/>
          </w:tcPr>
          <w:p>
            <w:pPr>
              <w:spacing w:after="0"/>
              <w:rPr>
                <w:sz w:val="1"/>
                <w:szCs w:val="1"/>
                <w:color w:val="auto"/>
              </w:rPr>
            </w:pPr>
          </w:p>
        </w:tc>
      </w:tr>
      <w:tr>
        <w:trPr>
          <w:trHeight w:val="30"/>
        </w:trPr>
        <w:tc>
          <w:tcPr>
            <w:tcW w:w="1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420" w:type="dxa"/>
            <w:vAlign w:val="bottom"/>
            <w:gridSpan w:val="3"/>
            <w:shd w:val="clear" w:color="auto" w:fill="CCEEFF"/>
          </w:tcPr>
          <w:p>
            <w:pPr>
              <w:jc w:val="center"/>
              <w:ind w:right="2880"/>
              <w:spacing w:after="0" w:line="149" w:lineRule="exact"/>
              <w:rPr>
                <w:sz w:val="20"/>
                <w:szCs w:val="20"/>
                <w:color w:val="auto"/>
              </w:rPr>
            </w:pPr>
            <w:r>
              <w:rPr>
                <w:rFonts w:ascii="Arial" w:cs="Arial" w:eastAsia="Arial" w:hAnsi="Arial"/>
                <w:sz w:val="14"/>
                <w:szCs w:val="14"/>
                <w:b w:val="1"/>
                <w:bCs w:val="1"/>
                <w:color w:val="auto"/>
                <w:w w:val="96"/>
              </w:rPr>
              <w:t>ASSETS</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36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628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77,034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305,900</w:t>
            </w:r>
          </w:p>
        </w:tc>
        <w:tc>
          <w:tcPr>
            <w:tcW w:w="0" w:type="dxa"/>
            <w:vAlign w:val="bottom"/>
          </w:tcPr>
          <w:p>
            <w:pPr>
              <w:spacing w:after="0"/>
              <w:rPr>
                <w:sz w:val="1"/>
                <w:szCs w:val="1"/>
                <w:color w:val="auto"/>
              </w:rPr>
            </w:pPr>
          </w:p>
        </w:tc>
      </w:tr>
      <w:tr>
        <w:trPr>
          <w:trHeight w:val="211"/>
        </w:trPr>
        <w:tc>
          <w:tcPr>
            <w:tcW w:w="6280" w:type="dxa"/>
            <w:vAlign w:val="bottom"/>
            <w:gridSpan w:val="5"/>
          </w:tcPr>
          <w:p>
            <w:pPr>
              <w:ind w:left="340"/>
              <w:spacing w:after="0"/>
              <w:rPr>
                <w:sz w:val="20"/>
                <w:szCs w:val="20"/>
                <w:color w:val="auto"/>
              </w:rPr>
            </w:pPr>
            <w:r>
              <w:rPr>
                <w:rFonts w:ascii="Arial" w:cs="Arial" w:eastAsia="Arial" w:hAnsi="Arial"/>
                <w:sz w:val="14"/>
                <w:szCs w:val="14"/>
                <w:color w:val="auto"/>
              </w:rPr>
              <w:t>Accounts receivable—net</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177,343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199,006</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80" w:type="dxa"/>
            <w:vAlign w:val="bottom"/>
            <w:gridSpan w:val="5"/>
          </w:tcPr>
          <w:p>
            <w:pPr>
              <w:ind w:left="620"/>
              <w:spacing w:after="0"/>
              <w:rPr>
                <w:sz w:val="20"/>
                <w:szCs w:val="20"/>
                <w:color w:val="auto"/>
              </w:rPr>
            </w:pPr>
            <w:r>
              <w:rPr>
                <w:rFonts w:ascii="Arial" w:cs="Arial" w:eastAsia="Arial" w:hAnsi="Arial"/>
                <w:sz w:val="14"/>
                <w:szCs w:val="14"/>
                <w:color w:val="auto"/>
              </w:rPr>
              <w:t>Finished products</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62,995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64,740</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Work-in-process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14,908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15,377</w:t>
            </w:r>
          </w:p>
        </w:tc>
        <w:tc>
          <w:tcPr>
            <w:tcW w:w="0" w:type="dxa"/>
            <w:vAlign w:val="bottom"/>
          </w:tcPr>
          <w:p>
            <w:pPr>
              <w:spacing w:after="0"/>
              <w:rPr>
                <w:sz w:val="1"/>
                <w:szCs w:val="1"/>
                <w:color w:val="auto"/>
              </w:rPr>
            </w:pPr>
          </w:p>
        </w:tc>
      </w:tr>
      <w:tr>
        <w:trPr>
          <w:trHeight w:val="211"/>
        </w:trPr>
        <w:tc>
          <w:tcPr>
            <w:tcW w:w="6280" w:type="dxa"/>
            <w:vAlign w:val="bottom"/>
            <w:gridSpan w:val="5"/>
          </w:tcPr>
          <w:p>
            <w:pPr>
              <w:ind w:left="620"/>
              <w:spacing w:after="0"/>
              <w:rPr>
                <w:sz w:val="20"/>
                <w:szCs w:val="20"/>
                <w:color w:val="auto"/>
              </w:rPr>
            </w:pPr>
            <w:r>
              <w:rPr>
                <w:rFonts w:ascii="Arial" w:cs="Arial" w:eastAsia="Arial" w:hAnsi="Arial"/>
                <w:sz w:val="14"/>
                <w:szCs w:val="14"/>
                <w:color w:val="auto"/>
              </w:rPr>
              <w:t>Raw materials and supplies</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21,703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25,407</w:t>
            </w:r>
          </w:p>
        </w:tc>
        <w:tc>
          <w:tcPr>
            <w:tcW w:w="0" w:type="dxa"/>
            <w:vAlign w:val="bottom"/>
          </w:tcPr>
          <w:p>
            <w:pPr>
              <w:spacing w:after="0"/>
              <w:rPr>
                <w:sz w:val="1"/>
                <w:szCs w:val="1"/>
                <w:color w:val="auto"/>
              </w:rPr>
            </w:pPr>
          </w:p>
        </w:tc>
      </w:tr>
      <w:tr>
        <w:trPr>
          <w:trHeight w:val="30"/>
        </w:trPr>
        <w:tc>
          <w:tcPr>
            <w:tcW w:w="1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80" w:type="dxa"/>
            <w:vAlign w:val="bottom"/>
            <w:tcBorders>
              <w:bottom w:val="single" w:sz="8" w:color="CCEEFF"/>
            </w:tcBorders>
            <w:gridSpan w:val="5"/>
            <w:shd w:val="clear" w:color="auto" w:fill="CCEEFF"/>
          </w:tcPr>
          <w:p>
            <w:pPr>
              <w:ind w:left="1000"/>
              <w:spacing w:after="0"/>
              <w:rPr>
                <w:sz w:val="20"/>
                <w:szCs w:val="20"/>
                <w:color w:val="auto"/>
              </w:rPr>
            </w:pPr>
            <w:r>
              <w:rPr>
                <w:rFonts w:ascii="Arial" w:cs="Arial" w:eastAsia="Arial" w:hAnsi="Arial"/>
                <w:sz w:val="14"/>
                <w:szCs w:val="14"/>
                <w:color w:val="auto"/>
              </w:rPr>
              <w:t>Total inventories</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99,606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105,524</w:t>
            </w:r>
          </w:p>
        </w:tc>
        <w:tc>
          <w:tcPr>
            <w:tcW w:w="0" w:type="dxa"/>
            <w:vAlign w:val="bottom"/>
          </w:tcPr>
          <w:p>
            <w:pPr>
              <w:spacing w:after="0"/>
              <w:rPr>
                <w:sz w:val="1"/>
                <w:szCs w:val="1"/>
                <w:color w:val="auto"/>
              </w:rPr>
            </w:pPr>
          </w:p>
        </w:tc>
      </w:tr>
      <w:tr>
        <w:trPr>
          <w:trHeight w:val="211"/>
        </w:trPr>
        <w:tc>
          <w:tcPr>
            <w:tcW w:w="6280" w:type="dxa"/>
            <w:vAlign w:val="bottom"/>
            <w:gridSpan w:val="5"/>
          </w:tcPr>
          <w:p>
            <w:pPr>
              <w:ind w:left="340"/>
              <w:spacing w:after="0"/>
              <w:rPr>
                <w:sz w:val="20"/>
                <w:szCs w:val="20"/>
                <w:color w:val="auto"/>
              </w:rPr>
            </w:pPr>
            <w:r>
              <w:rPr>
                <w:rFonts w:ascii="Arial" w:cs="Arial" w:eastAsia="Arial" w:hAnsi="Arial"/>
                <w:sz w:val="14"/>
                <w:szCs w:val="14"/>
                <w:color w:val="auto"/>
              </w:rPr>
              <w:t>Assets held for sale</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108,623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41,461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40,424</w:t>
            </w:r>
          </w:p>
        </w:tc>
        <w:tc>
          <w:tcPr>
            <w:tcW w:w="0" w:type="dxa"/>
            <w:vAlign w:val="bottom"/>
          </w:tcPr>
          <w:p>
            <w:pPr>
              <w:spacing w:after="0"/>
              <w:rPr>
                <w:sz w:val="1"/>
                <w:szCs w:val="1"/>
                <w:color w:val="auto"/>
              </w:rPr>
            </w:pPr>
          </w:p>
        </w:tc>
      </w:tr>
      <w:tr>
        <w:trPr>
          <w:trHeight w:val="191"/>
        </w:trPr>
        <w:tc>
          <w:tcPr>
            <w:tcW w:w="628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current assets</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504,067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650,854</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80" w:type="dxa"/>
            <w:vAlign w:val="bottom"/>
            <w:gridSpan w:val="5"/>
          </w:tcPr>
          <w:p>
            <w:pPr>
              <w:ind w:left="3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841,449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676,791</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 intangible assets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174,583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84,119</w:t>
            </w:r>
          </w:p>
        </w:tc>
        <w:tc>
          <w:tcPr>
            <w:tcW w:w="0" w:type="dxa"/>
            <w:vAlign w:val="bottom"/>
          </w:tcPr>
          <w:p>
            <w:pPr>
              <w:spacing w:after="0"/>
              <w:rPr>
                <w:sz w:val="1"/>
                <w:szCs w:val="1"/>
                <w:color w:val="auto"/>
              </w:rPr>
            </w:pPr>
          </w:p>
        </w:tc>
      </w:tr>
      <w:tr>
        <w:trPr>
          <w:trHeight w:val="211"/>
        </w:trPr>
        <w:tc>
          <w:tcPr>
            <w:tcW w:w="6280" w:type="dxa"/>
            <w:vAlign w:val="bottom"/>
            <w:gridSpan w:val="5"/>
          </w:tcPr>
          <w:p>
            <w:pPr>
              <w:ind w:left="340"/>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6,305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45,356</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20,915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20,584</w:t>
            </w:r>
          </w:p>
        </w:tc>
        <w:tc>
          <w:tcPr>
            <w:tcW w:w="0" w:type="dxa"/>
            <w:vAlign w:val="bottom"/>
          </w:tcPr>
          <w:p>
            <w:pPr>
              <w:spacing w:after="0"/>
              <w:rPr>
                <w:sz w:val="1"/>
                <w:szCs w:val="1"/>
                <w:color w:val="auto"/>
              </w:rPr>
            </w:pPr>
          </w:p>
        </w:tc>
      </w:tr>
      <w:tr>
        <w:trPr>
          <w:trHeight w:val="199"/>
        </w:trPr>
        <w:tc>
          <w:tcPr>
            <w:tcW w:w="6280" w:type="dxa"/>
            <w:vAlign w:val="bottom"/>
            <w:gridSpan w:val="5"/>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Cost: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80" w:type="dxa"/>
            <w:vAlign w:val="bottom"/>
            <w:gridSpan w:val="5"/>
          </w:tcPr>
          <w:p>
            <w:pPr>
              <w:ind w:left="720"/>
              <w:spacing w:after="0"/>
              <w:rPr>
                <w:sz w:val="20"/>
                <w:szCs w:val="20"/>
                <w:color w:val="auto"/>
              </w:rPr>
            </w:pPr>
            <w:r>
              <w:rPr>
                <w:rFonts w:ascii="Arial" w:cs="Arial" w:eastAsia="Arial" w:hAnsi="Arial"/>
                <w:sz w:val="14"/>
                <w:szCs w:val="14"/>
                <w:color w:val="auto"/>
              </w:rPr>
              <w:t>Land</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9,081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8,651</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720"/>
              <w:spacing w:after="0"/>
              <w:rPr>
                <w:sz w:val="20"/>
                <w:szCs w:val="20"/>
                <w:color w:val="auto"/>
              </w:rPr>
            </w:pPr>
            <w:r>
              <w:rPr>
                <w:rFonts w:ascii="Arial" w:cs="Arial" w:eastAsia="Arial" w:hAnsi="Arial"/>
                <w:sz w:val="14"/>
                <w:szCs w:val="14"/>
                <w:color w:val="auto"/>
              </w:rPr>
              <w:t>Buildings and improvements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100,504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101,962</w:t>
            </w:r>
          </w:p>
        </w:tc>
        <w:tc>
          <w:tcPr>
            <w:tcW w:w="0" w:type="dxa"/>
            <w:vAlign w:val="bottom"/>
          </w:tcPr>
          <w:p>
            <w:pPr>
              <w:spacing w:after="0"/>
              <w:rPr>
                <w:sz w:val="1"/>
                <w:szCs w:val="1"/>
                <w:color w:val="auto"/>
              </w:rPr>
            </w:pPr>
          </w:p>
        </w:tc>
      </w:tr>
      <w:tr>
        <w:trPr>
          <w:trHeight w:val="211"/>
        </w:trPr>
        <w:tc>
          <w:tcPr>
            <w:tcW w:w="6280" w:type="dxa"/>
            <w:vAlign w:val="bottom"/>
            <w:gridSpan w:val="5"/>
          </w:tcPr>
          <w:p>
            <w:pPr>
              <w:ind w:left="720"/>
              <w:spacing w:after="0"/>
              <w:rPr>
                <w:sz w:val="20"/>
                <w:szCs w:val="20"/>
                <w:color w:val="auto"/>
              </w:rPr>
            </w:pPr>
            <w:r>
              <w:rPr>
                <w:rFonts w:ascii="Arial" w:cs="Arial" w:eastAsia="Arial" w:hAnsi="Arial"/>
                <w:sz w:val="14"/>
                <w:szCs w:val="14"/>
                <w:color w:val="auto"/>
              </w:rPr>
              <w:t>Machinery and equipment</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278,233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292,130</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280" w:type="dxa"/>
            <w:vAlign w:val="bottom"/>
            <w:tcBorders>
              <w:bottom w:val="single" w:sz="8" w:color="CCEEFF"/>
            </w:tcBorders>
            <w:gridSpan w:val="5"/>
            <w:shd w:val="clear" w:color="auto" w:fill="CCEEFF"/>
          </w:tcPr>
          <w:p>
            <w:pPr>
              <w:ind w:left="720"/>
              <w:spacing w:after="0"/>
              <w:rPr>
                <w:sz w:val="20"/>
                <w:szCs w:val="20"/>
                <w:color w:val="auto"/>
              </w:rPr>
            </w:pPr>
            <w:r>
              <w:rPr>
                <w:rFonts w:ascii="Arial" w:cs="Arial" w:eastAsia="Arial" w:hAnsi="Arial"/>
                <w:sz w:val="14"/>
                <w:szCs w:val="14"/>
                <w:color w:val="auto"/>
              </w:rPr>
              <w:t>Construction in progress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9,358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10,417</w:t>
            </w:r>
          </w:p>
        </w:tc>
        <w:tc>
          <w:tcPr>
            <w:tcW w:w="0" w:type="dxa"/>
            <w:vAlign w:val="bottom"/>
          </w:tcPr>
          <w:p>
            <w:pPr>
              <w:spacing w:after="0"/>
              <w:rPr>
                <w:sz w:val="1"/>
                <w:szCs w:val="1"/>
                <w:color w:val="auto"/>
              </w:rPr>
            </w:pPr>
          </w:p>
        </w:tc>
      </w:tr>
      <w:tr>
        <w:trPr>
          <w:trHeight w:val="191"/>
        </w:trPr>
        <w:tc>
          <w:tcPr>
            <w:tcW w:w="1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397,176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413,160</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Less accumulated depreciation</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263,527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283,145</w:t>
            </w:r>
          </w:p>
        </w:tc>
        <w:tc>
          <w:tcPr>
            <w:tcW w:w="0" w:type="dxa"/>
            <w:vAlign w:val="bottom"/>
          </w:tcPr>
          <w:p>
            <w:pPr>
              <w:spacing w:after="0"/>
              <w:rPr>
                <w:sz w:val="1"/>
                <w:szCs w:val="1"/>
                <w:color w:val="auto"/>
              </w:rPr>
            </w:pPr>
          </w:p>
        </w:tc>
      </w:tr>
      <w:tr>
        <w:trPr>
          <w:trHeight w:val="191"/>
        </w:trPr>
        <w:tc>
          <w:tcPr>
            <w:tcW w:w="6280" w:type="dxa"/>
            <w:vAlign w:val="bottom"/>
            <w:gridSpan w:val="5"/>
          </w:tcPr>
          <w:p>
            <w:pPr>
              <w:ind w:left="620"/>
              <w:spacing w:after="0"/>
              <w:rPr>
                <w:sz w:val="20"/>
                <w:szCs w:val="20"/>
                <w:color w:val="auto"/>
              </w:rPr>
            </w:pPr>
            <w:r>
              <w:rPr>
                <w:rFonts w:ascii="Arial" w:cs="Arial" w:eastAsia="Arial" w:hAnsi="Arial"/>
                <w:sz w:val="14"/>
                <w:szCs w:val="14"/>
                <w:b w:val="1"/>
                <w:bCs w:val="1"/>
                <w:color w:val="auto"/>
              </w:rPr>
              <w:t>Property, plant and equipment—net</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133,649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130,015</w:t>
            </w:r>
          </w:p>
        </w:tc>
        <w:tc>
          <w:tcPr>
            <w:tcW w:w="0" w:type="dxa"/>
            <w:vAlign w:val="bottom"/>
          </w:tcPr>
          <w:p>
            <w:pPr>
              <w:spacing w:after="0"/>
              <w:rPr>
                <w:sz w:val="1"/>
                <w:szCs w:val="1"/>
                <w:color w:val="auto"/>
              </w:rPr>
            </w:pPr>
          </w:p>
        </w:tc>
      </w:tr>
      <w:tr>
        <w:trPr>
          <w:trHeight w:val="30"/>
        </w:trPr>
        <w:tc>
          <w:tcPr>
            <w:tcW w:w="1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2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1,680,968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1,607,719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5"/>
            <w:vMerge w:val="restart"/>
          </w:tcPr>
          <w:p>
            <w:pPr>
              <w:jc w:val="center"/>
              <w:spacing w:after="0"/>
              <w:rPr>
                <w:sz w:val="20"/>
                <w:szCs w:val="20"/>
                <w:color w:val="auto"/>
              </w:rPr>
            </w:pPr>
            <w:r>
              <w:rPr>
                <w:rFonts w:ascii="Arial" w:cs="Arial" w:eastAsia="Arial" w:hAnsi="Arial"/>
                <w:sz w:val="14"/>
                <w:szCs w:val="14"/>
                <w:b w:val="1"/>
                <w:bCs w:val="1"/>
                <w:color w:val="auto"/>
              </w:rPr>
              <w:t>LIABILITIES AND STOCKHOLDERS’ INVESTMENT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28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60" w:type="dxa"/>
            <w:vAlign w:val="bottom"/>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520" w:type="dxa"/>
            <w:vAlign w:val="bottom"/>
            <w:tcBorders>
              <w:top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80" w:type="dxa"/>
            <w:vAlign w:val="bottom"/>
            <w:gridSpan w:val="5"/>
          </w:tcPr>
          <w:p>
            <w:pPr>
              <w:ind w:left="340"/>
              <w:spacing w:after="0"/>
              <w:rPr>
                <w:sz w:val="20"/>
                <w:szCs w:val="20"/>
                <w:color w:val="auto"/>
              </w:rPr>
            </w:pPr>
            <w:r>
              <w:rPr>
                <w:rFonts w:ascii="Arial" w:cs="Arial" w:eastAsia="Arial" w:hAnsi="Arial"/>
                <w:sz w:val="14"/>
                <w:szCs w:val="14"/>
                <w:color w:val="auto"/>
              </w:rPr>
              <w:t>Notes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58,658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75,204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86,646</w:t>
            </w:r>
          </w:p>
        </w:tc>
        <w:tc>
          <w:tcPr>
            <w:tcW w:w="0" w:type="dxa"/>
            <w:vAlign w:val="bottom"/>
          </w:tcPr>
          <w:p>
            <w:pPr>
              <w:spacing w:after="0"/>
              <w:rPr>
                <w:sz w:val="1"/>
                <w:szCs w:val="1"/>
                <w:color w:val="auto"/>
              </w:rPr>
            </w:pPr>
          </w:p>
        </w:tc>
      </w:tr>
      <w:tr>
        <w:trPr>
          <w:trHeight w:val="211"/>
        </w:trPr>
        <w:tc>
          <w:tcPr>
            <w:tcW w:w="6280" w:type="dxa"/>
            <w:vAlign w:val="bottom"/>
            <w:gridSpan w:val="5"/>
          </w:tcPr>
          <w:p>
            <w:pPr>
              <w:ind w:left="340"/>
              <w:spacing w:after="0"/>
              <w:rPr>
                <w:sz w:val="20"/>
                <w:szCs w:val="20"/>
                <w:color w:val="auto"/>
              </w:rPr>
            </w:pPr>
            <w:r>
              <w:rPr>
                <w:rFonts w:ascii="Arial" w:cs="Arial" w:eastAsia="Arial" w:hAnsi="Arial"/>
                <w:sz w:val="14"/>
                <w:szCs w:val="14"/>
                <w:color w:val="auto"/>
              </w:rPr>
              <w:t>Wages and amounts withheld from employees</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36,840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54,629</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Liabilities held for sale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34,684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6280" w:type="dxa"/>
            <w:vAlign w:val="bottom"/>
            <w:gridSpan w:val="5"/>
          </w:tcPr>
          <w:p>
            <w:pPr>
              <w:ind w:left="340"/>
              <w:spacing w:after="0"/>
              <w:rPr>
                <w:sz w:val="20"/>
                <w:szCs w:val="20"/>
                <w:color w:val="auto"/>
              </w:rPr>
            </w:pPr>
            <w:r>
              <w:rPr>
                <w:rFonts w:ascii="Arial" w:cs="Arial" w:eastAsia="Arial" w:hAnsi="Arial"/>
                <w:sz w:val="14"/>
                <w:szCs w:val="14"/>
                <w:color w:val="auto"/>
              </w:rPr>
              <w:t>Taxes, other than income taxes</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7,603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9,307</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Accrued income taxes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10,650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14,357</w:t>
            </w:r>
          </w:p>
        </w:tc>
        <w:tc>
          <w:tcPr>
            <w:tcW w:w="0" w:type="dxa"/>
            <w:vAlign w:val="bottom"/>
          </w:tcPr>
          <w:p>
            <w:pPr>
              <w:spacing w:after="0"/>
              <w:rPr>
                <w:sz w:val="1"/>
                <w:szCs w:val="1"/>
                <w:color w:val="auto"/>
              </w:rPr>
            </w:pPr>
          </w:p>
        </w:tc>
      </w:tr>
      <w:tr>
        <w:trPr>
          <w:trHeight w:val="211"/>
        </w:trPr>
        <w:tc>
          <w:tcPr>
            <w:tcW w:w="6280" w:type="dxa"/>
            <w:vAlign w:val="bottom"/>
            <w:gridSpan w:val="5"/>
          </w:tcPr>
          <w:p>
            <w:pPr>
              <w:ind w:left="340"/>
              <w:spacing w:after="0"/>
              <w:rPr>
                <w:sz w:val="20"/>
                <w:szCs w:val="20"/>
                <w:color w:val="auto"/>
              </w:rPr>
            </w:pPr>
            <w:r>
              <w:rPr>
                <w:rFonts w:ascii="Arial" w:cs="Arial" w:eastAsia="Arial" w:hAnsi="Arial"/>
                <w:sz w:val="14"/>
                <w:szCs w:val="14"/>
                <w:color w:val="auto"/>
              </w:rPr>
              <w:t>Other current liabilities</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34,396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40,815</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Current maturities on long-term debt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61,265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61,264</w:t>
            </w:r>
          </w:p>
        </w:tc>
        <w:tc>
          <w:tcPr>
            <w:tcW w:w="0" w:type="dxa"/>
            <w:vAlign w:val="bottom"/>
          </w:tcPr>
          <w:p>
            <w:pPr>
              <w:spacing w:after="0"/>
              <w:rPr>
                <w:sz w:val="1"/>
                <w:szCs w:val="1"/>
                <w:color w:val="auto"/>
              </w:rPr>
            </w:pPr>
          </w:p>
        </w:tc>
      </w:tr>
      <w:tr>
        <w:trPr>
          <w:trHeight w:val="191"/>
        </w:trPr>
        <w:tc>
          <w:tcPr>
            <w:tcW w:w="628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current liabilities</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319,300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267,018</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Long-term obligations, less current maturities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218,378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254,944</w:t>
            </w:r>
          </w:p>
        </w:tc>
        <w:tc>
          <w:tcPr>
            <w:tcW w:w="0" w:type="dxa"/>
            <w:vAlign w:val="bottom"/>
          </w:tcPr>
          <w:p>
            <w:pPr>
              <w:spacing w:after="0"/>
              <w:rPr>
                <w:sz w:val="1"/>
                <w:szCs w:val="1"/>
                <w:color w:val="auto"/>
              </w:rPr>
            </w:pPr>
          </w:p>
        </w:tc>
      </w:tr>
      <w:tr>
        <w:trPr>
          <w:trHeight w:val="211"/>
        </w:trPr>
        <w:tc>
          <w:tcPr>
            <w:tcW w:w="628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liabilities</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109,635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76,404</w:t>
            </w:r>
          </w:p>
        </w:tc>
        <w:tc>
          <w:tcPr>
            <w:tcW w:w="0" w:type="dxa"/>
            <w:vAlign w:val="bottom"/>
          </w:tcPr>
          <w:p>
            <w:pPr>
              <w:spacing w:after="0"/>
              <w:rPr>
                <w:sz w:val="1"/>
                <w:szCs w:val="1"/>
                <w:color w:val="auto"/>
              </w:rPr>
            </w:pPr>
          </w:p>
        </w:tc>
      </w:tr>
      <w:tr>
        <w:trPr>
          <w:trHeight w:val="30"/>
        </w:trPr>
        <w:tc>
          <w:tcPr>
            <w:tcW w:w="1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8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647,313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598,366</w:t>
            </w:r>
          </w:p>
        </w:tc>
        <w:tc>
          <w:tcPr>
            <w:tcW w:w="0" w:type="dxa"/>
            <w:vAlign w:val="bottom"/>
          </w:tcPr>
          <w:p>
            <w:pPr>
              <w:spacing w:after="0"/>
              <w:rPr>
                <w:sz w:val="1"/>
                <w:szCs w:val="1"/>
                <w:color w:val="auto"/>
              </w:rPr>
            </w:pPr>
          </w:p>
        </w:tc>
      </w:tr>
      <w:tr>
        <w:trPr>
          <w:trHeight w:val="199"/>
        </w:trPr>
        <w:tc>
          <w:tcPr>
            <w:tcW w:w="6280" w:type="dxa"/>
            <w:vAlign w:val="bottom"/>
            <w:gridSpan w:val="5"/>
          </w:tcPr>
          <w:p>
            <w:pPr>
              <w:ind w:left="20"/>
              <w:spacing w:after="0"/>
              <w:rPr>
                <w:sz w:val="20"/>
                <w:szCs w:val="20"/>
                <w:color w:val="auto"/>
              </w:rPr>
            </w:pPr>
            <w:r>
              <w:rPr>
                <w:rFonts w:ascii="Arial" w:cs="Arial" w:eastAsia="Arial" w:hAnsi="Arial"/>
                <w:sz w:val="14"/>
                <w:szCs w:val="14"/>
                <w:b w:val="1"/>
                <w:bCs w:val="1"/>
                <w:color w:val="auto"/>
              </w:rPr>
              <w:t>Stockholders’ investment: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Common stock:</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80" w:type="dxa"/>
            <w:vAlign w:val="bottom"/>
            <w:gridSpan w:val="5"/>
          </w:tcPr>
          <w:p>
            <w:pPr>
              <w:ind w:left="620"/>
              <w:spacing w:after="0"/>
              <w:rPr>
                <w:sz w:val="20"/>
                <w:szCs w:val="20"/>
                <w:color w:val="auto"/>
              </w:rPr>
            </w:pPr>
            <w:r>
              <w:rPr>
                <w:rFonts w:ascii="Arial" w:cs="Arial" w:eastAsia="Arial" w:hAnsi="Arial"/>
                <w:sz w:val="14"/>
                <w:szCs w:val="14"/>
                <w:color w:val="auto"/>
                <w:w w:val="95"/>
              </w:rPr>
              <w:t>Class A nonvoting common stock—Issued 51,261,487 and 51,261,487 shares, respectively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80" w:type="dxa"/>
            <w:vAlign w:val="bottom"/>
            <w:gridSpan w:val="5"/>
          </w:tcPr>
          <w:p>
            <w:pPr>
              <w:ind w:left="620"/>
              <w:spacing w:after="0"/>
              <w:rPr>
                <w:sz w:val="20"/>
                <w:szCs w:val="20"/>
                <w:color w:val="auto"/>
              </w:rPr>
            </w:pPr>
            <w:r>
              <w:rPr>
                <w:rFonts w:ascii="Arial" w:cs="Arial" w:eastAsia="Arial" w:hAnsi="Arial"/>
                <w:sz w:val="14"/>
                <w:szCs w:val="14"/>
                <w:color w:val="auto"/>
              </w:rPr>
              <w:t>outstanding 47,972,270 and 47,630,926 shares, respectively</w:t>
            </w:r>
          </w:p>
        </w:tc>
        <w:tc>
          <w:tcPr>
            <w:tcW w:w="1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Class B voting common stock—Issued and outstanding, 3,538,628 shares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1"/>
        </w:trPr>
        <w:tc>
          <w:tcPr>
            <w:tcW w:w="6280" w:type="dxa"/>
            <w:vAlign w:val="bottom"/>
            <w:gridSpan w:val="5"/>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312,905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313,008</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Earnings retained in the business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725,682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732,290</w:t>
            </w:r>
          </w:p>
        </w:tc>
        <w:tc>
          <w:tcPr>
            <w:tcW w:w="0" w:type="dxa"/>
            <w:vAlign w:val="bottom"/>
          </w:tcPr>
          <w:p>
            <w:pPr>
              <w:spacing w:after="0"/>
              <w:rPr>
                <w:sz w:val="1"/>
                <w:szCs w:val="1"/>
                <w:color w:val="auto"/>
              </w:rPr>
            </w:pPr>
          </w:p>
        </w:tc>
      </w:tr>
      <w:tr>
        <w:trPr>
          <w:trHeight w:val="197"/>
        </w:trPr>
        <w:tc>
          <w:tcPr>
            <w:tcW w:w="6280" w:type="dxa"/>
            <w:vAlign w:val="bottom"/>
            <w:gridSpan w:val="5"/>
          </w:tcPr>
          <w:p>
            <w:pPr>
              <w:ind w:left="340"/>
              <w:spacing w:after="0"/>
              <w:rPr>
                <w:sz w:val="20"/>
                <w:szCs w:val="20"/>
                <w:color w:val="auto"/>
              </w:rPr>
            </w:pPr>
            <w:r>
              <w:rPr>
                <w:rFonts w:ascii="Arial" w:cs="Arial" w:eastAsia="Arial" w:hAnsi="Arial"/>
                <w:sz w:val="14"/>
                <w:szCs w:val="14"/>
                <w:color w:val="auto"/>
                <w:w w:val="95"/>
              </w:rPr>
              <w:t>Treasury stock—2,974,218 and 3,245,561 shares, respectively of Class A nonvoting 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80" w:type="dxa"/>
            <w:vAlign w:val="bottom"/>
            <w:gridSpan w:val="5"/>
          </w:tcPr>
          <w:p>
            <w:pPr>
              <w:ind w:left="340"/>
              <w:spacing w:after="0"/>
              <w:rPr>
                <w:sz w:val="20"/>
                <w:szCs w:val="20"/>
                <w:color w:val="auto"/>
              </w:rPr>
            </w:pPr>
            <w:r>
              <w:rPr>
                <w:rFonts w:ascii="Arial" w:cs="Arial" w:eastAsia="Arial" w:hAnsi="Arial"/>
                <w:sz w:val="14"/>
                <w:szCs w:val="14"/>
                <w:color w:val="auto"/>
              </w:rPr>
              <w:t>at cost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(79,996)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(92,600)</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income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76,439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59,411</w:t>
            </w:r>
          </w:p>
        </w:tc>
        <w:tc>
          <w:tcPr>
            <w:tcW w:w="0" w:type="dxa"/>
            <w:vAlign w:val="bottom"/>
          </w:tcPr>
          <w:p>
            <w:pPr>
              <w:spacing w:after="0"/>
              <w:rPr>
                <w:sz w:val="1"/>
                <w:szCs w:val="1"/>
                <w:color w:val="auto"/>
              </w:rPr>
            </w:pPr>
          </w:p>
        </w:tc>
      </w:tr>
      <w:tr>
        <w:trPr>
          <w:trHeight w:val="211"/>
        </w:trPr>
        <w:tc>
          <w:tcPr>
            <w:tcW w:w="6280" w:type="dxa"/>
            <w:vAlign w:val="bottom"/>
            <w:gridSpan w:val="5"/>
          </w:tcPr>
          <w:p>
            <w:pPr>
              <w:ind w:left="34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(3,304)</w:t>
            </w:r>
          </w:p>
        </w:tc>
        <w:tc>
          <w:tcPr>
            <w:tcW w:w="0" w:type="dxa"/>
            <w:vAlign w:val="bottom"/>
          </w:tcPr>
          <w:p>
            <w:pPr>
              <w:spacing w:after="0"/>
              <w:rPr>
                <w:sz w:val="1"/>
                <w:szCs w:val="1"/>
                <w:color w:val="auto"/>
              </w:rPr>
            </w:pPr>
          </w:p>
        </w:tc>
      </w:tr>
      <w:tr>
        <w:trPr>
          <w:trHeight w:val="30"/>
        </w:trPr>
        <w:tc>
          <w:tcPr>
            <w:tcW w:w="1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280" w:type="dxa"/>
            <w:vAlign w:val="bottom"/>
            <w:tcBorders>
              <w:bottom w:val="single" w:sz="8" w:color="CCEEFF"/>
            </w:tcBorders>
            <w:gridSpan w:val="5"/>
            <w:shd w:val="clear" w:color="auto" w:fill="CCEEFF"/>
          </w:tcPr>
          <w:p>
            <w:pPr>
              <w:ind w:left="1000"/>
              <w:spacing w:after="0"/>
              <w:rPr>
                <w:sz w:val="20"/>
                <w:szCs w:val="20"/>
                <w:color w:val="auto"/>
              </w:rPr>
            </w:pPr>
            <w:r>
              <w:rPr>
                <w:rFonts w:ascii="Arial" w:cs="Arial" w:eastAsia="Arial" w:hAnsi="Arial"/>
                <w:sz w:val="14"/>
                <w:szCs w:val="14"/>
                <w:b w:val="1"/>
                <w:bCs w:val="1"/>
                <w:color w:val="auto"/>
              </w:rPr>
              <w:t>Total stockholders’ investment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1,033,655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1,009,353</w:t>
            </w:r>
          </w:p>
        </w:tc>
        <w:tc>
          <w:tcPr>
            <w:tcW w:w="0" w:type="dxa"/>
            <w:vAlign w:val="bottom"/>
          </w:tcPr>
          <w:p>
            <w:pPr>
              <w:spacing w:after="0"/>
              <w:rPr>
                <w:sz w:val="1"/>
                <w:szCs w:val="1"/>
                <w:color w:val="auto"/>
              </w:rPr>
            </w:pPr>
          </w:p>
        </w:tc>
      </w:tr>
      <w:tr>
        <w:trPr>
          <w:trHeight w:val="191"/>
        </w:trPr>
        <w:tc>
          <w:tcPr>
            <w:tcW w:w="628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1,680,968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1,607,719</w:t>
            </w: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165" w:lineRule="exact"/>
        <w:rPr>
          <w:sz w:val="20"/>
          <w:szCs w:val="20"/>
          <w:color w:val="auto"/>
        </w:rPr>
      </w:pPr>
    </w:p>
    <w:p>
      <w:pPr>
        <w:jc w:val="center"/>
        <w:ind w:left="3580"/>
        <w:spacing w:after="0"/>
        <w:rPr>
          <w:sz w:val="20"/>
          <w:szCs w:val="20"/>
          <w:color w:val="auto"/>
        </w:rPr>
      </w:pPr>
      <w:r>
        <w:rPr>
          <w:rFonts w:ascii="Arial" w:cs="Arial" w:eastAsia="Arial" w:hAnsi="Arial"/>
          <w:sz w:val="14"/>
          <w:szCs w:val="14"/>
          <w:color w:val="auto"/>
        </w:rPr>
        <w:t>(Unaudited)</w:t>
      </w:r>
    </w:p>
    <w:p>
      <w:pPr>
        <w:spacing w:after="0" w:line="22" w:lineRule="exact"/>
        <w:rPr>
          <w:sz w:val="20"/>
          <w:szCs w:val="20"/>
          <w:color w:val="auto"/>
        </w:rPr>
      </w:pPr>
    </w:p>
    <w:p>
      <w:pPr>
        <w:jc w:val="center"/>
        <w:ind w:left="3580"/>
        <w:spacing w:after="0"/>
        <w:rPr>
          <w:sz w:val="20"/>
          <w:szCs w:val="20"/>
          <w:color w:val="auto"/>
        </w:rPr>
      </w:pPr>
      <w:r>
        <w:rPr>
          <w:rFonts w:ascii="Arial" w:cs="Arial" w:eastAsia="Arial" w:hAnsi="Arial"/>
          <w:sz w:val="14"/>
          <w:szCs w:val="14"/>
          <w:color w:val="auto"/>
        </w:rPr>
        <w:t>Nine Months Ended April 30,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2012</w:t>
            </w:r>
          </w:p>
        </w:tc>
      </w:tr>
      <w:tr>
        <w:trPr>
          <w:trHeight w:val="30"/>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11"/>
        </w:trPr>
        <w:tc>
          <w:tcPr>
            <w:tcW w:w="62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22,736</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(29,570)</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36,037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32,921</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Non-cash portion of restructuring charges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458</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Non-cash portion of stock-based compensation expense</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6,964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7,592</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Impairment charge</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115,688</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Loss on write-down of assets held for sale</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15,658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Loss (gain) on sales of businesses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33,780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(3,192)</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 (net of effects of business acquisitions/divestitures):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11,050</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(5,595)</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(4,386)</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(22,226)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(39,472)</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15,101</w:t>
            </w:r>
          </w:p>
        </w:tc>
      </w:tr>
      <w:tr>
        <w:trPr>
          <w:trHeight w:val="30"/>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62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89,630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100,595</w:t>
            </w:r>
          </w:p>
        </w:tc>
      </w:tr>
      <w:tr>
        <w:trPr>
          <w:trHeight w:val="217"/>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(26,082)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(14,498)</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Payments of contingent consideration</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(2,580)</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Settlement of net investment hedges</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(797)</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 of business, net of cash acquired</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(301,157)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(3,039)</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Sales of businesses, net of cash retained</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10,178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(1,536)</w:t>
            </w:r>
          </w:p>
        </w:tc>
      </w:tr>
      <w:tr>
        <w:trPr>
          <w:trHeight w:val="191"/>
        </w:trPr>
        <w:tc>
          <w:tcPr>
            <w:tcW w:w="6280" w:type="dxa"/>
            <w:vAlign w:val="bottom"/>
          </w:tcPr>
          <w:p>
            <w:pPr>
              <w:ind w:left="6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(318,306)</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(22,450)</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7"/>
        </w:trPr>
        <w:tc>
          <w:tcPr>
            <w:tcW w:w="6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9"/>
        </w:trPr>
        <w:tc>
          <w:tcPr>
            <w:tcW w:w="628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2"/>
        </w:trPr>
        <w:tc>
          <w:tcPr>
            <w:tcW w:w="6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Payment of dividends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(29,344)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(29,235)</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10,246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3,624</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Purchase of treasury stock</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(12,309)</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Proceeds from borrowings on notes payable</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Repayment of borrowings on notes payable</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(173,000)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Proceeds from borrowings on line of credit</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11,491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Principal payments on debt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(42,514)</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Debt issuance costs</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(961)</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7"/>
        </w:trPr>
        <w:tc>
          <w:tcPr>
            <w:tcW w:w="62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Income tax benefit from the exercise of stock options and deferred compensation distributions, and</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1,794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754</w:t>
            </w:r>
          </w:p>
        </w:tc>
      </w:tr>
      <w:tr>
        <w:trPr>
          <w:trHeight w:val="191"/>
        </w:trPr>
        <w:tc>
          <w:tcPr>
            <w:tcW w:w="6280" w:type="dxa"/>
            <w:vAlign w:val="bottom"/>
          </w:tcPr>
          <w:p>
            <w:pPr>
              <w:ind w:left="62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(6,448)</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(80,641)</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7"/>
        </w:trPr>
        <w:tc>
          <w:tcPr>
            <w:tcW w:w="6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1"/>
        </w:trPr>
        <w:tc>
          <w:tcPr>
            <w:tcW w:w="628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(13,050)</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7"/>
        </w:trPr>
        <w:tc>
          <w:tcPr>
            <w:tcW w:w="6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1"/>
        </w:trPr>
        <w:tc>
          <w:tcPr>
            <w:tcW w:w="628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(228,866)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(15,546)</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305,900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389,971</w:t>
            </w:r>
          </w:p>
        </w:tc>
      </w:tr>
      <w:tr>
        <w:trPr>
          <w:trHeight w:val="209"/>
        </w:trPr>
        <w:tc>
          <w:tcPr>
            <w:tcW w:w="6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2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77,034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374,425</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1"/>
        </w:trPr>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1"/>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Supplemental disclosures: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80" w:type="dxa"/>
            <w:vAlign w:val="bottom"/>
          </w:tcPr>
          <w:p>
            <w:pPr>
              <w:spacing w:after="0"/>
              <w:rPr>
                <w:sz w:val="20"/>
                <w:szCs w:val="20"/>
                <w:color w:val="auto"/>
              </w:rPr>
            </w:pPr>
            <w:r>
              <w:rPr>
                <w:rFonts w:ascii="Arial" w:cs="Arial" w:eastAsia="Arial" w:hAnsi="Arial"/>
                <w:sz w:val="14"/>
                <w:szCs w:val="14"/>
                <w:color w:val="auto"/>
              </w:rPr>
              <w:t>Cash paid during the period for: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Interest, net of capitalized interest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13,194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15,746</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Income taxes, net of refunds</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26,786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19,959</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Acquisitions: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Fair value of assets acquired, net of cash</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168,675</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2,395</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Liabilities assumed</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(57,860)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190,342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1,227</w:t>
            </w:r>
          </w:p>
        </w:tc>
      </w:tr>
      <w:tr>
        <w:trPr>
          <w:trHeight w:val="30"/>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6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Net cash paid for acquisitions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301,157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3,039</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972" w:gutter="0" w:footer="0" w:header="0"/>
        </w:sectPr>
      </w:pPr>
    </w:p>
    <w:bookmarkStart w:id="10" w:name="page11"/>
    <w:bookmarkEnd w:id="10"/>
    <w:p>
      <w:pPr>
        <w:ind w:left="20"/>
        <w:spacing w:after="0"/>
        <w:rPr>
          <w:sz w:val="20"/>
          <w:szCs w:val="20"/>
          <w:color w:val="auto"/>
        </w:rPr>
      </w:pPr>
      <w:r>
        <w:rPr>
          <w:rFonts w:ascii="Arial" w:cs="Arial" w:eastAsia="Arial" w:hAnsi="Arial"/>
          <w:sz w:val="14"/>
          <w:szCs w:val="14"/>
          <w:color w:val="auto"/>
        </w:rPr>
        <w:t>Information by regional segment for the three and nine months ended April 30, 2013 and 2012 is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ind w:left="60"/>
              <w:spacing w:after="0"/>
              <w:rPr>
                <w:sz w:val="20"/>
                <w:szCs w:val="20"/>
                <w:color w:val="auto"/>
              </w:rPr>
            </w:pPr>
            <w:r>
              <w:rPr>
                <w:rFonts w:ascii="Arial" w:cs="Arial" w:eastAsia="Arial" w:hAnsi="Arial"/>
                <w:sz w:val="14"/>
                <w:szCs w:val="14"/>
                <w:b w:val="1"/>
                <w:bCs w:val="1"/>
                <w:color w:val="auto"/>
                <w:w w:val="98"/>
              </w:rPr>
              <w:t>Corporate and</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7"/>
        </w:trPr>
        <w:tc>
          <w:tcPr>
            <w:tcW w:w="256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Americas</w:t>
            </w:r>
          </w:p>
        </w:tc>
        <w:tc>
          <w:tcPr>
            <w:tcW w:w="320" w:type="dxa"/>
            <w:vAlign w:val="bottom"/>
          </w:tcPr>
          <w:p>
            <w:pPr>
              <w:spacing w:after="0"/>
              <w:rPr>
                <w:sz w:val="16"/>
                <w:szCs w:val="16"/>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EMEA</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w w:val="90"/>
              </w:rPr>
              <w:t>Asia-Pacific</w:t>
            </w: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w w:val="89"/>
              </w:rPr>
              <w:t>Total Region</w:t>
            </w: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6"/>
                <w:szCs w:val="16"/>
                <w:color w:val="auto"/>
              </w:rPr>
            </w:pP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r>
      <w:tr>
        <w:trPr>
          <w:trHeight w:val="30"/>
        </w:trPr>
        <w:tc>
          <w:tcPr>
            <w:tcW w:w="2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191"/>
        </w:trPr>
        <w:tc>
          <w:tcPr>
            <w:tcW w:w="25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30"/>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9"/>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April 30,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178,559</w:t>
            </w:r>
          </w:p>
        </w:tc>
        <w:tc>
          <w:tcPr>
            <w:tcW w:w="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94,044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33,134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305,737</w:t>
            </w: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305,737</w:t>
            </w:r>
          </w:p>
        </w:tc>
      </w:tr>
      <w:tr>
        <w:trPr>
          <w:trHeight w:val="199"/>
        </w:trPr>
        <w:tc>
          <w:tcPr>
            <w:tcW w:w="2560" w:type="dxa"/>
            <w:vAlign w:val="bottom"/>
          </w:tcPr>
          <w:p>
            <w:pPr>
              <w:ind w:left="20"/>
              <w:spacing w:after="0"/>
              <w:rPr>
                <w:sz w:val="20"/>
                <w:szCs w:val="20"/>
                <w:color w:val="auto"/>
              </w:rPr>
            </w:pPr>
            <w:r>
              <w:rPr>
                <w:rFonts w:ascii="Arial" w:cs="Arial" w:eastAsia="Arial" w:hAnsi="Arial"/>
                <w:sz w:val="14"/>
                <w:szCs w:val="14"/>
                <w:color w:val="auto"/>
              </w:rPr>
              <w:t>April 30, 2012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143,083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94,136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38,169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275,388</w:t>
            </w:r>
          </w:p>
        </w:tc>
        <w:tc>
          <w:tcPr>
            <w:tcW w:w="102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ind w:left="120"/>
              <w:spacing w:after="0"/>
              <w:rPr>
                <w:sz w:val="20"/>
                <w:szCs w:val="20"/>
                <w:color w:val="auto"/>
              </w:rPr>
            </w:pPr>
            <w:r>
              <w:rPr>
                <w:rFonts w:ascii="Arial" w:cs="Arial" w:eastAsia="Arial" w:hAnsi="Arial"/>
                <w:sz w:val="14"/>
                <w:szCs w:val="14"/>
                <w:color w:val="auto"/>
              </w:rPr>
              <w:t>275,388</w:t>
            </w:r>
          </w:p>
        </w:tc>
      </w:tr>
      <w:tr>
        <w:trPr>
          <w:trHeight w:val="30"/>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3"/>
        </w:trPr>
        <w:tc>
          <w:tcPr>
            <w:tcW w:w="2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199"/>
        </w:trPr>
        <w:tc>
          <w:tcPr>
            <w:tcW w:w="2560" w:type="dxa"/>
            <w:vAlign w:val="bottom"/>
          </w:tcPr>
          <w:p>
            <w:pPr>
              <w:ind w:left="20"/>
              <w:spacing w:after="0"/>
              <w:rPr>
                <w:sz w:val="20"/>
                <w:szCs w:val="20"/>
                <w:color w:val="auto"/>
              </w:rPr>
            </w:pPr>
            <w:r>
              <w:rPr>
                <w:rFonts w:ascii="Arial" w:cs="Arial" w:eastAsia="Arial" w:hAnsi="Arial"/>
                <w:sz w:val="14"/>
                <w:szCs w:val="14"/>
                <w:color w:val="auto"/>
              </w:rPr>
              <w:t>Nine months ended: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0"/>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9"/>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April 30,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470,418</w:t>
            </w:r>
          </w:p>
        </w:tc>
        <w:tc>
          <w:tcPr>
            <w:tcW w:w="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279,420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106,570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856,408</w:t>
            </w: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856,408</w:t>
            </w:r>
          </w:p>
        </w:tc>
      </w:tr>
      <w:tr>
        <w:trPr>
          <w:trHeight w:val="199"/>
        </w:trPr>
        <w:tc>
          <w:tcPr>
            <w:tcW w:w="2560" w:type="dxa"/>
            <w:vAlign w:val="bottom"/>
          </w:tcPr>
          <w:p>
            <w:pPr>
              <w:ind w:left="20"/>
              <w:spacing w:after="0"/>
              <w:rPr>
                <w:sz w:val="20"/>
                <w:szCs w:val="20"/>
                <w:color w:val="auto"/>
              </w:rPr>
            </w:pPr>
            <w:r>
              <w:rPr>
                <w:rFonts w:ascii="Arial" w:cs="Arial" w:eastAsia="Arial" w:hAnsi="Arial"/>
                <w:sz w:val="14"/>
                <w:szCs w:val="14"/>
                <w:color w:val="auto"/>
              </w:rPr>
              <w:t>April 30, 2012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419,862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279,506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114,205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813,573</w:t>
            </w:r>
          </w:p>
        </w:tc>
        <w:tc>
          <w:tcPr>
            <w:tcW w:w="1020" w:type="dxa"/>
            <w:vAlign w:val="bottom"/>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ind w:left="120"/>
              <w:spacing w:after="0"/>
              <w:rPr>
                <w:sz w:val="20"/>
                <w:szCs w:val="20"/>
                <w:color w:val="auto"/>
              </w:rPr>
            </w:pPr>
            <w:r>
              <w:rPr>
                <w:rFonts w:ascii="Arial" w:cs="Arial" w:eastAsia="Arial" w:hAnsi="Arial"/>
                <w:sz w:val="14"/>
                <w:szCs w:val="14"/>
                <w:color w:val="auto"/>
              </w:rPr>
              <w:t>813,573</w:t>
            </w:r>
          </w:p>
        </w:tc>
      </w:tr>
      <w:tr>
        <w:trPr>
          <w:trHeight w:val="30"/>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57"/>
        </w:trPr>
        <w:tc>
          <w:tcPr>
            <w:tcW w:w="2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5522595" cy="153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2595" cy="15303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Three months ended April 30, 2013: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00" w:type="dxa"/>
            <w:vAlign w:val="bottom"/>
          </w:tcPr>
          <w:p>
            <w:pPr>
              <w:ind w:left="160"/>
              <w:spacing w:after="0"/>
              <w:rPr>
                <w:sz w:val="20"/>
                <w:szCs w:val="20"/>
                <w:color w:val="auto"/>
              </w:rPr>
            </w:pPr>
            <w:r>
              <w:rPr>
                <w:rFonts w:ascii="Arial" w:cs="Arial" w:eastAsia="Arial" w:hAnsi="Arial"/>
                <w:sz w:val="14"/>
                <w:szCs w:val="14"/>
                <w:color w:val="auto"/>
              </w:rPr>
              <w:t>Organic</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3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0"/>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9"/>
        </w:trPr>
        <w:tc>
          <w:tcPr>
            <w:tcW w:w="2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Currency</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2600" w:type="dxa"/>
            <w:vAlign w:val="bottom"/>
          </w:tcPr>
          <w:p>
            <w:pPr>
              <w:ind w:left="16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28.4 %</w:t>
            </w: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6.0 %</w:t>
            </w:r>
          </w:p>
        </w:tc>
        <w:tc>
          <w:tcPr>
            <w:tcW w:w="12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16.8 %</w:t>
            </w:r>
          </w:p>
        </w:tc>
        <w:tc>
          <w:tcPr>
            <w:tcW w:w="1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16.8 %</w:t>
            </w:r>
          </w:p>
        </w:tc>
      </w:tr>
      <w:tr>
        <w:trPr>
          <w:trHeight w:val="30"/>
        </w:trPr>
        <w:tc>
          <w:tcPr>
            <w:tcW w:w="2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1"/>
        </w:trPr>
        <w:tc>
          <w:tcPr>
            <w:tcW w:w="2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24.8 %</w:t>
            </w: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11.0 %</w:t>
            </w:r>
          </w:p>
        </w:tc>
      </w:tr>
      <w:tr>
        <w:trPr>
          <w:trHeight w:val="157"/>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Nine months ended April 30, 2013:</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199"/>
        </w:trPr>
        <w:tc>
          <w:tcPr>
            <w:tcW w:w="2600" w:type="dxa"/>
            <w:vAlign w:val="bottom"/>
          </w:tcPr>
          <w:p>
            <w:pPr>
              <w:ind w:left="160"/>
              <w:spacing w:after="0"/>
              <w:rPr>
                <w:sz w:val="20"/>
                <w:szCs w:val="20"/>
                <w:color w:val="auto"/>
              </w:rPr>
            </w:pPr>
            <w:r>
              <w:rPr>
                <w:rFonts w:ascii="Arial" w:cs="Arial" w:eastAsia="Arial" w:hAnsi="Arial"/>
                <w:sz w:val="14"/>
                <w:szCs w:val="14"/>
                <w:color w:val="auto"/>
              </w:rPr>
              <w:t>Organic</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w:t>
            </w: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30"/>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9"/>
        </w:trPr>
        <w:tc>
          <w:tcPr>
            <w:tcW w:w="2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Currency</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9"/>
        </w:trPr>
        <w:tc>
          <w:tcPr>
            <w:tcW w:w="2600" w:type="dxa"/>
            <w:vAlign w:val="bottom"/>
          </w:tcPr>
          <w:p>
            <w:pPr>
              <w:ind w:left="16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13.5 %</w:t>
            </w: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6.7 %</w:t>
            </w:r>
          </w:p>
        </w:tc>
        <w:tc>
          <w:tcPr>
            <w:tcW w:w="12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9.3 %</w:t>
            </w:r>
          </w:p>
        </w:tc>
        <w:tc>
          <w:tcPr>
            <w:tcW w:w="1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9.3 %</w:t>
            </w:r>
          </w:p>
        </w:tc>
      </w:tr>
      <w:tr>
        <w:trPr>
          <w:trHeight w:val="30"/>
        </w:trPr>
        <w:tc>
          <w:tcPr>
            <w:tcW w:w="2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1"/>
        </w:trPr>
        <w:tc>
          <w:tcPr>
            <w:tcW w:w="2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3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 %</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5.3 %</w:t>
            </w:r>
          </w:p>
        </w:tc>
      </w:tr>
      <w:tr>
        <w:trPr>
          <w:trHeight w:val="157"/>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3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PROFIT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191"/>
        </w:trPr>
        <w:tc>
          <w:tcPr>
            <w:tcW w:w="2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Three months ended:</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30"/>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April 30,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42,942</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22,993</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5,485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71,420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(1,282)</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70,138</w:t>
            </w:r>
          </w:p>
        </w:tc>
      </w:tr>
      <w:tr>
        <w:trPr>
          <w:trHeight w:val="199"/>
        </w:trPr>
        <w:tc>
          <w:tcPr>
            <w:tcW w:w="2600" w:type="dxa"/>
            <w:vAlign w:val="bottom"/>
          </w:tcPr>
          <w:p>
            <w:pPr>
              <w:ind w:left="20"/>
              <w:spacing w:after="0"/>
              <w:rPr>
                <w:sz w:val="20"/>
                <w:szCs w:val="20"/>
                <w:color w:val="auto"/>
              </w:rPr>
            </w:pPr>
            <w:r>
              <w:rPr>
                <w:rFonts w:ascii="Arial" w:cs="Arial" w:eastAsia="Arial" w:hAnsi="Arial"/>
                <w:sz w:val="14"/>
                <w:szCs w:val="14"/>
                <w:color w:val="auto"/>
              </w:rPr>
              <w:t>April 30, 2012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39,181</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25,566</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8"/>
              <w:spacing w:after="0"/>
              <w:rPr>
                <w:sz w:val="20"/>
                <w:szCs w:val="20"/>
                <w:color w:val="auto"/>
              </w:rPr>
            </w:pPr>
            <w:r>
              <w:rPr>
                <w:rFonts w:ascii="Arial" w:cs="Arial" w:eastAsia="Arial" w:hAnsi="Arial"/>
                <w:sz w:val="14"/>
                <w:szCs w:val="14"/>
                <w:color w:val="auto"/>
              </w:rPr>
              <w:t>6,080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70,827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(388)</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70,439</w:t>
            </w:r>
          </w:p>
        </w:tc>
      </w:tr>
      <w:tr>
        <w:trPr>
          <w:trHeight w:val="30"/>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1"/>
        </w:trPr>
        <w:tc>
          <w:tcPr>
            <w:tcW w:w="2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i w:val="1"/>
                <w:iCs w:val="1"/>
                <w:color w:val="auto"/>
              </w:rPr>
              <w:t>Percentage change</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57"/>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Nine months ended:</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199"/>
        </w:trPr>
        <w:tc>
          <w:tcPr>
            <w:tcW w:w="2600" w:type="dxa"/>
            <w:vAlign w:val="bottom"/>
          </w:tcPr>
          <w:p>
            <w:pPr>
              <w:ind w:left="20"/>
              <w:spacing w:after="0"/>
              <w:rPr>
                <w:sz w:val="20"/>
                <w:szCs w:val="20"/>
                <w:color w:val="auto"/>
              </w:rPr>
            </w:pPr>
            <w:r>
              <w:rPr>
                <w:rFonts w:ascii="Arial" w:cs="Arial" w:eastAsia="Arial" w:hAnsi="Arial"/>
                <w:sz w:val="14"/>
                <w:szCs w:val="14"/>
                <w:color w:val="auto"/>
              </w:rPr>
              <w:t>April 30, 2013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119,179</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70,568</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8"/>
              <w:spacing w:after="0"/>
              <w:rPr>
                <w:sz w:val="20"/>
                <w:szCs w:val="20"/>
                <w:color w:val="auto"/>
              </w:rPr>
            </w:pPr>
            <w:r>
              <w:rPr>
                <w:rFonts w:ascii="Arial" w:cs="Arial" w:eastAsia="Arial" w:hAnsi="Arial"/>
                <w:sz w:val="14"/>
                <w:szCs w:val="14"/>
                <w:color w:val="auto"/>
              </w:rPr>
              <w:t>15,793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205,540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(5,049)</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200,491</w:t>
            </w:r>
          </w:p>
        </w:tc>
      </w:tr>
      <w:tr>
        <w:trPr>
          <w:trHeight w:val="30"/>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April 30,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118,871</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78,432</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18,411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215,714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(6,010)</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209,704</w:t>
            </w:r>
          </w:p>
        </w:tc>
      </w:tr>
      <w:tr>
        <w:trPr>
          <w:trHeight w:val="211"/>
        </w:trPr>
        <w:tc>
          <w:tcPr>
            <w:tcW w:w="2600" w:type="dxa"/>
            <w:vAlign w:val="bottom"/>
          </w:tcPr>
          <w:p>
            <w:pPr>
              <w:ind w:left="240"/>
              <w:spacing w:after="0"/>
              <w:rPr>
                <w:sz w:val="20"/>
                <w:szCs w:val="20"/>
                <w:color w:val="auto"/>
              </w:rPr>
            </w:pPr>
            <w:r>
              <w:rPr>
                <w:rFonts w:ascii="Arial" w:cs="Arial" w:eastAsia="Arial" w:hAnsi="Arial"/>
                <w:sz w:val="14"/>
                <w:szCs w:val="14"/>
                <w:i w:val="1"/>
                <w:iCs w:val="1"/>
                <w:color w:val="auto"/>
              </w:rPr>
              <w:t>Percentage change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0.3 %</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929"/>
        </w:trPr>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11"/>
          </w:tcPr>
          <w:p>
            <w:pPr>
              <w:jc w:val="right"/>
              <w:ind w:right="640"/>
              <w:spacing w:after="0"/>
              <w:rPr>
                <w:sz w:val="20"/>
                <w:szCs w:val="20"/>
                <w:color w:val="auto"/>
              </w:rPr>
            </w:pPr>
            <w:r>
              <w:rPr>
                <w:rFonts w:ascii="Arial" w:cs="Arial" w:eastAsia="Arial" w:hAnsi="Arial"/>
                <w:sz w:val="14"/>
                <w:szCs w:val="14"/>
                <w:b w:val="1"/>
                <w:bCs w:val="1"/>
                <w:color w:val="auto"/>
              </w:rPr>
              <w:t>NET INCOME RECONCILIATION (in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
        </w:trPr>
        <w:tc>
          <w:tcPr>
            <w:tcW w:w="2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8"/>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0" w:type="dxa"/>
            <w:vAlign w:val="bottom"/>
            <w:gridSpan w:val="8"/>
          </w:tcPr>
          <w:p>
            <w:pPr>
              <w:jc w:val="right"/>
              <w:ind w:right="240"/>
              <w:spacing w:after="0"/>
              <w:rPr>
                <w:sz w:val="20"/>
                <w:szCs w:val="20"/>
                <w:color w:val="auto"/>
              </w:rPr>
            </w:pPr>
            <w:r>
              <w:rPr>
                <w:rFonts w:ascii="Arial" w:cs="Arial" w:eastAsia="Arial" w:hAnsi="Arial"/>
                <w:sz w:val="14"/>
                <w:szCs w:val="14"/>
                <w:color w:val="auto"/>
              </w:rPr>
              <w:t>Three Months Ended April 30,</w:t>
            </w:r>
          </w:p>
        </w:tc>
        <w:tc>
          <w:tcPr>
            <w:tcW w:w="120" w:type="dxa"/>
            <w:vAlign w:val="bottom"/>
          </w:tcPr>
          <w:p>
            <w:pPr>
              <w:spacing w:after="0"/>
              <w:rPr>
                <w:sz w:val="17"/>
                <w:szCs w:val="17"/>
                <w:color w:val="auto"/>
              </w:rPr>
            </w:pPr>
          </w:p>
        </w:tc>
        <w:tc>
          <w:tcPr>
            <w:tcW w:w="2000" w:type="dxa"/>
            <w:vAlign w:val="bottom"/>
            <w:gridSpan w:val="5"/>
          </w:tcPr>
          <w:p>
            <w:pPr>
              <w:jc w:val="right"/>
              <w:ind w:right="108"/>
              <w:spacing w:after="0"/>
              <w:rPr>
                <w:sz w:val="20"/>
                <w:szCs w:val="20"/>
                <w:color w:val="auto"/>
              </w:rPr>
            </w:pPr>
            <w:r>
              <w:rPr>
                <w:rFonts w:ascii="Arial" w:cs="Arial" w:eastAsia="Arial" w:hAnsi="Arial"/>
                <w:sz w:val="14"/>
                <w:szCs w:val="14"/>
                <w:color w:val="auto"/>
              </w:rPr>
              <w:t>Nine Months Ended April 30,</w:t>
            </w:r>
          </w:p>
        </w:tc>
      </w:tr>
      <w:tr>
        <w:trPr>
          <w:trHeight w:val="30"/>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68"/>
              <w:spacing w:after="0"/>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2012</w:t>
            </w:r>
          </w:p>
        </w:tc>
      </w:tr>
      <w:tr>
        <w:trPr>
          <w:trHeight w:val="30"/>
        </w:trPr>
        <w:tc>
          <w:tcPr>
            <w:tcW w:w="2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1"/>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profit for reportable segments</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71,420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205,540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215,714</w:t>
            </w:r>
          </w:p>
        </w:tc>
      </w:tr>
      <w:tr>
        <w:trPr>
          <w:trHeight w:val="211"/>
        </w:trPr>
        <w:tc>
          <w:tcPr>
            <w:tcW w:w="2600" w:type="dxa"/>
            <w:vAlign w:val="bottom"/>
          </w:tcPr>
          <w:p>
            <w:pPr>
              <w:ind w:left="20"/>
              <w:spacing w:after="0"/>
              <w:rPr>
                <w:sz w:val="20"/>
                <w:szCs w:val="20"/>
                <w:color w:val="auto"/>
              </w:rPr>
            </w:pPr>
            <w:r>
              <w:rPr>
                <w:rFonts w:ascii="Arial" w:cs="Arial" w:eastAsia="Arial" w:hAnsi="Arial"/>
                <w:sz w:val="14"/>
                <w:szCs w:val="14"/>
                <w:color w:val="auto"/>
              </w:rPr>
              <w:t>Corporate and eliminations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(6,010)</w:t>
            </w:r>
          </w:p>
        </w:tc>
      </w:tr>
      <w:tr>
        <w:trPr>
          <w:trHeight w:val="30"/>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1"/>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Unallocated amounts:</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211"/>
        </w:trPr>
        <w:tc>
          <w:tcPr>
            <w:tcW w:w="2600" w:type="dxa"/>
            <w:vAlign w:val="bottom"/>
          </w:tcPr>
          <w:p>
            <w:pPr>
              <w:ind w:left="340"/>
              <w:spacing w:after="0"/>
              <w:rPr>
                <w:sz w:val="20"/>
                <w:szCs w:val="20"/>
                <w:color w:val="auto"/>
              </w:rPr>
            </w:pPr>
            <w:r>
              <w:rPr>
                <w:rFonts w:ascii="Arial" w:cs="Arial" w:eastAsia="Arial" w:hAnsi="Arial"/>
                <w:sz w:val="14"/>
                <w:szCs w:val="14"/>
                <w:color w:val="auto"/>
              </w:rPr>
              <w:t>Administrative costs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(30,642)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(25,506)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(94,042)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(82,636)</w:t>
            </w:r>
          </w:p>
        </w:tc>
      </w:tr>
      <w:tr>
        <w:trPr>
          <w:trHeight w:val="30"/>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1"/>
        </w:trPr>
        <w:tc>
          <w:tcPr>
            <w:tcW w:w="2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(1,977)</w:t>
            </w:r>
          </w:p>
        </w:tc>
      </w:tr>
      <w:tr>
        <w:trPr>
          <w:trHeight w:val="211"/>
        </w:trPr>
        <w:tc>
          <w:tcPr>
            <w:tcW w:w="2600" w:type="dxa"/>
            <w:vAlign w:val="bottom"/>
          </w:tcPr>
          <w:p>
            <w:pPr>
              <w:ind w:left="340"/>
              <w:spacing w:after="0"/>
              <w:rPr>
                <w:sz w:val="20"/>
                <w:szCs w:val="20"/>
                <w:color w:val="auto"/>
              </w:rPr>
            </w:pPr>
            <w:r>
              <w:rPr>
                <w:rFonts w:ascii="Arial" w:cs="Arial" w:eastAsia="Arial" w:hAnsi="Arial"/>
                <w:sz w:val="14"/>
                <w:szCs w:val="14"/>
                <w:color w:val="auto"/>
              </w:rPr>
              <w:t>Investment and other income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1,719</w:t>
            </w:r>
          </w:p>
        </w:tc>
      </w:tr>
      <w:tr>
        <w:trPr>
          <w:trHeight w:val="30"/>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1"/>
        </w:trPr>
        <w:tc>
          <w:tcPr>
            <w:tcW w:w="2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(12,755)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(14,715)</w:t>
            </w:r>
          </w:p>
        </w:tc>
      </w:tr>
      <w:tr>
        <w:trPr>
          <w:trHeight w:val="211"/>
        </w:trPr>
        <w:tc>
          <w:tcPr>
            <w:tcW w:w="3600" w:type="dxa"/>
            <w:vAlign w:val="bottom"/>
            <w:gridSpan w:val="3"/>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27,902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85,634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112,095</w:t>
            </w:r>
          </w:p>
        </w:tc>
      </w:tr>
      <w:tr>
        <w:trPr>
          <w:trHeight w:val="30"/>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2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27,767</w:t>
            </w:r>
          </w:p>
        </w:tc>
      </w:tr>
      <w:tr>
        <w:trPr>
          <w:trHeight w:val="191"/>
        </w:trPr>
        <w:tc>
          <w:tcPr>
            <w:tcW w:w="2600" w:type="dxa"/>
            <w:vAlign w:val="bottom"/>
          </w:tcPr>
          <w:p>
            <w:pPr>
              <w:ind w:left="20"/>
              <w:spacing w:after="0"/>
              <w:rPr>
                <w:sz w:val="20"/>
                <w:szCs w:val="20"/>
                <w:color w:val="auto"/>
              </w:rPr>
            </w:pPr>
            <w:r>
              <w:rPr>
                <w:rFonts w:ascii="Arial" w:cs="Arial" w:eastAsia="Arial" w:hAnsi="Arial"/>
                <w:sz w:val="14"/>
                <w:szCs w:val="14"/>
                <w:color w:val="auto"/>
              </w:rPr>
              <w:t>Net earnings from continuing operations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21,838</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28,039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37,669</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84,328</w:t>
            </w:r>
          </w:p>
        </w:tc>
      </w:tr>
      <w:tr>
        <w:trPr>
          <w:trHeight w:val="30"/>
        </w:trPr>
        <w:tc>
          <w:tcPr>
            <w:tcW w:w="27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3"/>
              </w:rPr>
              <w:t>(Loss) from discontinued operations, net of tax</w:t>
            </w: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(17,605)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(113,898)</w:t>
            </w:r>
          </w:p>
        </w:tc>
      </w:tr>
      <w:tr>
        <w:trPr>
          <w:trHeight w:val="213"/>
        </w:trPr>
        <w:tc>
          <w:tcPr>
            <w:tcW w:w="260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27,652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22,736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(29,570)</w:t>
            </w: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939"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GAAP TO 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285" w:lineRule="exact"/>
        <w:rPr>
          <w:sz w:val="20"/>
          <w:szCs w:val="20"/>
          <w:color w:val="auto"/>
        </w:rPr>
      </w:pPr>
    </w:p>
    <w:p>
      <w:pPr>
        <w:jc w:val="both"/>
        <w:ind w:left="60" w:right="1259"/>
        <w:spacing w:after="0" w:line="302"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EBITDA:</w:t>
      </w:r>
    </w:p>
    <w:p>
      <w:pPr>
        <w:spacing w:after="0" w:line="72" w:lineRule="exact"/>
        <w:rPr>
          <w:sz w:val="20"/>
          <w:szCs w:val="20"/>
          <w:color w:val="auto"/>
        </w:rPr>
      </w:pPr>
    </w:p>
    <w:p>
      <w:pPr>
        <w:jc w:val="both"/>
        <w:ind w:left="60" w:right="1239"/>
        <w:spacing w:after="0" w:line="301" w:lineRule="auto"/>
        <w:rPr>
          <w:sz w:val="20"/>
          <w:szCs w:val="20"/>
          <w:color w:val="auto"/>
        </w:rPr>
      </w:pPr>
      <w:r>
        <w:rPr>
          <w:rFonts w:ascii="Arial" w:cs="Arial" w:eastAsia="Arial" w:hAnsi="Arial"/>
          <w:sz w:val="13"/>
          <w:szCs w:val="13"/>
          <w:color w:val="auto"/>
        </w:rPr>
        <w:t>Brady is presenting EBITDA because it is used by many of our investors and lenders, and is presented as a convenience to them. EBITDA represents net income before interest expense, income taxes,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net cash provided by operating activities as a measure of liquidity. The EBITDA measure presented may not always be comparable to similarly titled measures reported by other companies due to differences in the components of the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156210</wp:posOffset>
            </wp:positionV>
            <wp:extent cx="30714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71495" cy="7620"/>
                    </a:xfrm>
                    <a:prstGeom prst="rect">
                      <a:avLst/>
                    </a:prstGeom>
                    <a:noFill/>
                  </pic:spPr>
                </pic:pic>
              </a:graphicData>
            </a:graphic>
          </wp:anchor>
        </w:drawing>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Fiscal 2013</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0"/>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5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Q1</w:t>
            </w:r>
          </w:p>
        </w:tc>
        <w:tc>
          <w:tcPr>
            <w:tcW w:w="22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color w:val="auto"/>
              </w:rPr>
              <w:t>Q2</w:t>
            </w:r>
          </w:p>
        </w:tc>
        <w:tc>
          <w:tcPr>
            <w:tcW w:w="10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Q3</w:t>
            </w:r>
          </w:p>
        </w:tc>
        <w:tc>
          <w:tcPr>
            <w:tcW w:w="220" w:type="dxa"/>
            <w:vAlign w:val="bottom"/>
          </w:tcPr>
          <w:p>
            <w:pPr>
              <w:spacing w:after="0"/>
              <w:rPr>
                <w:sz w:val="24"/>
                <w:szCs w:val="2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Q4</w:t>
            </w:r>
          </w:p>
        </w:tc>
        <w:tc>
          <w:tcPr>
            <w:tcW w:w="200" w:type="dxa"/>
            <w:vAlign w:val="bottom"/>
          </w:tcPr>
          <w:p>
            <w:pPr>
              <w:spacing w:after="0"/>
              <w:rPr>
                <w:sz w:val="24"/>
                <w:szCs w:val="2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Total</w:t>
            </w:r>
          </w:p>
        </w:tc>
      </w:tr>
      <w:tr>
        <w:trPr>
          <w:trHeight w:val="30"/>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11"/>
        </w:trPr>
        <w:tc>
          <w:tcPr>
            <w:tcW w:w="4120" w:type="dxa"/>
            <w:vAlign w:val="bottom"/>
          </w:tcPr>
          <w:p>
            <w:pPr>
              <w:ind w:left="32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27,188</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(8,684)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22,737</w:t>
            </w:r>
          </w:p>
        </w:tc>
      </w:tr>
      <w:tr>
        <w:trPr>
          <w:trHeight w:val="30"/>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4,406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12,754</w:t>
            </w:r>
          </w:p>
        </w:tc>
      </w:tr>
      <w:tr>
        <w:trPr>
          <w:trHeight w:val="211"/>
        </w:trPr>
        <w:tc>
          <w:tcPr>
            <w:tcW w:w="4120" w:type="dxa"/>
            <w:vAlign w:val="bottom"/>
          </w:tcPr>
          <w:p>
            <w:pPr>
              <w:ind w:left="520"/>
              <w:spacing w:after="0"/>
              <w:rPr>
                <w:sz w:val="20"/>
                <w:szCs w:val="20"/>
                <w:color w:val="auto"/>
              </w:rPr>
            </w:pPr>
            <w:r>
              <w:rPr>
                <w:rFonts w:ascii="Arial" w:cs="Arial" w:eastAsia="Arial" w:hAnsi="Arial"/>
                <w:sz w:val="14"/>
                <w:szCs w:val="14"/>
                <w:color w:val="auto"/>
              </w:rPr>
              <w:t>Income taxes</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13,482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30,625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51,702</w:t>
            </w:r>
          </w:p>
        </w:tc>
      </w:tr>
      <w:tr>
        <w:trPr>
          <w:trHeight w:val="30"/>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10,675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11,371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13,991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36,037</w:t>
            </w:r>
          </w:p>
        </w:tc>
      </w:tr>
      <w:tr>
        <w:trPr>
          <w:trHeight w:val="211"/>
        </w:trPr>
        <w:tc>
          <w:tcPr>
            <w:tcW w:w="4120" w:type="dxa"/>
            <w:vAlign w:val="bottom"/>
          </w:tcPr>
          <w:p>
            <w:pPr>
              <w:ind w:left="520"/>
              <w:spacing w:after="0"/>
              <w:rPr>
                <w:sz w:val="20"/>
                <w:szCs w:val="20"/>
                <w:color w:val="auto"/>
              </w:rPr>
            </w:pPr>
            <w:r>
              <w:rPr>
                <w:rFonts w:ascii="Arial" w:cs="Arial" w:eastAsia="Arial" w:hAnsi="Arial"/>
                <w:sz w:val="14"/>
                <w:szCs w:val="14"/>
                <w:color w:val="auto"/>
              </w:rPr>
              <w:t>Intangible asset write-down in restructuring charges</w:t>
            </w:r>
          </w:p>
        </w:tc>
        <w:tc>
          <w:tcPr>
            <w:tcW w:w="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3,207</w:t>
            </w:r>
          </w:p>
        </w:tc>
      </w:tr>
      <w:tr>
        <w:trPr>
          <w:trHeight w:val="30"/>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1"/>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Loss on write-down of assets held for sale</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15,658</w:t>
            </w:r>
          </w:p>
        </w:tc>
      </w:tr>
      <w:tr>
        <w:trPr>
          <w:trHeight w:val="245"/>
        </w:trPr>
        <w:tc>
          <w:tcPr>
            <w:tcW w:w="4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21"/>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EBITDA (non-GAAP measure)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37,718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48,869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142,095</w:t>
            </w:r>
          </w:p>
        </w:tc>
      </w:tr>
      <w:tr>
        <w:trPr>
          <w:trHeight w:val="20"/>
        </w:trPr>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r>
      <w:tr>
        <w:trPr>
          <w:trHeight w:val="191"/>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Fiscal 2012</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0"/>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5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Q1</w:t>
            </w:r>
          </w:p>
        </w:tc>
        <w:tc>
          <w:tcPr>
            <w:tcW w:w="22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color w:val="auto"/>
              </w:rPr>
              <w:t>Q2</w:t>
            </w:r>
          </w:p>
        </w:tc>
        <w:tc>
          <w:tcPr>
            <w:tcW w:w="10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Q3</w:t>
            </w:r>
          </w:p>
        </w:tc>
        <w:tc>
          <w:tcPr>
            <w:tcW w:w="220" w:type="dxa"/>
            <w:vAlign w:val="bottom"/>
          </w:tcPr>
          <w:p>
            <w:pPr>
              <w:spacing w:after="0"/>
              <w:rPr>
                <w:sz w:val="24"/>
                <w:szCs w:val="2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Q4</w:t>
            </w:r>
          </w:p>
        </w:tc>
        <w:tc>
          <w:tcPr>
            <w:tcW w:w="200" w:type="dxa"/>
            <w:vAlign w:val="bottom"/>
          </w:tcPr>
          <w:p>
            <w:pPr>
              <w:spacing w:after="0"/>
              <w:rPr>
                <w:sz w:val="24"/>
                <w:szCs w:val="2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Total</w:t>
            </w:r>
          </w:p>
        </w:tc>
      </w:tr>
      <w:tr>
        <w:trPr>
          <w:trHeight w:val="30"/>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11"/>
        </w:trPr>
        <w:tc>
          <w:tcPr>
            <w:tcW w:w="4120" w:type="dxa"/>
            <w:vAlign w:val="bottom"/>
          </w:tcPr>
          <w:p>
            <w:pPr>
              <w:ind w:left="32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32,732</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(89,954)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27,652</w:t>
            </w:r>
          </w:p>
        </w:tc>
        <w:tc>
          <w:tcPr>
            <w:tcW w:w="10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11,659</w:t>
            </w:r>
          </w:p>
        </w:tc>
        <w:tc>
          <w:tcPr>
            <w:tcW w:w="10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(17,911)</w:t>
            </w:r>
          </w:p>
        </w:tc>
      </w:tr>
      <w:tr>
        <w:trPr>
          <w:trHeight w:val="30"/>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4,933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19,090</w:t>
            </w:r>
          </w:p>
        </w:tc>
      </w:tr>
      <w:tr>
        <w:trPr>
          <w:trHeight w:val="211"/>
        </w:trPr>
        <w:tc>
          <w:tcPr>
            <w:tcW w:w="4120" w:type="dxa"/>
            <w:vAlign w:val="bottom"/>
          </w:tcPr>
          <w:p>
            <w:pPr>
              <w:ind w:left="520"/>
              <w:spacing w:after="0"/>
              <w:rPr>
                <w:sz w:val="20"/>
                <w:szCs w:val="20"/>
                <w:color w:val="auto"/>
              </w:rPr>
            </w:pPr>
            <w:r>
              <w:rPr>
                <w:rFonts w:ascii="Arial" w:cs="Arial" w:eastAsia="Arial" w:hAnsi="Arial"/>
                <w:sz w:val="14"/>
                <w:szCs w:val="14"/>
                <w:color w:val="auto"/>
              </w:rPr>
              <w:t>Income taxes</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8,635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40,661</w:t>
            </w:r>
          </w:p>
        </w:tc>
      </w:tr>
      <w:tr>
        <w:trPr>
          <w:trHeight w:val="30"/>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11,241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10,935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43,987</w:t>
            </w:r>
          </w:p>
        </w:tc>
      </w:tr>
      <w:tr>
        <w:trPr>
          <w:trHeight w:val="211"/>
        </w:trPr>
        <w:tc>
          <w:tcPr>
            <w:tcW w:w="4120" w:type="dxa"/>
            <w:vAlign w:val="bottom"/>
          </w:tcPr>
          <w:p>
            <w:pPr>
              <w:ind w:left="520"/>
              <w:spacing w:after="0"/>
              <w:rPr>
                <w:sz w:val="20"/>
                <w:szCs w:val="20"/>
                <w:color w:val="auto"/>
              </w:rPr>
            </w:pPr>
            <w:r>
              <w:rPr>
                <w:rFonts w:ascii="Arial" w:cs="Arial" w:eastAsia="Arial" w:hAnsi="Arial"/>
                <w:sz w:val="14"/>
                <w:szCs w:val="14"/>
                <w:color w:val="auto"/>
              </w:rPr>
              <w:t>Impairment charge</w:t>
            </w:r>
          </w:p>
        </w:tc>
        <w:tc>
          <w:tcPr>
            <w:tcW w:w="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115,688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115,688</w:t>
            </w:r>
          </w:p>
        </w:tc>
      </w:tr>
      <w:tr>
        <w:trPr>
          <w:trHeight w:val="30"/>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5"/>
        </w:trPr>
        <w:tc>
          <w:tcPr>
            <w:tcW w:w="4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21"/>
        </w:trPr>
        <w:tc>
          <w:tcPr>
            <w:tcW w:w="4120" w:type="dxa"/>
            <w:vAlign w:val="bottom"/>
          </w:tcPr>
          <w:p>
            <w:pPr>
              <w:ind w:left="320"/>
              <w:spacing w:after="0"/>
              <w:rPr>
                <w:sz w:val="20"/>
                <w:szCs w:val="20"/>
                <w:color w:val="auto"/>
              </w:rPr>
            </w:pPr>
            <w:r>
              <w:rPr>
                <w:rFonts w:ascii="Arial" w:cs="Arial" w:eastAsia="Arial" w:hAnsi="Arial"/>
                <w:sz w:val="14"/>
                <w:szCs w:val="14"/>
                <w:color w:val="auto"/>
              </w:rPr>
              <w:t>EBITDA (non-GAAP measure)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50,237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201,515</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GAAP TO 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w:t>
      </w:r>
    </w:p>
    <w:p>
      <w:pPr>
        <w:spacing w:after="0" w:line="72" w:lineRule="exact"/>
        <w:rPr>
          <w:sz w:val="20"/>
          <w:szCs w:val="20"/>
          <w:color w:val="auto"/>
        </w:rPr>
      </w:pPr>
    </w:p>
    <w:p>
      <w:pPr>
        <w:jc w:val="both"/>
        <w:ind w:left="60" w:right="1299"/>
        <w:spacing w:after="0" w:line="276" w:lineRule="auto"/>
        <w:rPr>
          <w:sz w:val="20"/>
          <w:szCs w:val="20"/>
          <w:color w:val="auto"/>
        </w:rPr>
      </w:pPr>
      <w:r>
        <w:rPr>
          <w:rFonts w:ascii="Arial" w:cs="Arial" w:eastAsia="Arial" w:hAnsi="Arial"/>
          <w:sz w:val="14"/>
          <w:szCs w:val="14"/>
          <w:color w:val="auto"/>
        </w:rPr>
        <w:t>Brady is presenting the Non-GAAP measure "Earnings from Continuing Operations Before Income Taxes Excluding Certain Items." This is not a calculation based upon GAAP. The amounts included in this Non-GAAP measure are derived from amounts included in the Condensed Consolidated Statements of Income data. We do not view these items to be part of our sustainable results. We believe this profit measure provides an important perspective of underlying business trends and results and provides a more comparable measure from year to year. The table below provides a reconciliation of Earnings from Continuing Operations Before Income Taxes to Earnings from Continuing Operations Before Income Taxes Excluding Certain Items":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980" w:type="dxa"/>
            <w:vAlign w:val="bottom"/>
          </w:tcPr>
          <w:p>
            <w:pPr>
              <w:spacing w:after="0"/>
              <w:rPr>
                <w:sz w:val="15"/>
                <w:szCs w:val="15"/>
                <w:color w:val="auto"/>
              </w:rPr>
            </w:pPr>
          </w:p>
        </w:tc>
        <w:tc>
          <w:tcPr>
            <w:tcW w:w="2000" w:type="dxa"/>
            <w:vAlign w:val="bottom"/>
            <w:gridSpan w:val="6"/>
          </w:tcPr>
          <w:p>
            <w:pPr>
              <w:ind w:left="60"/>
              <w:spacing w:after="0"/>
              <w:rPr>
                <w:sz w:val="20"/>
                <w:szCs w:val="20"/>
                <w:color w:val="auto"/>
              </w:rPr>
            </w:pPr>
            <w:r>
              <w:rPr>
                <w:rFonts w:ascii="Arial" w:cs="Arial" w:eastAsia="Arial" w:hAnsi="Arial"/>
                <w:sz w:val="14"/>
                <w:szCs w:val="14"/>
                <w:color w:val="auto"/>
              </w:rPr>
              <w:t>Three Months Ended April 30,</w:t>
            </w:r>
          </w:p>
        </w:tc>
        <w:tc>
          <w:tcPr>
            <w:tcW w:w="100" w:type="dxa"/>
            <w:vAlign w:val="bottom"/>
          </w:tcPr>
          <w:p>
            <w:pPr>
              <w:spacing w:after="0"/>
              <w:rPr>
                <w:sz w:val="15"/>
                <w:szCs w:val="15"/>
                <w:color w:val="auto"/>
              </w:rPr>
            </w:pPr>
          </w:p>
        </w:tc>
        <w:tc>
          <w:tcPr>
            <w:tcW w:w="1820" w:type="dxa"/>
            <w:vAlign w:val="bottom"/>
            <w:gridSpan w:val="4"/>
          </w:tcPr>
          <w:p>
            <w:pPr>
              <w:jc w:val="right"/>
              <w:ind w:right="8"/>
              <w:spacing w:after="0"/>
              <w:rPr>
                <w:sz w:val="20"/>
                <w:szCs w:val="20"/>
                <w:color w:val="auto"/>
              </w:rPr>
            </w:pPr>
            <w:r>
              <w:rPr>
                <w:rFonts w:ascii="Arial" w:cs="Arial" w:eastAsia="Arial" w:hAnsi="Arial"/>
                <w:sz w:val="14"/>
                <w:szCs w:val="14"/>
                <w:color w:val="auto"/>
                <w:w w:val="96"/>
              </w:rPr>
              <w:t>Nine Months Ended April 30,</w:t>
            </w:r>
          </w:p>
        </w:tc>
      </w:tr>
      <w:tr>
        <w:trPr>
          <w:trHeight w:val="30"/>
        </w:trPr>
        <w:tc>
          <w:tcPr>
            <w:tcW w:w="4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2012</w:t>
            </w:r>
          </w:p>
        </w:tc>
      </w:tr>
      <w:tr>
        <w:trPr>
          <w:trHeight w:val="30"/>
        </w:trPr>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1"/>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Earnings from Continuing Operations Before Income Taxes (GAAP measure)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27,902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39,329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85,634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112,095</w:t>
            </w:r>
          </w:p>
        </w:tc>
      </w:tr>
      <w:tr>
        <w:trPr>
          <w:trHeight w:val="211"/>
        </w:trPr>
        <w:tc>
          <w:tcPr>
            <w:tcW w:w="4980" w:type="dxa"/>
            <w:vAlign w:val="bottom"/>
          </w:tcPr>
          <w:p>
            <w:pPr>
              <w:ind w:left="300"/>
              <w:spacing w:after="0"/>
              <w:rPr>
                <w:sz w:val="20"/>
                <w:szCs w:val="20"/>
                <w:color w:val="auto"/>
              </w:rPr>
            </w:pPr>
            <w:r>
              <w:rPr>
                <w:rFonts w:ascii="Arial" w:cs="Arial" w:eastAsia="Arial" w:hAnsi="Arial"/>
                <w:sz w:val="14"/>
                <w:szCs w:val="14"/>
                <w:color w:val="auto"/>
              </w:rPr>
              <w:t>Cost of goods sold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0"/>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Purchase accounting expense related to inventory</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980" w:type="dxa"/>
            <w:vAlign w:val="bottom"/>
          </w:tcPr>
          <w:p>
            <w:pPr>
              <w:ind w:left="30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0"/>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PDC acquisition-related expenses</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980" w:type="dxa"/>
            <w:vAlign w:val="bottom"/>
          </w:tcPr>
          <w:p>
            <w:pPr>
              <w:ind w:left="300"/>
              <w:spacing w:after="0"/>
              <w:rPr>
                <w:sz w:val="20"/>
                <w:szCs w:val="20"/>
                <w:color w:val="auto"/>
              </w:rPr>
            </w:pPr>
            <w:r>
              <w:rPr>
                <w:rFonts w:ascii="Arial" w:cs="Arial" w:eastAsia="Arial" w:hAnsi="Arial"/>
                <w:sz w:val="14"/>
                <w:szCs w:val="14"/>
                <w:color w:val="auto"/>
              </w:rPr>
              <w:t>Restructuring charges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1,977</w:t>
            </w:r>
          </w:p>
        </w:tc>
      </w:tr>
      <w:tr>
        <w:trPr>
          <w:trHeight w:val="30"/>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1"/>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Non-cash income tax charge</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57"/>
        </w:trPr>
        <w:tc>
          <w:tcPr>
            <w:tcW w:w="49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21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52"/>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Excluding Certain Items (non-GAAP measure)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101,251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114,072</w:t>
            </w: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Income Taxes on Continuing Operations Excluding Certain Items:</w:t>
      </w:r>
    </w:p>
    <w:p>
      <w:pPr>
        <w:spacing w:after="0" w:line="72" w:lineRule="exact"/>
        <w:rPr>
          <w:sz w:val="20"/>
          <w:szCs w:val="20"/>
          <w:color w:val="auto"/>
        </w:rPr>
      </w:pPr>
    </w:p>
    <w:p>
      <w:pPr>
        <w:jc w:val="both"/>
        <w:ind w:left="60" w:right="1259"/>
        <w:spacing w:after="0" w:line="277" w:lineRule="auto"/>
        <w:rPr>
          <w:sz w:val="20"/>
          <w:szCs w:val="20"/>
          <w:color w:val="auto"/>
        </w:rPr>
      </w:pPr>
      <w:r>
        <w:rPr>
          <w:rFonts w:ascii="Arial" w:cs="Arial" w:eastAsia="Arial" w:hAnsi="Arial"/>
          <w:sz w:val="14"/>
          <w:szCs w:val="14"/>
          <w:color w:val="auto"/>
        </w:rPr>
        <w:t>Brady is presenting the Non-GAAP measure "Income Taxes on Continuing Operations Excluding Certain Items." This is not a calculation based upon GAAP. The amounts included in this Non-GAAP measure are derived from amounts included in the Condensed Consolidated Statements of Income data.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spacing w:after="0"/>
              <w:rPr>
                <w:sz w:val="20"/>
                <w:szCs w:val="20"/>
                <w:color w:val="auto"/>
              </w:rPr>
            </w:pPr>
            <w:r>
              <w:rPr>
                <w:rFonts w:ascii="Arial" w:cs="Arial" w:eastAsia="Arial" w:hAnsi="Arial"/>
                <w:sz w:val="14"/>
                <w:szCs w:val="14"/>
                <w:color w:val="auto"/>
              </w:rPr>
              <w:t>Three Months Ended April 30,</w:t>
            </w:r>
          </w:p>
        </w:tc>
        <w:tc>
          <w:tcPr>
            <w:tcW w:w="120" w:type="dxa"/>
            <w:vAlign w:val="bottom"/>
          </w:tcPr>
          <w:p>
            <w:pPr>
              <w:spacing w:after="0"/>
              <w:rPr>
                <w:sz w:val="15"/>
                <w:szCs w:val="15"/>
                <w:color w:val="auto"/>
              </w:rPr>
            </w:pPr>
          </w:p>
        </w:tc>
        <w:tc>
          <w:tcPr>
            <w:tcW w:w="1860" w:type="dxa"/>
            <w:vAlign w:val="bottom"/>
            <w:gridSpan w:val="4"/>
          </w:tcPr>
          <w:p>
            <w:pPr>
              <w:jc w:val="right"/>
              <w:ind w:right="48"/>
              <w:spacing w:after="0"/>
              <w:rPr>
                <w:sz w:val="20"/>
                <w:szCs w:val="20"/>
                <w:color w:val="auto"/>
              </w:rPr>
            </w:pPr>
            <w:r>
              <w:rPr>
                <w:rFonts w:ascii="Arial" w:cs="Arial" w:eastAsia="Arial" w:hAnsi="Arial"/>
                <w:sz w:val="14"/>
                <w:szCs w:val="14"/>
                <w:color w:val="auto"/>
                <w:w w:val="96"/>
              </w:rPr>
              <w:t>Nine Months Ended April 30,</w:t>
            </w:r>
          </w:p>
        </w:tc>
      </w:tr>
      <w:tr>
        <w:trPr>
          <w:trHeight w:val="30"/>
        </w:trPr>
        <w:tc>
          <w:tcPr>
            <w:tcW w:w="4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3"/>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2012</w:t>
            </w:r>
          </w:p>
        </w:tc>
      </w:tr>
      <w:tr>
        <w:trPr>
          <w:trHeight w:val="30"/>
        </w:trPr>
        <w:tc>
          <w:tcPr>
            <w:tcW w:w="4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1"/>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(GAAP measure)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11,290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47,965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27,767</w:t>
            </w:r>
          </w:p>
        </w:tc>
      </w:tr>
      <w:tr>
        <w:trPr>
          <w:trHeight w:val="211"/>
        </w:trPr>
        <w:tc>
          <w:tcPr>
            <w:tcW w:w="4920" w:type="dxa"/>
            <w:vAlign w:val="bottom"/>
          </w:tcPr>
          <w:p>
            <w:pPr>
              <w:ind w:left="320"/>
              <w:spacing w:after="0"/>
              <w:rPr>
                <w:sz w:val="20"/>
                <w:szCs w:val="20"/>
                <w:color w:val="auto"/>
              </w:rPr>
            </w:pPr>
            <w:r>
              <w:rPr>
                <w:rFonts w:ascii="Arial" w:cs="Arial" w:eastAsia="Arial" w:hAnsi="Arial"/>
                <w:sz w:val="14"/>
                <w:szCs w:val="14"/>
                <w:color w:val="auto"/>
              </w:rPr>
              <w:t>Cost of goods sold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9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Purchase accounting expense related to inventory</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920" w:type="dxa"/>
            <w:vAlign w:val="bottom"/>
          </w:tcPr>
          <w:p>
            <w:pPr>
              <w:ind w:left="32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9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PDC acquisition-related expenses</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920" w:type="dxa"/>
            <w:vAlign w:val="bottom"/>
          </w:tcPr>
          <w:p>
            <w:pPr>
              <w:ind w:left="320"/>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30"/>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Non-cash income tax charge</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57"/>
        </w:trPr>
        <w:tc>
          <w:tcPr>
            <w:tcW w:w="49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11"/>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52"/>
        </w:trPr>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(non-GAAP measure)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27,929</w:t>
            </w:r>
          </w:p>
        </w:tc>
      </w:tr>
      <w:tr>
        <w:trPr>
          <w:trHeight w:val="20"/>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682"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GAAP TO 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Excluding Certain Items:</w:t>
      </w:r>
    </w:p>
    <w:p>
      <w:pPr>
        <w:spacing w:after="0" w:line="72" w:lineRule="exact"/>
        <w:rPr>
          <w:sz w:val="20"/>
          <w:szCs w:val="20"/>
          <w:color w:val="auto"/>
        </w:rPr>
      </w:pPr>
    </w:p>
    <w:p>
      <w:pPr>
        <w:jc w:val="both"/>
        <w:ind w:left="60" w:right="1259"/>
        <w:spacing w:after="0" w:line="277" w:lineRule="auto"/>
        <w:rPr>
          <w:sz w:val="20"/>
          <w:szCs w:val="20"/>
          <w:color w:val="auto"/>
        </w:rPr>
      </w:pPr>
      <w:r>
        <w:rPr>
          <w:rFonts w:ascii="Arial" w:cs="Arial" w:eastAsia="Arial" w:hAnsi="Arial"/>
          <w:sz w:val="14"/>
          <w:szCs w:val="14"/>
          <w:color w:val="auto"/>
        </w:rPr>
        <w:t>Brady is presenting the Non-GAAP measure "Net Earnings from Continuing Operations Excluding Certain Items." This is not a calculation based upon GAAP. The amounts included in this Non-GAAP measure are derived from amounts included in the Condensed Consolidated Statements of Income data.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to Net Earnings from Continuing Operations Excluding Certain Items:</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5"/>
          </w:tcPr>
          <w:p>
            <w:pPr>
              <w:spacing w:after="0"/>
              <w:rPr>
                <w:sz w:val="20"/>
                <w:szCs w:val="20"/>
                <w:color w:val="auto"/>
              </w:rPr>
            </w:pPr>
            <w:r>
              <w:rPr>
                <w:rFonts w:ascii="Arial" w:cs="Arial" w:eastAsia="Arial" w:hAnsi="Arial"/>
                <w:sz w:val="14"/>
                <w:szCs w:val="14"/>
                <w:color w:val="auto"/>
              </w:rPr>
              <w:t>Three Months Ended April 30,</w:t>
            </w:r>
          </w:p>
        </w:tc>
        <w:tc>
          <w:tcPr>
            <w:tcW w:w="120" w:type="dxa"/>
            <w:vAlign w:val="bottom"/>
          </w:tcPr>
          <w:p>
            <w:pPr>
              <w:spacing w:after="0"/>
              <w:rPr>
                <w:sz w:val="15"/>
                <w:szCs w:val="15"/>
                <w:color w:val="auto"/>
              </w:rPr>
            </w:pPr>
          </w:p>
        </w:tc>
        <w:tc>
          <w:tcPr>
            <w:tcW w:w="1840" w:type="dxa"/>
            <w:vAlign w:val="bottom"/>
            <w:gridSpan w:val="4"/>
          </w:tcPr>
          <w:p>
            <w:pPr>
              <w:jc w:val="right"/>
              <w:ind w:right="28"/>
              <w:spacing w:after="0"/>
              <w:rPr>
                <w:sz w:val="20"/>
                <w:szCs w:val="20"/>
                <w:color w:val="auto"/>
              </w:rPr>
            </w:pPr>
            <w:r>
              <w:rPr>
                <w:rFonts w:ascii="Arial" w:cs="Arial" w:eastAsia="Arial" w:hAnsi="Arial"/>
                <w:sz w:val="14"/>
                <w:szCs w:val="14"/>
                <w:color w:val="auto"/>
                <w:w w:val="96"/>
              </w:rPr>
              <w:t>Nine Months Ended April 30,</w:t>
            </w:r>
          </w:p>
        </w:tc>
      </w:tr>
      <w:tr>
        <w:trPr>
          <w:trHeight w:val="30"/>
        </w:trPr>
        <w:tc>
          <w:tcPr>
            <w:tcW w:w="49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3"/>
        </w:trPr>
        <w:tc>
          <w:tcPr>
            <w:tcW w:w="4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2012</w:t>
            </w:r>
          </w:p>
        </w:tc>
      </w:tr>
      <w:tr>
        <w:trPr>
          <w:trHeight w:val="30"/>
        </w:trPr>
        <w:tc>
          <w:tcPr>
            <w:tcW w:w="49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(GAAP measure)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21,838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28,039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37,669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84,328</w:t>
            </w:r>
          </w:p>
        </w:tc>
      </w:tr>
      <w:tr>
        <w:trPr>
          <w:trHeight w:val="211"/>
        </w:trPr>
        <w:tc>
          <w:tcPr>
            <w:tcW w:w="4960" w:type="dxa"/>
            <w:vAlign w:val="bottom"/>
          </w:tcPr>
          <w:p>
            <w:pPr>
              <w:ind w:left="320"/>
              <w:spacing w:after="0"/>
              <w:rPr>
                <w:sz w:val="20"/>
                <w:szCs w:val="20"/>
                <w:color w:val="auto"/>
              </w:rPr>
            </w:pPr>
            <w:r>
              <w:rPr>
                <w:rFonts w:ascii="Arial" w:cs="Arial" w:eastAsia="Arial" w:hAnsi="Arial"/>
                <w:sz w:val="14"/>
                <w:szCs w:val="14"/>
                <w:color w:val="auto"/>
              </w:rPr>
              <w:t>Cost of goods sold</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Purchase accounting expense related to inventory</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960" w:type="dxa"/>
            <w:vAlign w:val="bottom"/>
          </w:tcPr>
          <w:p>
            <w:pPr>
              <w:ind w:left="320"/>
              <w:spacing w:after="0"/>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PDC acquisition-related expenses</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960" w:type="dxa"/>
            <w:vAlign w:val="bottom"/>
          </w:tcPr>
          <w:p>
            <w:pPr>
              <w:ind w:left="320"/>
              <w:spacing w:after="0"/>
              <w:rPr>
                <w:sz w:val="20"/>
                <w:szCs w:val="20"/>
                <w:color w:val="auto"/>
              </w:rPr>
            </w:pPr>
            <w:r>
              <w:rPr>
                <w:rFonts w:ascii="Arial" w:cs="Arial" w:eastAsia="Arial" w:hAnsi="Arial"/>
                <w:sz w:val="14"/>
                <w:szCs w:val="14"/>
                <w:color w:val="auto"/>
              </w:rPr>
              <w:t>Restructuring charges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1,815</w:t>
            </w:r>
          </w:p>
        </w:tc>
      </w:tr>
      <w:tr>
        <w:trPr>
          <w:trHeight w:val="30"/>
        </w:trPr>
        <w:tc>
          <w:tcPr>
            <w:tcW w:w="4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Non-cash income tax charge</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57"/>
        </w:trPr>
        <w:tc>
          <w:tcPr>
            <w:tcW w:w="49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1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 Items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52"/>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(non-GAAP measure)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86,143</w:t>
            </w:r>
          </w:p>
        </w:tc>
      </w:tr>
      <w:tr>
        <w:trPr>
          <w:trHeight w:val="20"/>
        </w:trPr>
        <w:tc>
          <w:tcPr>
            <w:tcW w:w="4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60" w:right="1259"/>
        <w:spacing w:after="0" w:line="301" w:lineRule="auto"/>
        <w:rPr>
          <w:sz w:val="20"/>
          <w:szCs w:val="20"/>
          <w:color w:val="auto"/>
        </w:rPr>
      </w:pPr>
      <w:r>
        <w:rPr>
          <w:rFonts w:ascii="Arial" w:cs="Arial" w:eastAsia="Arial" w:hAnsi="Arial"/>
          <w:sz w:val="13"/>
          <w:szCs w:val="13"/>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Condensed Consolidated Statements of Income data.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Per Diluted Class A Nonvoting Common Share to Net Earnings from Continuing Operations Per Diluted Class A Nonvoting Common Share Excluding Certain Items: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960" w:type="dxa"/>
            <w:vAlign w:val="bottom"/>
          </w:tcPr>
          <w:p>
            <w:pPr>
              <w:spacing w:after="0"/>
              <w:rPr>
                <w:sz w:val="15"/>
                <w:szCs w:val="15"/>
                <w:color w:val="auto"/>
              </w:rPr>
            </w:pPr>
          </w:p>
        </w:tc>
        <w:tc>
          <w:tcPr>
            <w:tcW w:w="2040" w:type="dxa"/>
            <w:vAlign w:val="bottom"/>
            <w:gridSpan w:val="6"/>
          </w:tcPr>
          <w:p>
            <w:pPr>
              <w:ind w:left="80"/>
              <w:spacing w:after="0"/>
              <w:rPr>
                <w:sz w:val="20"/>
                <w:szCs w:val="20"/>
                <w:color w:val="auto"/>
              </w:rPr>
            </w:pPr>
            <w:r>
              <w:rPr>
                <w:rFonts w:ascii="Arial" w:cs="Arial" w:eastAsia="Arial" w:hAnsi="Arial"/>
                <w:sz w:val="14"/>
                <w:szCs w:val="14"/>
                <w:color w:val="auto"/>
              </w:rPr>
              <w:t>Three Months Ended April 30,</w:t>
            </w:r>
          </w:p>
        </w:tc>
        <w:tc>
          <w:tcPr>
            <w:tcW w:w="120" w:type="dxa"/>
            <w:vAlign w:val="bottom"/>
          </w:tcPr>
          <w:p>
            <w:pPr>
              <w:spacing w:after="0"/>
              <w:rPr>
                <w:sz w:val="15"/>
                <w:szCs w:val="15"/>
                <w:color w:val="auto"/>
              </w:rPr>
            </w:pPr>
          </w:p>
        </w:tc>
        <w:tc>
          <w:tcPr>
            <w:tcW w:w="1840" w:type="dxa"/>
            <w:vAlign w:val="bottom"/>
            <w:gridSpan w:val="4"/>
          </w:tcPr>
          <w:p>
            <w:pPr>
              <w:jc w:val="right"/>
              <w:ind w:right="28"/>
              <w:spacing w:after="0"/>
              <w:rPr>
                <w:sz w:val="20"/>
                <w:szCs w:val="20"/>
                <w:color w:val="auto"/>
              </w:rPr>
            </w:pPr>
            <w:r>
              <w:rPr>
                <w:rFonts w:ascii="Arial" w:cs="Arial" w:eastAsia="Arial" w:hAnsi="Arial"/>
                <w:sz w:val="14"/>
                <w:szCs w:val="14"/>
                <w:color w:val="auto"/>
                <w:w w:val="96"/>
              </w:rPr>
              <w:t>Nine Months Ended April 30,</w:t>
            </w:r>
          </w:p>
        </w:tc>
      </w:tr>
      <w:tr>
        <w:trPr>
          <w:trHeight w:val="30"/>
        </w:trPr>
        <w:tc>
          <w:tcPr>
            <w:tcW w:w="49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3"/>
        </w:trPr>
        <w:tc>
          <w:tcPr>
            <w:tcW w:w="4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2013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2012</w:t>
            </w:r>
          </w:p>
        </w:tc>
      </w:tr>
      <w:tr>
        <w:trPr>
          <w:trHeight w:val="30"/>
        </w:trPr>
        <w:tc>
          <w:tcPr>
            <w:tcW w:w="49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0.42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252"/>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Nonvoting Share (GAAP measure)</w:t>
            </w: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11"/>
        </w:trPr>
        <w:tc>
          <w:tcPr>
            <w:tcW w:w="4960" w:type="dxa"/>
            <w:vAlign w:val="bottom"/>
          </w:tcPr>
          <w:p>
            <w:pPr>
              <w:ind w:left="320"/>
              <w:spacing w:after="0"/>
              <w:rPr>
                <w:sz w:val="20"/>
                <w:szCs w:val="20"/>
                <w:color w:val="auto"/>
              </w:rPr>
            </w:pPr>
            <w:r>
              <w:rPr>
                <w:rFonts w:ascii="Arial" w:cs="Arial" w:eastAsia="Arial" w:hAnsi="Arial"/>
                <w:sz w:val="14"/>
                <w:szCs w:val="14"/>
                <w:color w:val="auto"/>
              </w:rPr>
              <w:t>Cost of goods sold</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Purchase accounting expense related to inventory</w:t>
            </w:r>
          </w:p>
        </w:tc>
        <w:tc>
          <w:tcPr>
            <w:tcW w:w="6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960" w:type="dxa"/>
            <w:vAlign w:val="bottom"/>
          </w:tcPr>
          <w:p>
            <w:pPr>
              <w:ind w:left="320"/>
              <w:spacing w:after="0"/>
              <w:rPr>
                <w:sz w:val="20"/>
                <w:szCs w:val="20"/>
                <w:color w:val="auto"/>
              </w:rPr>
            </w:pPr>
            <w:r>
              <w:rPr>
                <w:rFonts w:ascii="Arial" w:cs="Arial" w:eastAsia="Arial" w:hAnsi="Arial"/>
                <w:sz w:val="14"/>
                <w:szCs w:val="14"/>
                <w:color w:val="auto"/>
              </w:rPr>
              <w:t>Selling, general and administrative</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PDC acquisition-related expenses</w:t>
            </w:r>
          </w:p>
        </w:tc>
        <w:tc>
          <w:tcPr>
            <w:tcW w:w="6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960" w:type="dxa"/>
            <w:vAlign w:val="bottom"/>
          </w:tcPr>
          <w:p>
            <w:pPr>
              <w:ind w:left="320"/>
              <w:spacing w:after="0"/>
              <w:rPr>
                <w:sz w:val="20"/>
                <w:szCs w:val="20"/>
                <w:color w:val="auto"/>
              </w:rPr>
            </w:pPr>
            <w:r>
              <w:rPr>
                <w:rFonts w:ascii="Arial" w:cs="Arial" w:eastAsia="Arial" w:hAnsi="Arial"/>
                <w:sz w:val="14"/>
                <w:szCs w:val="14"/>
                <w:color w:val="auto"/>
              </w:rPr>
              <w:t>Restructuring charges</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5"/>
              </w:rPr>
              <w:t>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30"/>
        </w:trPr>
        <w:tc>
          <w:tcPr>
            <w:tcW w:w="4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Non-cash income tax charge</w:t>
            </w:r>
          </w:p>
        </w:tc>
        <w:tc>
          <w:tcPr>
            <w:tcW w:w="6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57"/>
        </w:trPr>
        <w:tc>
          <w:tcPr>
            <w:tcW w:w="496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1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52"/>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Nonvoting Share Excluding Certain Items (non-GAAP measure)</w:t>
            </w: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w:t>
            </w:r>
          </w:p>
        </w:tc>
      </w:tr>
      <w:tr>
        <w:trPr>
          <w:trHeight w:val="20"/>
        </w:trPr>
        <w:tc>
          <w:tcPr>
            <w:tcW w:w="4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99.3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rPr>
          <w:sz w:val="20"/>
          <w:szCs w:val="20"/>
          <w:color w:val="auto"/>
        </w:rPr>
      </w:pPr>
      <w:r>
        <w:rPr>
          <w:rFonts w:ascii="Arial" w:cs="Arial" w:eastAsia="Arial" w:hAnsi="Arial"/>
          <w:sz w:val="18"/>
          <w:szCs w:val="18"/>
          <w:color w:val="auto"/>
        </w:rPr>
        <w:t>Media contact: Carole Herbstreit 414-438-6882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Announces Plan to Sell its Asia-based Die-Cut Business</w:t>
      </w:r>
    </w:p>
    <w:p>
      <w:pPr>
        <w:spacing w:after="0" w:line="257" w:lineRule="exact"/>
        <w:rPr>
          <w:sz w:val="20"/>
          <w:szCs w:val="20"/>
          <w:color w:val="auto"/>
        </w:rPr>
      </w:pPr>
    </w:p>
    <w:p>
      <w:pPr>
        <w:ind w:right="360"/>
        <w:spacing w:after="0" w:line="349" w:lineRule="auto"/>
        <w:rPr>
          <w:sz w:val="20"/>
          <w:szCs w:val="20"/>
          <w:color w:val="auto"/>
        </w:rPr>
      </w:pPr>
      <w:r>
        <w:rPr>
          <w:rFonts w:ascii="Arial" w:cs="Arial" w:eastAsia="Arial" w:hAnsi="Arial"/>
          <w:sz w:val="18"/>
          <w:szCs w:val="18"/>
          <w:color w:val="auto"/>
        </w:rPr>
        <w:t>MILWAUKEE (May 16, 2013)--Brady Corporation (NYSE: BRC) (“Brady”), a world leader in identification solutions, today reported that it plans to sell its Asia-based Die-Cut business. This business, with sales of $179 million during the year ended July 31, 2012, consists of the manufacture and sale of high-performance products such as gaskets, meshes, heat dissipation materials, antennae, dampers, filters, and similar products sold primarily into the electronics industry with a concentration in the mobile-handset and hard-disk drive industries.</w:t>
      </w:r>
    </w:p>
    <w:p>
      <w:pPr>
        <w:spacing w:after="0" w:line="2" w:lineRule="exact"/>
        <w:rPr>
          <w:sz w:val="20"/>
          <w:szCs w:val="20"/>
          <w:color w:val="auto"/>
        </w:rPr>
      </w:pPr>
    </w:p>
    <w:p>
      <w:pPr>
        <w:jc w:val="both"/>
        <w:ind w:right="280" w:firstLine="579"/>
        <w:spacing w:after="0" w:line="419" w:lineRule="auto"/>
        <w:rPr>
          <w:sz w:val="20"/>
          <w:szCs w:val="20"/>
          <w:color w:val="auto"/>
        </w:rPr>
      </w:pPr>
      <w:r>
        <w:rPr>
          <w:rFonts w:ascii="Arial" w:cs="Arial" w:eastAsia="Arial" w:hAnsi="Arial"/>
          <w:sz w:val="15"/>
          <w:szCs w:val="15"/>
          <w:color w:val="auto"/>
        </w:rPr>
        <w:t>Brady's Board of Directors adopted a plan of sale for the Asia-based Die-Cut business in order to focus on its Identification Solutions and Workplace Safety businesses. Brady will continue to operate the business as a going concern and execute its improvement plans while engaged in the divestiture process.</w:t>
      </w:r>
    </w:p>
    <w:p>
      <w:pPr>
        <w:spacing w:after="0" w:line="1" w:lineRule="exact"/>
        <w:rPr>
          <w:sz w:val="20"/>
          <w:szCs w:val="20"/>
          <w:color w:val="auto"/>
        </w:rPr>
      </w:pPr>
    </w:p>
    <w:p>
      <w:pPr>
        <w:ind w:right="160" w:firstLine="579"/>
        <w:spacing w:after="0" w:line="370" w:lineRule="auto"/>
        <w:rPr>
          <w:sz w:val="20"/>
          <w:szCs w:val="20"/>
          <w:color w:val="auto"/>
        </w:rPr>
      </w:pPr>
      <w:r>
        <w:rPr>
          <w:rFonts w:ascii="Arial" w:cs="Arial" w:eastAsia="Arial" w:hAnsi="Arial"/>
          <w:sz w:val="17"/>
          <w:szCs w:val="17"/>
          <w:color w:val="auto"/>
        </w:rPr>
        <w:t>“Our Die-Cut business has shown many signs of improvement and has recently secured several meaningful new orders,” stated Brady's President and Chief Executive Officer, Frank M. Jaehnert. “However, we no longer consider this business core to our strategy and believe that our Die-Cut customers and our employees will be better served by being with a company where Die-Cut is a core product offering.”</w:t>
      </w:r>
    </w:p>
    <w:p>
      <w:pPr>
        <w:spacing w:after="0" w:line="1" w:lineRule="exact"/>
        <w:rPr>
          <w:sz w:val="20"/>
          <w:szCs w:val="20"/>
          <w:color w:val="auto"/>
        </w:rPr>
      </w:pPr>
    </w:p>
    <w:p>
      <w:pPr>
        <w:ind w:right="20" w:firstLine="579"/>
        <w:spacing w:after="0" w:line="433" w:lineRule="auto"/>
        <w:rPr>
          <w:sz w:val="20"/>
          <w:szCs w:val="20"/>
          <w:color w:val="auto"/>
        </w:rPr>
      </w:pPr>
      <w:r>
        <w:rPr>
          <w:rFonts w:ascii="Arial" w:cs="Arial" w:eastAsia="Arial" w:hAnsi="Arial"/>
          <w:sz w:val="15"/>
          <w:szCs w:val="15"/>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as of January 31, 2013 employed approximately 8,200 people at operations in the Americas, EMEA and Asia-Pacific. Brady's fiscal 2012 sales were approximately $1.32 billion. Brady stock trades on the New York Stock Exchange under the symbol BRC. More information is available on the Internet at </w:t>
      </w:r>
      <w:r>
        <w:rPr>
          <w:rFonts w:ascii="Arial" w:cs="Arial" w:eastAsia="Arial" w:hAnsi="Arial"/>
          <w:sz w:val="15"/>
          <w:szCs w:val="15"/>
          <w:u w:val="single" w:color="auto"/>
          <w:color w:val="0000FF"/>
        </w:rPr>
        <w:t>www.bradycorp.com.</w:t>
      </w:r>
    </w:p>
    <w:p>
      <w:pPr>
        <w:sectPr>
          <w:pgSz w:w="11900" w:h="16838" w:orient="portrait"/>
          <w:cols w:equalWidth="0" w:num="1">
            <w:col w:w="11440"/>
          </w:cols>
          <w:pgMar w:left="240" w:top="529" w:right="21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2012. These uncertainties may cause Brady's actual future results to be materially different than those expressed in its forward-looking statements. Brady does not undertake to update its forward-looking statements.</w:t>
      </w:r>
    </w:p>
    <w:sectPr>
      <w:pgSz w:w="11900" w:h="16838" w:orient="portrait"/>
      <w:cols w:equalWidth="0" w:num="1">
        <w:col w:w="11420"/>
      </w:cols>
      <w:pgMar w:left="240" w:top="5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2019-12-05T21:18:58Z</dcterms:created>
  <dcterms:modified xsi:type="dcterms:W3CDTF">2019-12-05T21:18:58Z</dcterms:modified>
</cp:coreProperties>
</file>