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4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406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Nauman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09/23/2016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1120" w:type="dxa"/>
            <w:vAlign w:val="bottom"/>
          </w:tcPr>
          <w:p>
            <w:pPr>
              <w:ind w:left="40"/>
              <w:spacing w:after="0"/>
              <w:rPr>
                <w:sz w:val="20"/>
                <w:szCs w:val="20"/>
                <w:color w:val="auto"/>
              </w:rPr>
            </w:pPr>
            <w:r>
              <w:rPr>
                <w:rFonts w:ascii="Arial" w:cs="Arial" w:eastAsia="Arial" w:hAnsi="Arial"/>
                <w:sz w:val="17"/>
                <w:szCs w:val="17"/>
                <w:color w:val="0000FF"/>
              </w:rPr>
              <w:t>53223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09/23/2016</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7"/>
                <w:szCs w:val="17"/>
                <w:color w:val="0000FF"/>
                <w:w w:val="85"/>
              </w:rPr>
              <w:t>23,715</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147,681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09/25/2016</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0000FF"/>
                <w:w w:val="82"/>
              </w:rPr>
              <w:t>6,506</w:t>
            </w:r>
            <w:r>
              <w:rPr>
                <w:rFonts w:ascii="Arial" w:cs="Arial" w:eastAsia="Arial" w:hAnsi="Arial"/>
                <w:sz w:val="22"/>
                <w:szCs w:val="22"/>
                <w:color w:val="008000"/>
                <w:w w:val="82"/>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141,175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09/25/2016</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0000FF"/>
                <w:w w:val="82"/>
              </w:rPr>
              <w:t>5,994</w:t>
            </w:r>
            <w:r>
              <w:rPr>
                <w:rFonts w:ascii="Arial" w:cs="Arial" w:eastAsia="Arial" w:hAnsi="Arial"/>
                <w:sz w:val="22"/>
                <w:szCs w:val="22"/>
                <w:color w:val="008000"/>
                <w:w w:val="82"/>
                <w:vertAlign w:val="superscript"/>
              </w:rPr>
              <w:t>(3)</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135,225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107,161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09/23/2016</w:t>
            </w: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107,161</w:t>
            </w:r>
          </w:p>
        </w:tc>
        <w:tc>
          <w:tcPr>
            <w:tcW w:w="2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w w:val="98"/>
              </w:rPr>
              <w:t>09/23/2026</w:t>
            </w: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107,161</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13,292 restricted stock units that vested on September 25, 2016.</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12,247 restricted stock units that vested on September 25, 2016.</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09/27/2016</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26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2019-12-23T15:02:18Z</dcterms:created>
  <dcterms:modified xsi:type="dcterms:W3CDTF">2019-12-23T15:02:18Z</dcterms:modified>
</cp:coreProperties>
</file>