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1831975</wp:posOffset>
            </wp:positionH>
            <wp:positionV relativeFrom="paragraph">
              <wp:posOffset>-224155</wp:posOffset>
            </wp:positionV>
            <wp:extent cx="3584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84575" cy="889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186690</wp:posOffset>
            </wp:positionV>
            <wp:extent cx="3550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700" w:right="420" w:hanging="665"/>
        <w:spacing w:after="0" w:line="248" w:lineRule="auto"/>
        <w:tabs>
          <w:tab w:leader="none" w:pos="7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2020, or</w:t>
      </w:r>
    </w:p>
    <w:p>
      <w:pPr>
        <w:spacing w:after="0" w:line="162" w:lineRule="exact"/>
        <w:rPr>
          <w:sz w:val="24"/>
          <w:szCs w:val="24"/>
          <w:color w:val="auto"/>
        </w:rPr>
      </w:pPr>
    </w:p>
    <w:p>
      <w:pPr>
        <w:ind w:left="700" w:right="420" w:hanging="665"/>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1-14959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BRADY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-302895</wp:posOffset>
            </wp:positionV>
            <wp:extent cx="3567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167640</wp:posOffset>
            </wp:positionV>
            <wp:extent cx="3542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2260"/>
        <w:spacing w:after="0"/>
        <w:tabs>
          <w:tab w:leader="none" w:pos="7880" w:val="left"/>
        </w:tabs>
        <w:rPr>
          <w:sz w:val="20"/>
          <w:szCs w:val="20"/>
          <w:color w:val="auto"/>
        </w:rPr>
      </w:pPr>
      <w:r>
        <w:rPr>
          <w:rFonts w:ascii="Arial" w:cs="Arial" w:eastAsia="Arial" w:hAnsi="Arial"/>
          <w:sz w:val="18"/>
          <w:szCs w:val="18"/>
          <w:b w:val="1"/>
          <w:bCs w:val="1"/>
          <w:color w:val="auto"/>
        </w:rPr>
        <w:t>Wisconsin</w:t>
      </w:r>
      <w:r>
        <w:rPr>
          <w:sz w:val="20"/>
          <w:szCs w:val="20"/>
          <w:color w:val="auto"/>
        </w:rPr>
        <w:tab/>
      </w:r>
      <w:r>
        <w:rPr>
          <w:rFonts w:ascii="Arial" w:cs="Arial" w:eastAsia="Arial" w:hAnsi="Arial"/>
          <w:sz w:val="18"/>
          <w:szCs w:val="18"/>
          <w:b w:val="1"/>
          <w:bCs w:val="1"/>
          <w:color w:val="auto"/>
        </w:rPr>
        <w:t>39-0178960</w:t>
      </w:r>
    </w:p>
    <w:p>
      <w:pPr>
        <w:spacing w:after="0" w:line="59" w:lineRule="exact"/>
        <w:rPr>
          <w:sz w:val="24"/>
          <w:szCs w:val="24"/>
          <w:color w:val="auto"/>
        </w:rPr>
      </w:pPr>
    </w:p>
    <w:p>
      <w:pPr>
        <w:ind w:left="800"/>
        <w:spacing w:after="0"/>
        <w:tabs>
          <w:tab w:leader="none" w:pos="7220" w:val="left"/>
        </w:tabs>
        <w:rPr>
          <w:sz w:val="20"/>
          <w:szCs w:val="20"/>
          <w:color w:val="auto"/>
        </w:rPr>
      </w:pPr>
      <w:r>
        <w:rPr>
          <w:rFonts w:ascii="Arial" w:cs="Arial" w:eastAsia="Arial" w:hAnsi="Arial"/>
          <w:sz w:val="14"/>
          <w:szCs w:val="14"/>
          <w:b w:val="1"/>
          <w:bCs w:val="1"/>
          <w:color w:val="auto"/>
        </w:rPr>
        <w:t>(State or other jurisdiction of incorporation or organization)</w:t>
      </w:r>
      <w:r>
        <w:rPr>
          <w:sz w:val="20"/>
          <w:szCs w:val="20"/>
          <w:color w:val="auto"/>
        </w:rPr>
        <w:tab/>
      </w:r>
      <w:r>
        <w:rPr>
          <w:rFonts w:ascii="Arial" w:cs="Arial" w:eastAsia="Arial" w:hAnsi="Arial"/>
          <w:sz w:val="13"/>
          <w:szCs w:val="13"/>
          <w:b w:val="1"/>
          <w:bCs w:val="1"/>
          <w:color w:val="auto"/>
        </w:rPr>
        <w:t>(I.R.S. Employer Identification No.)</w:t>
      </w:r>
    </w:p>
    <w:p>
      <w:pPr>
        <w:spacing w:after="0" w:line="18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6555 West Good Hope Road</w:t>
      </w:r>
    </w:p>
    <w:p>
      <w:pPr>
        <w:spacing w:after="0" w:line="63" w:lineRule="exact"/>
        <w:rPr>
          <w:sz w:val="24"/>
          <w:szCs w:val="24"/>
          <w:color w:val="auto"/>
        </w:rPr>
      </w:pPr>
    </w:p>
    <w:p>
      <w:pPr>
        <w:ind w:left="4560"/>
        <w:spacing w:after="0"/>
        <w:tabs>
          <w:tab w:leader="none" w:pos="6560" w:val="left"/>
        </w:tabs>
        <w:rPr>
          <w:sz w:val="20"/>
          <w:szCs w:val="20"/>
          <w:color w:val="auto"/>
        </w:rPr>
      </w:pPr>
      <w:r>
        <w:rPr>
          <w:rFonts w:ascii="Arial" w:cs="Arial" w:eastAsia="Arial" w:hAnsi="Arial"/>
          <w:sz w:val="18"/>
          <w:szCs w:val="18"/>
          <w:b w:val="1"/>
          <w:bCs w:val="1"/>
          <w:color w:val="auto"/>
        </w:rPr>
        <w:t>Milwaukee, Wisconsin</w:t>
      </w:r>
      <w:r>
        <w:rPr>
          <w:sz w:val="20"/>
          <w:szCs w:val="20"/>
          <w:color w:val="auto"/>
        </w:rPr>
        <w:tab/>
      </w:r>
      <w:r>
        <w:rPr>
          <w:rFonts w:ascii="Arial" w:cs="Arial" w:eastAsia="Arial" w:hAnsi="Arial"/>
          <w:sz w:val="15"/>
          <w:szCs w:val="15"/>
          <w:b w:val="1"/>
          <w:bCs w:val="1"/>
          <w:color w:val="auto"/>
        </w:rPr>
        <w:t>53223</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1694815</wp:posOffset>
            </wp:positionH>
            <wp:positionV relativeFrom="paragraph">
              <wp:posOffset>194945</wp:posOffset>
            </wp:positionV>
            <wp:extent cx="3542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35" w:lineRule="exact"/>
        <w:rPr>
          <w:sz w:val="24"/>
          <w:szCs w:val="24"/>
          <w:color w:val="auto"/>
        </w:rPr>
      </w:pPr>
    </w:p>
    <w:tbl>
      <w:tblPr>
        <w:tblLayout w:type="fixed"/>
        <w:tblInd w:w="350" w:type="dxa"/>
        <w:tblCellMar>
          <w:top w:w="0" w:type="dxa"/>
          <w:left w:w="0" w:type="dxa"/>
          <w:bottom w:w="0" w:type="dxa"/>
          <w:right w:w="0" w:type="dxa"/>
        </w:tblCellMar>
      </w:tblPr>
      <w:tr>
        <w:trPr>
          <w:trHeight w:val="210"/>
        </w:trPr>
        <w:tc>
          <w:tcPr>
            <w:tcW w:w="45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22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39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Class A Nonvoting Common Stock, par value $0.01 per share</w:t>
            </w:r>
          </w:p>
        </w:tc>
        <w:tc>
          <w:tcPr>
            <w:tcW w:w="22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3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New York Stock Exchange</w:t>
            </w:r>
          </w:p>
        </w:tc>
      </w:tr>
    </w:tbl>
    <w:p>
      <w:pPr>
        <w:spacing w:after="0" w:line="157" w:lineRule="exact"/>
        <w:rPr>
          <w:sz w:val="24"/>
          <w:szCs w:val="24"/>
          <w:color w:val="auto"/>
        </w:rPr>
      </w:pPr>
    </w:p>
    <w:p>
      <w:pPr>
        <w:spacing w:after="0" w:line="20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73" w:lineRule="exact"/>
        <w:rPr>
          <w:sz w:val="24"/>
          <w:szCs w:val="24"/>
          <w:color w:val="auto"/>
        </w:rPr>
      </w:pPr>
    </w:p>
    <w:p>
      <w:pPr>
        <w:ind w:right="20"/>
        <w:spacing w:after="0" w:line="20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92" w:lineRule="exact"/>
        <w:rPr>
          <w:sz w:val="24"/>
          <w:szCs w:val="24"/>
          <w:color w:val="auto"/>
        </w:rPr>
      </w:pPr>
    </w:p>
    <w:tbl>
      <w:tblPr>
        <w:tblLayout w:type="fixed"/>
        <w:tblInd w:w="360" w:type="dxa"/>
        <w:tblCellMar>
          <w:top w:w="0" w:type="dxa"/>
          <w:left w:w="0" w:type="dxa"/>
          <w:bottom w:w="0" w:type="dxa"/>
          <w:right w:w="0" w:type="dxa"/>
        </w:tblCellMar>
      </w:tblPr>
      <w:tr>
        <w:trPr>
          <w:trHeight w:val="211"/>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80" w:type="dxa"/>
            <w:vAlign w:val="bottom"/>
            <w:vMerge w:val="restart"/>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254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120" w:type="dxa"/>
            <w:vAlign w:val="bottom"/>
            <w:vMerge w:val="restart"/>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040" w:type="dxa"/>
            <w:vAlign w:val="bottom"/>
          </w:tcPr>
          <w:p>
            <w:pPr>
              <w:ind w:left="460"/>
              <w:spacing w:after="0"/>
              <w:rPr>
                <w:sz w:val="20"/>
                <w:szCs w:val="20"/>
                <w:color w:val="auto"/>
              </w:rPr>
            </w:pPr>
            <w:r>
              <w:rPr>
                <w:rFonts w:ascii="Arial" w:cs="Arial" w:eastAsia="Arial" w:hAnsi="Arial"/>
                <w:sz w:val="14"/>
                <w:szCs w:val="14"/>
                <w:color w:val="auto"/>
                <w:w w:val="93"/>
              </w:rPr>
              <w:t>Emerging growth company</w:t>
            </w: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80" w:type="dxa"/>
            <w:vAlign w:val="bottom"/>
            <w:vMerge w:val="restart"/>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254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1120" w:type="dxa"/>
            <w:vAlign w:val="bottom"/>
            <w:vMerge w:val="restart"/>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8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25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360"/>
        <w:spacing w:after="0" w:line="25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26" w:lineRule="exact"/>
        <w:rPr>
          <w:sz w:val="24"/>
          <w:szCs w:val="24"/>
          <w:color w:val="auto"/>
        </w:rPr>
      </w:pPr>
    </w:p>
    <w:p>
      <w:pPr>
        <w:spacing w:after="0" w:line="184"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49" w:lineRule="exact"/>
        <w:rPr>
          <w:sz w:val="24"/>
          <w:szCs w:val="24"/>
          <w:color w:val="auto"/>
        </w:rPr>
      </w:pPr>
    </w:p>
    <w:p>
      <w:pPr>
        <w:sectPr>
          <w:pgSz w:w="11900" w:h="16838" w:orient="portrait"/>
          <w:cols w:equalWidth="0" w:num="2">
            <w:col w:w="9700" w:space="360"/>
            <w:col w:w="1360"/>
          </w:cols>
          <w:pgMar w:left="240" w:top="229" w:right="239" w:bottom="1440" w:gutter="0" w:footer="0" w:header="0"/>
          <w:type w:val="continuous"/>
        </w:sectPr>
      </w:pPr>
    </w:p>
    <w:p>
      <w:pPr>
        <w:spacing w:after="0" w:line="2" w:lineRule="exact"/>
        <w:rPr>
          <w:sz w:val="24"/>
          <w:szCs w:val="24"/>
          <w:color w:val="auto"/>
        </w:rPr>
      </w:pPr>
    </w:p>
    <w:p>
      <w:pPr>
        <w:ind w:right="320"/>
        <w:spacing w:after="0" w:line="273" w:lineRule="auto"/>
        <w:rPr>
          <w:sz w:val="20"/>
          <w:szCs w:val="20"/>
          <w:color w:val="auto"/>
        </w:rPr>
      </w:pPr>
      <w:r>
        <w:rPr>
          <w:rFonts w:ascii="Arial" w:cs="Arial" w:eastAsia="Arial" w:hAnsi="Arial"/>
          <w:sz w:val="14"/>
          <w:szCs w:val="14"/>
          <w:color w:val="auto"/>
        </w:rPr>
        <w:t>As of February 18, 2020, there were 49,811,300 outstanding shares of Class A Nonvoting Common Stock and 3,538,628 shares of Class B Voting Common Stock. The Class B Voting Common Stock, all of which is held by affiliates of the Registrant, is the only voting stock.</w:t>
      </w:r>
    </w:p>
    <w:p>
      <w:pPr>
        <w:sectPr>
          <w:pgSz w:w="11900" w:h="16838" w:orient="portrait"/>
          <w:cols w:equalWidth="0" w:num="1">
            <w:col w:w="11420"/>
          </w:cols>
          <w:pgMar w:left="240" w:top="229" w:right="2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w w:val="93"/>
              </w:rPr>
              <w:t>FORM 10-Q</w:t>
            </w:r>
          </w:p>
        </w:tc>
        <w:tc>
          <w:tcPr>
            <w:tcW w:w="1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6"/>
              </w:rPr>
              <w:t>BRADY CORPORATION</w:t>
            </w:r>
          </w:p>
        </w:tc>
        <w:tc>
          <w:tcPr>
            <w:tcW w:w="14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9240" w:type="dxa"/>
            <w:vAlign w:val="bottom"/>
          </w:tcPr>
          <w:p>
            <w:pPr>
              <w:jc w:val="center"/>
              <w:ind w:left="710"/>
              <w:spacing w:after="0"/>
              <w:rPr>
                <w:sz w:val="20"/>
                <w:szCs w:val="20"/>
                <w:color w:val="auto"/>
              </w:rPr>
            </w:pPr>
            <w:r>
              <w:rPr>
                <w:rFonts w:ascii="Arial" w:cs="Arial" w:eastAsia="Arial" w:hAnsi="Arial"/>
                <w:sz w:val="18"/>
                <w:szCs w:val="18"/>
                <w:color w:val="auto"/>
              </w:rPr>
              <w:t>INDEX</w:t>
            </w:r>
          </w:p>
        </w:tc>
        <w:tc>
          <w:tcPr>
            <w:tcW w:w="1480" w:type="dxa"/>
            <w:vAlign w:val="bottom"/>
          </w:tcPr>
          <w:p>
            <w:pPr>
              <w:spacing w:after="0"/>
              <w:rPr>
                <w:sz w:val="20"/>
                <w:szCs w:val="20"/>
                <w:color w:val="auto"/>
              </w:rPr>
            </w:pPr>
          </w:p>
        </w:tc>
      </w:tr>
      <w:tr>
        <w:trPr>
          <w:trHeight w:val="844"/>
        </w:trPr>
        <w:tc>
          <w:tcPr>
            <w:tcW w:w="660" w:type="dxa"/>
            <w:vAlign w:val="bottom"/>
          </w:tcPr>
          <w:p>
            <w:pPr>
              <w:spacing w:after="0"/>
              <w:rPr>
                <w:sz w:val="24"/>
                <w:szCs w:val="24"/>
                <w:color w:val="auto"/>
              </w:rPr>
            </w:pPr>
          </w:p>
        </w:tc>
        <w:tc>
          <w:tcPr>
            <w:tcW w:w="9240" w:type="dxa"/>
            <w:vAlign w:val="bottom"/>
          </w:tcPr>
          <w:p>
            <w:pPr>
              <w:spacing w:after="0"/>
              <w:rPr>
                <w:sz w:val="24"/>
                <w:szCs w:val="24"/>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Page</w:t>
            </w:r>
          </w:p>
        </w:tc>
      </w:tr>
      <w:tr>
        <w:trPr>
          <w:trHeight w:val="243"/>
        </w:trPr>
        <w:tc>
          <w:tcPr>
            <w:tcW w:w="99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14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1480" w:type="dxa"/>
            <w:vAlign w:val="bottom"/>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Income</w:t>
              </w:r>
            </w:hyperlink>
          </w:p>
        </w:tc>
        <w:tc>
          <w:tcPr>
            <w:tcW w:w="1480" w:type="dxa"/>
            <w:vAlign w:val="bottom"/>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w:t>
              </w:r>
            </w:hyperlink>
          </w:p>
        </w:tc>
        <w:tc>
          <w:tcPr>
            <w:tcW w:w="148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1480" w:type="dxa"/>
            <w:vAlign w:val="bottom"/>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70"/>
        </w:trPr>
        <w:tc>
          <w:tcPr>
            <w:tcW w:w="9900" w:type="dxa"/>
            <w:vAlign w:val="bottom"/>
            <w:gridSpan w:val="2"/>
          </w:tcPr>
          <w:p>
            <w:pPr>
              <w:ind w:left="340"/>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1480" w:type="dxa"/>
            <w:vAlign w:val="bottom"/>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240" w:type="dxa"/>
            <w:vAlign w:val="bottom"/>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Results of Operations and Financial Condition</w:t>
              </w:r>
            </w:hyperlink>
          </w:p>
        </w:tc>
        <w:tc>
          <w:tcPr>
            <w:tcW w:w="1480" w:type="dxa"/>
            <w:vAlign w:val="bottom"/>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19</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9240" w:type="dxa"/>
            <w:vAlign w:val="bottom"/>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480" w:type="dxa"/>
            <w:vAlign w:val="bottom"/>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24</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9240" w:type="dxa"/>
            <w:vAlign w:val="bottom"/>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1480" w:type="dxa"/>
            <w:vAlign w:val="bottom"/>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70"/>
        </w:trPr>
        <w:tc>
          <w:tcPr>
            <w:tcW w:w="990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 Other Information</w:t>
              </w:r>
            </w:hyperlink>
          </w:p>
        </w:tc>
        <w:tc>
          <w:tcPr>
            <w:tcW w:w="148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660" w:type="dxa"/>
            <w:vAlign w:val="bottom"/>
          </w:tcPr>
          <w:p>
            <w:pPr>
              <w:ind w:left="140"/>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9240" w:type="dxa"/>
            <w:vAlign w:val="bottom"/>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480" w:type="dxa"/>
            <w:vAlign w:val="bottom"/>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r>
      <w:tr>
        <w:trPr>
          <w:trHeight w:val="270"/>
        </w:trPr>
        <w:tc>
          <w:tcPr>
            <w:tcW w:w="9900" w:type="dxa"/>
            <w:vAlign w:val="bottom"/>
            <w:gridSpan w:val="2"/>
          </w:tcPr>
          <w:p>
            <w:pPr>
              <w:ind w:left="140"/>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1480" w:type="dxa"/>
            <w:vAlign w:val="bottom"/>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459"/>
        </w:trPr>
        <w:tc>
          <w:tcPr>
            <w:tcW w:w="660" w:type="dxa"/>
            <w:vAlign w:val="bottom"/>
          </w:tcPr>
          <w:p>
            <w:pPr>
              <w:spacing w:after="0"/>
              <w:rPr>
                <w:sz w:val="24"/>
                <w:szCs w:val="24"/>
                <w:color w:val="auto"/>
              </w:rPr>
            </w:pPr>
          </w:p>
        </w:tc>
        <w:tc>
          <w:tcPr>
            <w:tcW w:w="9240" w:type="dxa"/>
            <w:vAlign w:val="bottom"/>
          </w:tcPr>
          <w:p>
            <w:pPr>
              <w:jc w:val="center"/>
              <w:ind w:left="690"/>
              <w:spacing w:after="0"/>
              <w:rPr>
                <w:sz w:val="20"/>
                <w:szCs w:val="20"/>
                <w:color w:val="auto"/>
              </w:rPr>
            </w:pPr>
            <w:r>
              <w:rPr>
                <w:rFonts w:ascii="Arial" w:cs="Arial" w:eastAsia="Arial" w:hAnsi="Arial"/>
                <w:sz w:val="18"/>
                <w:szCs w:val="18"/>
                <w:color w:val="auto"/>
                <w:w w:val="99"/>
              </w:rPr>
              <w:t>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02"/>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6"/>
        </w:trPr>
        <w:tc>
          <w:tcPr>
            <w:tcW w:w="8120" w:type="dxa"/>
            <w:vAlign w:val="bottom"/>
            <w:gridSpan w:val="2"/>
          </w:tcPr>
          <w:p>
            <w:pPr>
              <w:spacing w:after="0"/>
              <w:rPr>
                <w:sz w:val="20"/>
                <w:szCs w:val="20"/>
                <w:color w:val="auto"/>
              </w:rPr>
            </w:pPr>
            <w:r>
              <w:rPr>
                <w:rFonts w:ascii="Arial" w:cs="Arial" w:eastAsia="Arial" w:hAnsi="Arial"/>
                <w:sz w:val="16"/>
                <w:szCs w:val="16"/>
                <w:color w:val="auto"/>
              </w:rPr>
              <w:t>ITEM 1. FINANCIAL STATEMENTS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357"/>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Dollars 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78"/>
        </w:trPr>
        <w:tc>
          <w:tcPr>
            <w:tcW w:w="10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January 31, 2020</w:t>
            </w:r>
          </w:p>
        </w:tc>
        <w:tc>
          <w:tcPr>
            <w:tcW w:w="220" w:type="dxa"/>
            <w:vAlign w:val="bottom"/>
          </w:tcPr>
          <w:p>
            <w:pPr>
              <w:spacing w:after="0"/>
              <w:rPr>
                <w:sz w:val="24"/>
                <w:szCs w:val="24"/>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0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102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jc w:val="center"/>
              <w:ind w:right="939"/>
              <w:spacing w:after="0"/>
              <w:rPr>
                <w:sz w:val="20"/>
                <w:szCs w:val="20"/>
                <w:color w:val="auto"/>
              </w:rPr>
            </w:pPr>
            <w:r>
              <w:rPr>
                <w:rFonts w:ascii="Arial" w:cs="Arial" w:eastAsia="Arial" w:hAnsi="Arial"/>
                <w:sz w:val="16"/>
                <w:szCs w:val="16"/>
                <w:b w:val="1"/>
                <w:bCs w:val="1"/>
                <w:color w:val="auto"/>
                <w:w w:val="93"/>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279,072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Accounts receivable—net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151,511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158,114</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120,037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18,889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16,056</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580,991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573,279</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112,782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110,048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410,455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410,987</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intangible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33,580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36,123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7,298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Operating lease assets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49,117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19,573</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1,215,798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1,157,308</w:t>
            </w:r>
          </w:p>
        </w:tc>
      </w:tr>
      <w:tr>
        <w:trPr>
          <w:trHeight w:val="73"/>
        </w:trPr>
        <w:tc>
          <w:tcPr>
            <w:tcW w:w="1020" w:type="dxa"/>
            <w:vAlign w:val="bottom"/>
            <w:tcBorders>
              <w:bottom w:val="single" w:sz="8" w:color="CCEEFF"/>
            </w:tcBorders>
          </w:tcPr>
          <w:p>
            <w:pPr>
              <w:spacing w:after="0"/>
              <w:rPr>
                <w:sz w:val="6"/>
                <w:szCs w:val="6"/>
                <w:color w:val="auto"/>
              </w:rPr>
            </w:pPr>
          </w:p>
        </w:tc>
        <w:tc>
          <w:tcPr>
            <w:tcW w:w="7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177"/>
        </w:trPr>
        <w:tc>
          <w:tcPr>
            <w:tcW w:w="1020" w:type="dxa"/>
            <w:vAlign w:val="bottom"/>
            <w:shd w:val="clear" w:color="auto" w:fill="CCEEFF"/>
          </w:tcPr>
          <w:p>
            <w:pPr>
              <w:spacing w:after="0"/>
              <w:rPr>
                <w:sz w:val="15"/>
                <w:szCs w:val="15"/>
                <w:color w:val="auto"/>
              </w:rPr>
            </w:pPr>
          </w:p>
        </w:tc>
        <w:tc>
          <w:tcPr>
            <w:tcW w:w="7100" w:type="dxa"/>
            <w:vAlign w:val="bottom"/>
            <w:shd w:val="clear" w:color="auto" w:fill="CCEEFF"/>
          </w:tcPr>
          <w:p>
            <w:pPr>
              <w:jc w:val="center"/>
              <w:ind w:right="939"/>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74"/>
        </w:trPr>
        <w:tc>
          <w:tcPr>
            <w:tcW w:w="1020" w:type="dxa"/>
            <w:vAlign w:val="bottom"/>
            <w:shd w:val="clear" w:color="auto" w:fill="CCEEFF"/>
          </w:tcPr>
          <w:p>
            <w:pPr>
              <w:spacing w:after="0"/>
              <w:rPr>
                <w:sz w:val="6"/>
                <w:szCs w:val="6"/>
                <w:color w:val="auto"/>
              </w:rPr>
            </w:pPr>
          </w:p>
        </w:tc>
        <w:tc>
          <w:tcPr>
            <w:tcW w:w="7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64,810</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Accrued compensation and benefits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38,561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62,509</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Taxes, other than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8,107</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Accrued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6,557</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48,590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49,796</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Current maturities on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50,166</w:t>
            </w:r>
          </w:p>
        </w:tc>
      </w:tr>
      <w:tr>
        <w:trPr>
          <w:trHeight w:val="217"/>
        </w:trPr>
        <w:tc>
          <w:tcPr>
            <w:tcW w:w="8120" w:type="dxa"/>
            <w:vAlign w:val="bottom"/>
            <w:gridSpan w:val="2"/>
          </w:tcPr>
          <w:p>
            <w:pPr>
              <w:ind w:left="7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216,690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241,945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Long-term 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62,191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64,589</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315,874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306,534</w:t>
            </w:r>
          </w:p>
        </w:tc>
      </w:tr>
      <w:tr>
        <w:trPr>
          <w:trHeight w:val="224"/>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10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20"/>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w w:val="94"/>
              </w:rPr>
              <w:t>Class A nonvoting common stock—Issued 51,261,487 shares, and outstanding 49,810,101 and 49,458,841 shares,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Class B voting common stock—Issued and outstanding, 3,538,628 shares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329,969</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685,758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637,843</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Treasury stock—1,451,386 and 1,802,646 shares, respectively, of Class A nonvoting common stock, at cost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(46,332)</w:t>
            </w:r>
          </w:p>
        </w:tc>
      </w:tr>
      <w:tr>
        <w:trPr>
          <w:trHeight w:val="237"/>
        </w:trPr>
        <w:tc>
          <w:tcPr>
            <w:tcW w:w="8120" w:type="dxa"/>
            <w:vAlign w:val="bottom"/>
            <w:gridSpan w:val="2"/>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(72,490)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(71,254)</w:t>
            </w:r>
          </w:p>
        </w:tc>
      </w:tr>
      <w:tr>
        <w:trPr>
          <w:trHeight w:val="33"/>
        </w:trPr>
        <w:tc>
          <w:tcPr>
            <w:tcW w:w="1020" w:type="dxa"/>
            <w:vAlign w:val="bottom"/>
            <w:tcBorders>
              <w:bottom w:val="single" w:sz="8" w:color="CCEEFF"/>
            </w:tcBorders>
          </w:tcPr>
          <w:p>
            <w:pPr>
              <w:spacing w:after="0"/>
              <w:rPr>
                <w:sz w:val="2"/>
                <w:szCs w:val="2"/>
                <w:color w:val="auto"/>
              </w:rPr>
            </w:pPr>
          </w:p>
        </w:tc>
        <w:tc>
          <w:tcPr>
            <w:tcW w:w="7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850,774</w:t>
            </w:r>
          </w:p>
        </w:tc>
      </w:tr>
      <w:tr>
        <w:trPr>
          <w:trHeight w:val="217"/>
        </w:trPr>
        <w:tc>
          <w:tcPr>
            <w:tcW w:w="81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1,215,798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1,157,308</w:t>
            </w:r>
          </w:p>
        </w:tc>
      </w:tr>
      <w:tr>
        <w:trPr>
          <w:trHeight w:val="33"/>
        </w:trPr>
        <w:tc>
          <w:tcPr>
            <w:tcW w:w="10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0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562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8"/>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BRADY CORPORATION AND SUBSIDIARIES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3"/>
        </w:trPr>
        <w:tc>
          <w:tcPr>
            <w:tcW w:w="562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INCOME</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6"/>
        </w:trPr>
        <w:tc>
          <w:tcPr>
            <w:tcW w:w="5620" w:type="dxa"/>
            <w:vAlign w:val="bottom"/>
            <w:gridSpan w:val="2"/>
          </w:tcPr>
          <w:p>
            <w:pPr>
              <w:spacing w:after="0"/>
              <w:rPr>
                <w:sz w:val="20"/>
                <w:szCs w:val="20"/>
                <w:color w:val="auto"/>
              </w:rPr>
            </w:pPr>
            <w:r>
              <w:rPr>
                <w:rFonts w:ascii="Arial" w:cs="Arial" w:eastAsia="Arial" w:hAnsi="Arial"/>
                <w:sz w:val="16"/>
                <w:szCs w:val="16"/>
                <w:color w:val="auto"/>
              </w:rPr>
              <w:t>(Dollars in Thousands, Except Per Share Amounts, Unaudited)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65"/>
        </w:trPr>
        <w:tc>
          <w:tcPr>
            <w:tcW w:w="10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24"/>
                <w:szCs w:val="24"/>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10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276,665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282,426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563,612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575,622</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137,538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142,616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283,080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289,273</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Gross margin</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139,127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139,810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280,532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286,349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22,400</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87,366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92,706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176,913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187,297</w:t>
            </w:r>
          </w:p>
        </w:tc>
      </w:tr>
      <w:tr>
        <w:trPr>
          <w:trHeight w:val="33"/>
        </w:trPr>
        <w:tc>
          <w:tcPr>
            <w:tcW w:w="10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97,883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198,397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209,697</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41,244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36,030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82,135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76,652</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Investment and other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42,357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76,583</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16,719</w:t>
            </w:r>
          </w:p>
        </w:tc>
      </w:tr>
      <w:tr>
        <w:trPr>
          <w:trHeight w:val="28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33,553</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29,227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71,051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59,864</w:t>
            </w: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Class A Nonvoting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0.43</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Class B Voting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1.13</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Dividends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0.41</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53,320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52,532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53,232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52,366</w:t>
            </w:r>
          </w:p>
        </w:tc>
      </w:tr>
      <w:tr>
        <w:trPr>
          <w:trHeight w:val="33"/>
        </w:trPr>
        <w:tc>
          <w:tcPr>
            <w:tcW w:w="10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7"/>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53,827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53,206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53,781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53,082</w:t>
            </w:r>
          </w:p>
        </w:tc>
      </w:tr>
      <w:tr>
        <w:trPr>
          <w:trHeight w:val="33"/>
        </w:trPr>
        <w:tc>
          <w:tcPr>
            <w:tcW w:w="10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4"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(Dollars in Thousands, Unaudited)</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January 31,</w:t>
            </w:r>
          </w:p>
        </w:tc>
        <w:tc>
          <w:tcPr>
            <w:tcW w:w="240" w:type="dxa"/>
            <w:vAlign w:val="bottom"/>
          </w:tcPr>
          <w:p>
            <w:pPr>
              <w:spacing w:after="0"/>
              <w:rPr>
                <w:sz w:val="18"/>
                <w:szCs w:val="18"/>
                <w:color w:val="auto"/>
              </w:rPr>
            </w:pPr>
          </w:p>
        </w:tc>
        <w:tc>
          <w:tcPr>
            <w:tcW w:w="25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w w:val="95"/>
              </w:rPr>
              <w:t>Six months ended January 31,</w:t>
            </w:r>
          </w:p>
        </w:tc>
      </w:tr>
      <w:tr>
        <w:trPr>
          <w:trHeight w:val="33"/>
        </w:trPr>
        <w:tc>
          <w:tcPr>
            <w:tcW w:w="5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33,553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71,051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59,864</w:t>
            </w:r>
          </w:p>
        </w:tc>
      </w:tr>
      <w:tr>
        <w:trPr>
          <w:trHeight w:val="224"/>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5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(3,304)</w:t>
            </w:r>
          </w:p>
        </w:tc>
      </w:tr>
      <w:tr>
        <w:trPr>
          <w:trHeight w:val="297"/>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flow hedges: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gain recognized in other comprehensive (loss) income</w:t>
            </w:r>
          </w:p>
        </w:tc>
        <w:tc>
          <w:tcPr>
            <w:tcW w:w="2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157</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Reclassification adjustment for gains included in net income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6"/>
                <w:szCs w:val="16"/>
                <w:color w:val="auto"/>
              </w:rPr>
              <w:t>Net loss recognized in other comprehensive (loss) income</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Actuarial gain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7"/>
        </w:trPr>
        <w:tc>
          <w:tcPr>
            <w:tcW w:w="56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before tax</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(3,902)</w:t>
            </w:r>
          </w:p>
        </w:tc>
      </w:tr>
      <w:tr>
        <w:trPr>
          <w:trHeight w:val="33"/>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Income tax (expense) benefit related to items of other comprehensive (loss) income</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Other comprehensive (loss) income, net of tax</w:t>
            </w: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5,666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(4,164)</w:t>
            </w:r>
          </w:p>
        </w:tc>
      </w:tr>
      <w:tr>
        <w:trPr>
          <w:trHeight w:val="33"/>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55,700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BRADY CORPORATION AND SUBSIDIARIES</w:t>
      </w:r>
    </w:p>
    <w:p>
      <w:pPr>
        <w:spacing w:after="0" w:line="23" w:lineRule="exact"/>
        <w:rPr>
          <w:sz w:val="20"/>
          <w:szCs w:val="20"/>
          <w:color w:val="auto"/>
        </w:rPr>
      </w:pPr>
    </w:p>
    <w:p>
      <w:pPr>
        <w:ind w:right="2740"/>
        <w:spacing w:after="0" w:line="257" w:lineRule="auto"/>
        <w:rPr>
          <w:sz w:val="20"/>
          <w:szCs w:val="20"/>
          <w:color w:val="auto"/>
        </w:rPr>
      </w:pPr>
      <w:r>
        <w:rPr>
          <w:rFonts w:ascii="Arial" w:cs="Arial" w:eastAsia="Arial" w:hAnsi="Arial"/>
          <w:sz w:val="16"/>
          <w:szCs w:val="16"/>
          <w:b w:val="1"/>
          <w:bCs w:val="1"/>
          <w:color w:val="auto"/>
        </w:rPr>
        <w:t xml:space="preserve">CONDENSED CONSOLIDATED STATEMENTS OF CASH FLOWS </w:t>
      </w:r>
      <w:r>
        <w:rPr>
          <w:rFonts w:ascii="Arial" w:cs="Arial" w:eastAsia="Arial" w:hAnsi="Arial"/>
          <w:sz w:val="16"/>
          <w:szCs w:val="16"/>
          <w:color w:val="auto"/>
        </w:rPr>
        <w:t>(Dollars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Income taxes</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Purchases of property, plant and equipment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Financing activities: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Payments for employee taxes withheld from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Proceeds from borrowing on credit facilities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19551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01"/>
        </w:trPr>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71,051</w:t>
            </w:r>
          </w:p>
        </w:tc>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59,864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11,672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11,909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7,805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4,423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1,279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6,209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2,562</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(6,602)</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(2,310)</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(39,777)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(35,334)</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53,107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44,188</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(12,127)</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(16,506)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(12,579)</w:t>
            </w:r>
          </w:p>
        </w:tc>
      </w:tr>
      <w:tr>
        <w:trPr>
          <w:trHeight w:val="824"/>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(23,136)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(22,263)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18,498</w:t>
            </w:r>
          </w:p>
        </w:tc>
      </w:tr>
      <w:tr>
        <w:trPr>
          <w:trHeight w:val="270"/>
        </w:trPr>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(7,733)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(3,362)</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5,737</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(5,688)</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(2,973)</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(26,049)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(10,051)</w:t>
            </w:r>
          </w:p>
        </w:tc>
      </w:tr>
      <w:tr>
        <w:trPr>
          <w:trHeight w:val="55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(776)</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14"/>
        </w:trPr>
        <w:tc>
          <w:tcPr>
            <w:tcW w:w="340" w:type="dxa"/>
            <w:vAlign w:val="bottom"/>
          </w:tcPr>
          <w:p>
            <w:pPr>
              <w:spacing w:after="0"/>
              <w:rPr>
                <w:sz w:val="24"/>
                <w:szCs w:val="24"/>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10,731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20,782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279,072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181,427</w:t>
            </w:r>
          </w:p>
        </w:tc>
      </w:tr>
      <w:tr>
        <w:trPr>
          <w:trHeight w:val="33"/>
        </w:trPr>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21" w:right="239" w:bottom="1440" w:gutter="0" w:footer="0" w:header="0"/>
        </w:sectPr>
      </w:pPr>
    </w:p>
    <w:p>
      <w:pPr>
        <w:spacing w:after="0" w:line="101" w:lineRule="exact"/>
        <w:rPr>
          <w:sz w:val="20"/>
          <w:szCs w:val="20"/>
          <w:color w:val="auto"/>
        </w:rPr>
      </w:pPr>
    </w:p>
    <w:p>
      <w:pPr>
        <w:ind w:left="40"/>
        <w:spacing w:after="0"/>
        <w:tabs>
          <w:tab w:leader="none" w:pos="8340" w:val="left"/>
          <w:tab w:leader="none" w:pos="9180" w:val="left"/>
          <w:tab w:leader="none" w:pos="9960" w:val="left"/>
          <w:tab w:leader="none" w:pos="10760" w:val="left"/>
        </w:tabs>
        <w:rPr>
          <w:sz w:val="20"/>
          <w:szCs w:val="20"/>
          <w:color w:val="auto"/>
        </w:rPr>
      </w:pPr>
      <w:r>
        <w:rPr>
          <w:rFonts w:ascii="Arial" w:cs="Arial" w:eastAsia="Arial" w:hAnsi="Arial"/>
          <w:sz w:val="16"/>
          <w:szCs w:val="16"/>
          <w:color w:val="auto"/>
        </w:rPr>
        <w:t>Cash and cash equivalents, end of period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289,803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202,209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52070</wp:posOffset>
            </wp:positionV>
            <wp:extent cx="19551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 Months Ended January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A — Basis of Presentation</w:t>
      </w:r>
    </w:p>
    <w:p>
      <w:pPr>
        <w:spacing w:after="0" w:line="17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"Brady," "we," or "our")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2020 and July 31, 2019, its results of operations and comprehensive income for the three and six months ended January 31, 2020 and 2019, and cash flows for the six months ended January 31, 2020 and 2019. The condensed consolidated balance sheet as of July 31, 2019, has been derived from the audited consolidated financial statements as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annual report on Form 10-K for the year ended July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B — New Accounting Pronouncements</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February 2016, the FASB issued ASU 2016-02, "Leases (Topic 842)" ("ASC 842"), which replaced the former lease accounting standards. The update requires, among other items, lessees to recognize the assets and liabilities that arise from most leases on the balance sheet and disclose key information about leasing arrangements. In July 2018, the FASB issued ASU 2018-11 "Leases (Topic 842): Targeted Improvements," which provides, among other items, an additional transition method allowing a cumulative effect adjustment to the opening balance of retained earnings during the period of adoption. ASC 842 is effective for interim periods in fiscal years beginning after December 15, 2018.</w:t>
      </w:r>
    </w:p>
    <w:p>
      <w:pPr>
        <w:spacing w:after="0" w:line="2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adopted ASU 2016-02 (and related updates) effective August 1, 2019, using the optional transition method provided in ASU 2018-11 to apply this guidance to the impacted lease population at the date of initial application. Results for reporting periods beginning after August 1, 2019, are presented under ASU 2016-02, while comparative prior period amounts have not been restated and continue to be presented under accounting standards in effect during those periods.</w:t>
      </w:r>
    </w:p>
    <w:p>
      <w:pPr>
        <w:spacing w:after="0" w:line="13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elected the package of practical expedients permitted within the new standard, which among other things, allows the Company to carryforward the historical lease accounting of expired or existing leases with respect to lease identification, lease classification and accounting treatment for initial direct costs as of the adoption date. The Company also elected the practical expedient related to lease versus nonlease components, allowing the Company to recognize lease and nonlease components as a single lease. Lastly, the Company elected the hindsight practical expedient, allowing the Company to use hindsight in determining the lease term and assessing impairment of right-of-use assets when transitioning to ASC 842. The Company has made a policy election not to capitalize leases with an initial term of 12 months or less.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adoption of ASC 842, the Company recorded additional operating lease assets and liabilities of $55,984 and $58,544, respectively, as of August 1, 2019, which included operating lease assets and liabilities of $9,769 and $9,674, respectively, for leases that commenced on the adoption date of August 1, 2019. No cumulative effect adjustment to retained earnings was recognized upon adoption of the new standard. Adoption of ASC 842 did not have a material impact on the Company's cash flows or operating results. Refer to Note E "Leases" for additional information and required disclosures under the new standard.</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2017, the Financial Accounting Standards Board ("FASB") issued ASU 2017-12, "Derivatives and Hedging (Topic 815): Targeted Improvements to Accounting for Hedging Activities," which simplifies and reduces the complexity of the hedge accounting requirements and better aligns an entity's financial reporting for hedging relationships with its risk management activities. The guidance is effective for interim periods in fiscal years beginning after December 15, 2018, with early adoption permitted. The Company adopted ASU 2017-12 effective August 1, 2019, using the required modified retrospective adoption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approach to apply this guidance to existing hedging relationships as of the adoption date, which did not have a material impact on its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Standards not yet adopted</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which changes the impairment model for most financial instruments. Current guidance requires the recognition of credit losses based on an incurred loss impairment methodology that reflects losses once the losses are probable. Under ASU 2016-13, the Company will be required to use a current expected credit loss model ("CECL") that will immediately recognize an estimate of credit losses that are expected to occur over the life of the financial instruments that are in the scope of this update, including trade receivables. The CECL model uses a broader range of reasonable and supportable information in the development of credit loss estimates. This guidance becomes effective for interim periods in fiscal years beginning after December 15, 2019. The Company is currently evaluating the impact that the adoption of this ASU will have on the consolidated financial statements and related disclosures.</w:t>
      </w:r>
    </w:p>
    <w:p>
      <w:pPr>
        <w:spacing w:after="0" w:line="16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ASU 2017-04, "Goodwill and Other, Simplifying the Test for Goodwill Impairment," which simplifies the accounting for goodwill impairment. The new guidance removes Step 2 of the goodwill impairment test, which requires a hypothetical purchase price allocation. A goodwill impairment will now be the amount by which a reporting unit’s carrying value exceeds its fair value, not to exceed the carrying amount of goodwill. All other goodwill impairment guidance will remain largely unchanged. This guidance is effective for annual periods beginning after December 15, 2019, and interim periods thereafter; however, early adoption is permitted for any impairment tests performed after January 1, 2017. The Company has not adopted this guidance, which will only impact the Company's consolidated financial statements if there is a future impairment of goodwill.</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2019, the FASB issued ASU 2019-12, "Income Taxes - Simplifying the Accounting for Income Taxes (Topic 740)," which simplifies the accounting for income taxes. The new guidance removes certain exceptions to the general principles in ASC 740 such as recognizing deferred taxes for equity investments, the incremental approach to performing intraperiod tax allocation and calculating income taxes in interim periods. The standard also simplifies accounting for income taxes under U.S. GAAP by clarifying and amending existing guidance, including the recognition of deferred taxes for goodwill, the allocation of taxes to members of a consolidated group and requiring that an entity reflect the effect of enacted changes in tax laws or rates in the annual effective tax rate computation in the interim period that includes the enactment date. This guidance is effective for annual periods beginning after December 15, 2020, and interim periods thereafter; however, early adoption is permitted. The Company is currently evaluating the impact that the adoption of this ASU will have on the consolidated financial statements and related disclosures.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NOTE C — Additional Balance Sheet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Inventories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as of January 31, 2020, and July 31, 2019, consisted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 2020</w:t>
            </w:r>
          </w:p>
        </w:tc>
        <w:tc>
          <w:tcPr>
            <w:tcW w:w="220" w:type="dxa"/>
            <w:vAlign w:val="bottom"/>
          </w:tcPr>
          <w:p>
            <w:pPr>
              <w:spacing w:after="0"/>
              <w:rPr>
                <w:sz w:val="18"/>
                <w:szCs w:val="18"/>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products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77,951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21,477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20,515</w:t>
            </w: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Raw materials and supplies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21,990</w:t>
            </w:r>
          </w:p>
        </w:tc>
      </w:tr>
      <w:tr>
        <w:trPr>
          <w:trHeight w:val="217"/>
        </w:trPr>
        <w:tc>
          <w:tcPr>
            <w:tcW w:w="8120" w:type="dxa"/>
            <w:vAlign w:val="bottom"/>
          </w:tcPr>
          <w:p>
            <w:pPr>
              <w:ind w:left="28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120,788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120,037</w:t>
            </w:r>
          </w:p>
        </w:tc>
      </w:tr>
      <w:tr>
        <w:trPr>
          <w:trHeight w:val="33"/>
        </w:trPr>
        <w:tc>
          <w:tcPr>
            <w:tcW w:w="8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Property, plant and equipment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Property, plant and equipment is presented net of accumulated depreciation in the amount of $280,961 and $273,880 as of January 31, 2020, and July 31,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D — Other 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intangible assets include customer relationships, patents, and trademarks with finite lives being amortized in accordance with the accounting guidance for other intangible assets. The Company also has unamortized indefinite-lived trademarks that are classified as other intangible assets. The net book value of these assets was as follows: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8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2"/>
        </w:trPr>
        <w:tc>
          <w:tcPr>
            <w:tcW w:w="102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January 31, 2020</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July 31, 2019</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Net Book</w:t>
            </w: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Net Book</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Amortized other intangible assets:</w:t>
            </w: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20" w:type="dxa"/>
            <w:vAlign w:val="bottom"/>
            <w:shd w:val="clear" w:color="auto" w:fill="CCEEFF"/>
          </w:tcPr>
          <w:p>
            <w:pPr>
              <w:spacing w:after="0"/>
              <w:rPr>
                <w:sz w:val="8"/>
                <w:szCs w:val="8"/>
                <w:color w:val="auto"/>
              </w:rPr>
            </w:pPr>
          </w:p>
        </w:tc>
        <w:tc>
          <w:tcPr>
            <w:tcW w:w="18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380"/>
              <w:spacing w:after="0"/>
              <w:rPr>
                <w:sz w:val="20"/>
                <w:szCs w:val="20"/>
                <w:color w:val="auto"/>
              </w:rPr>
            </w:pPr>
            <w:r>
              <w:rPr>
                <w:rFonts w:ascii="Arial" w:cs="Arial" w:eastAsia="Arial" w:hAnsi="Arial"/>
                <w:sz w:val="14"/>
                <w:szCs w:val="14"/>
                <w:color w:val="auto"/>
              </w:rPr>
              <w:t>Customer relationships and other</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46,561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(31,897)</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14,664</w:t>
            </w:r>
          </w:p>
        </w:tc>
        <w:tc>
          <w:tcPr>
            <w:tcW w:w="1240" w:type="dxa"/>
            <w:vAlign w:val="bottom"/>
            <w:gridSpan w:val="2"/>
            <w:vMerge w:val="restart"/>
          </w:tcPr>
          <w:p>
            <w:pPr>
              <w:jc w:val="center"/>
              <w:ind w:lef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46,595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(29,343)</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17,252</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other intangible assets:</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0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880" w:type="dxa"/>
            <w:vAlign w:val="bottom"/>
            <w:gridSpan w:val="2"/>
          </w:tcPr>
          <w:p>
            <w:pPr>
              <w:ind w:left="380"/>
              <w:spacing w:after="0"/>
              <w:rPr>
                <w:sz w:val="20"/>
                <w:szCs w:val="20"/>
                <w:color w:val="auto"/>
              </w:rPr>
            </w:pPr>
            <w:r>
              <w:rPr>
                <w:rFonts w:ascii="Arial" w:cs="Arial" w:eastAsia="Arial" w:hAnsi="Arial"/>
                <w:sz w:val="14"/>
                <w:szCs w:val="14"/>
                <w:color w:val="auto"/>
              </w:rPr>
              <w:t>Trademarks</w:t>
            </w: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color w:val="auto"/>
              </w:rPr>
              <w:t>18,916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18,916</w:t>
            </w:r>
          </w:p>
        </w:tc>
        <w:tc>
          <w:tcPr>
            <w:tcW w:w="120" w:type="dxa"/>
            <w:vAlign w:val="bottom"/>
          </w:tcPr>
          <w:p>
            <w:pPr>
              <w:spacing w:after="0"/>
              <w:rPr>
                <w:sz w:val="16"/>
                <w:szCs w:val="16"/>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18,871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18,871</w:t>
            </w: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8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1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65,477</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(31,897)</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33,580</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65,466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(29,343)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36,123</w:t>
            </w:r>
          </w:p>
        </w:tc>
        <w:tc>
          <w:tcPr>
            <w:tcW w:w="0" w:type="dxa"/>
            <w:vAlign w:val="bottom"/>
          </w:tcPr>
          <w:p>
            <w:pPr>
              <w:spacing w:after="0"/>
              <w:rPr>
                <w:sz w:val="1"/>
                <w:szCs w:val="1"/>
                <w:color w:val="auto"/>
              </w:rPr>
            </w:pPr>
          </w:p>
        </w:tc>
      </w:tr>
      <w:tr>
        <w:trPr>
          <w:trHeight w:val="60"/>
        </w:trPr>
        <w:tc>
          <w:tcPr>
            <w:tcW w:w="1020" w:type="dxa"/>
            <w:vAlign w:val="bottom"/>
            <w:tcBorders>
              <w:bottom w:val="single" w:sz="8" w:color="CCEEFF"/>
            </w:tcBorders>
            <w:shd w:val="clear" w:color="auto" w:fill="CCEEFF"/>
          </w:tcPr>
          <w:p>
            <w:pPr>
              <w:spacing w:after="0"/>
              <w:rPr>
                <w:sz w:val="5"/>
                <w:szCs w:val="5"/>
                <w:color w:val="auto"/>
              </w:rPr>
            </w:pPr>
          </w:p>
        </w:tc>
        <w:tc>
          <w:tcPr>
            <w:tcW w:w="1860" w:type="dxa"/>
            <w:vAlign w:val="bottom"/>
            <w:tcBorders>
              <w:bottom w:val="single" w:sz="8" w:color="CCEEFF"/>
            </w:tcBorders>
            <w:shd w:val="clear" w:color="auto" w:fill="CCEEFF"/>
          </w:tcPr>
          <w:p>
            <w:pPr>
              <w:spacing w:after="0"/>
              <w:rPr>
                <w:sz w:val="5"/>
                <w:szCs w:val="5"/>
                <w:color w:val="auto"/>
              </w:rPr>
            </w:pPr>
          </w:p>
        </w:tc>
        <w:tc>
          <w:tcPr>
            <w:tcW w:w="114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auto"/>
            </w:tcBorders>
            <w:vMerge w:val="continue"/>
            <w:shd w:val="clear" w:color="auto" w:fill="CCEEFF"/>
          </w:tcPr>
          <w:p>
            <w:pPr>
              <w:spacing w:after="0"/>
              <w:rPr>
                <w:sz w:val="5"/>
                <w:szCs w:val="5"/>
                <w:color w:val="auto"/>
              </w:rPr>
            </w:pPr>
          </w:p>
        </w:tc>
        <w:tc>
          <w:tcPr>
            <w:tcW w:w="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change in the gross carrying amount of other intangible assets as of January 31, 2020 compared to July 31, 2019 was due to the effects of currency fluctuations during the six-month period.</w:t>
      </w:r>
    </w:p>
    <w:p>
      <w:pPr>
        <w:spacing w:after="0" w:line="11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Amortization expense of intangible assets was $1,291 and $1,434 for the three months ended January 31, 2020 and 2019, respectively, and $2,582 and $2,870 for the six months ended January 31, 2020 and 2019, respectively. The amortization over each of the next five fiscal years is projected to be $5,163, $5,163, $4,894, $2,025 and $0 for the fiscal years ending July 31, 2020, 2021, 2022, 2023 and 2024,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NOTE E — Leases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Company leases certain manufacturing facilities, warehouses and office space, computer equipment, and vehicles accounted for as operating leases. Lease terms typically range from one year to fifteen years. As of January 31, 2020, the Company did not have any finance leases.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determines whether an arrangement contains a lease at contract inception. The contract is considered to contain a lease if it provides the Company with the right to direct the use of and the right to obtain substantially all of the economic benefits from an identified asset in exchange for consideration. The Company recognizes a right-of-use (“ROU”) asset and a lease liability at the lease commencement date based on the present value of the future lease payments over the expected lease term. Additionally, the ROU asset includes any lease payments made on or before the commencement date, initial direct costs incurred, and is reduced by any lease incentives received.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of the Company’s leases include options to extend the lease agreement. The exercise of an extension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which are considered to be variable lease payments. Due to the nature of the Company’s variable lease payments, they are generally excluded from the initial measurement of the ROU asset and lease liability and are recognized in the period in which the obligation for those payments is incurred. The Company has lease agreements that include both lease and non-lease components, which the Company has elected to account for as a single lease component. The Company's lease agreements do not contain any material residual value guarantees or material restrictive covenants.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the discount rate implicit within the Company’s leases cannot be readily determined, and therefore the Company uses its incremental borrowing rate to determine the present value of the future lease payments.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Operating leases are reflected in “Operating lease assets,” “Current operating lease liabilities,” and “Long-term operating lease liabilities” on the Company's condensed consolidated balance sheets.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Short-term lease expense, variable lease expenses, and sublease income was immaterial to the condensed consolidated statements of income for the three and six months ended January 31,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lease expense recognized for the three and six months ended January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220" w:type="dxa"/>
            <w:vAlign w:val="bottom"/>
          </w:tcPr>
          <w:p>
            <w:pPr>
              <w:spacing w:after="0"/>
              <w:rPr>
                <w:sz w:val="18"/>
                <w:szCs w:val="18"/>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Six months ended</w:t>
            </w:r>
          </w:p>
        </w:tc>
      </w:tr>
      <w:tr>
        <w:trPr>
          <w:trHeight w:val="270"/>
        </w:trPr>
        <w:tc>
          <w:tcPr>
            <w:tcW w:w="1960" w:type="dxa"/>
            <w:vAlign w:val="bottom"/>
          </w:tcPr>
          <w:p>
            <w:pPr>
              <w:spacing w:after="0"/>
              <w:rPr>
                <w:sz w:val="23"/>
                <w:szCs w:val="23"/>
                <w:color w:val="auto"/>
              </w:rPr>
            </w:pPr>
          </w:p>
        </w:tc>
        <w:tc>
          <w:tcPr>
            <w:tcW w:w="5480" w:type="dxa"/>
            <w:vAlign w:val="bottom"/>
            <w:gridSpan w:val="2"/>
          </w:tcPr>
          <w:p>
            <w:pPr>
              <w:ind w:left="720"/>
              <w:spacing w:after="0"/>
              <w:rPr>
                <w:sz w:val="20"/>
                <w:szCs w:val="20"/>
                <w:color w:val="auto"/>
              </w:rPr>
            </w:pPr>
            <w:r>
              <w:rPr>
                <w:rFonts w:ascii="Arial" w:cs="Arial" w:eastAsia="Arial" w:hAnsi="Arial"/>
                <w:sz w:val="16"/>
                <w:szCs w:val="16"/>
                <w:b w:val="1"/>
                <w:bCs w:val="1"/>
                <w:color w:val="auto"/>
              </w:rPr>
              <w:t>Condensed Consolidated Statements of Income Location</w:t>
            </w:r>
          </w:p>
        </w:tc>
        <w:tc>
          <w:tcPr>
            <w:tcW w:w="200" w:type="dxa"/>
            <w:vAlign w:val="bottom"/>
          </w:tcPr>
          <w:p>
            <w:pPr>
              <w:spacing w:after="0"/>
              <w:rPr>
                <w:sz w:val="23"/>
                <w:szCs w:val="23"/>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January 31, 2020</w:t>
            </w:r>
          </w:p>
        </w:tc>
        <w:tc>
          <w:tcPr>
            <w:tcW w:w="220" w:type="dxa"/>
            <w:vAlign w:val="bottom"/>
          </w:tcPr>
          <w:p>
            <w:pPr>
              <w:spacing w:after="0"/>
              <w:rPr>
                <w:sz w:val="23"/>
                <w:szCs w:val="23"/>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rPr>
              <w:t>January 31, 2020</w:t>
            </w:r>
          </w:p>
        </w:tc>
      </w:tr>
      <w:tr>
        <w:trPr>
          <w:trHeight w:val="33"/>
        </w:trPr>
        <w:tc>
          <w:tcPr>
            <w:tcW w:w="1960" w:type="dxa"/>
            <w:vAlign w:val="bottom"/>
            <w:tcBorders>
              <w:bottom w:val="single" w:sz="8" w:color="CCEEFF"/>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cost</w:t>
            </w:r>
          </w:p>
        </w:tc>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4,962</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Operating lease cost</w:t>
            </w:r>
          </w:p>
        </w:tc>
        <w:tc>
          <w:tcPr>
            <w:tcW w:w="548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0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4,716</w:t>
            </w:r>
          </w:p>
        </w:tc>
      </w:tr>
    </w:tbl>
    <w:p>
      <w:pPr>
        <w:spacing w:after="0" w:line="200" w:lineRule="exact"/>
        <w:rPr>
          <w:sz w:val="20"/>
          <w:szCs w:val="20"/>
          <w:color w:val="auto"/>
        </w:rPr>
      </w:pPr>
    </w:p>
    <w:p>
      <w:pPr>
        <w:sectPr>
          <w:pgSz w:w="11900" w:h="16838" w:orient="portrait"/>
          <w:cols w:equalWidth="0" w:num="1">
            <w:col w:w="11420"/>
          </w:cols>
          <w:pgMar w:left="240" w:top="114"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14"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maturity of the Company's lease liabilities as of January 31,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Years ended July 31,</w:t>
            </w:r>
          </w:p>
        </w:tc>
        <w:tc>
          <w:tcPr>
            <w:tcW w:w="30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8,426</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15,780</w:t>
            </w:r>
          </w:p>
        </w:tc>
      </w:tr>
      <w:tr>
        <w:trPr>
          <w:trHeight w:val="33"/>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12,797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9,427</w:t>
            </w:r>
          </w:p>
        </w:tc>
      </w:tr>
      <w:tr>
        <w:trPr>
          <w:trHeight w:val="33"/>
        </w:trPr>
        <w:tc>
          <w:tcPr>
            <w:tcW w:w="9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3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5,580</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3,268</w:t>
            </w:r>
          </w:p>
        </w:tc>
      </w:tr>
      <w:tr>
        <w:trPr>
          <w:trHeight w:val="33"/>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55,278</w:t>
            </w:r>
          </w:p>
        </w:tc>
      </w:tr>
      <w:tr>
        <w:trPr>
          <w:trHeight w:val="224"/>
        </w:trPr>
        <w:tc>
          <w:tcPr>
            <w:tcW w:w="9260" w:type="dxa"/>
            <w:vAlign w:val="bottom"/>
          </w:tcPr>
          <w:p>
            <w:pPr>
              <w:ind w:left="280"/>
              <w:spacing w:after="0"/>
              <w:rPr>
                <w:sz w:val="20"/>
                <w:szCs w:val="20"/>
                <w:color w:val="auto"/>
              </w:rPr>
            </w:pPr>
            <w:r>
              <w:rPr>
                <w:rFonts w:ascii="Arial" w:cs="Arial" w:eastAsia="Arial" w:hAnsi="Arial"/>
                <w:sz w:val="16"/>
                <w:szCs w:val="16"/>
                <w:color w:val="auto"/>
              </w:rPr>
              <w:t>Less interest</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(3,384)</w:t>
            </w:r>
          </w:p>
        </w:tc>
      </w:tr>
      <w:tr>
        <w:trPr>
          <w:trHeight w:val="33"/>
        </w:trPr>
        <w:tc>
          <w:tcPr>
            <w:tcW w:w="9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51,894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weighted average remaining lease terms and discount rates for the Company's operating leases as of January 31, 2020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2200" w:type="dxa"/>
            <w:vAlign w:val="bottom"/>
          </w:tcPr>
          <w:p>
            <w:pPr>
              <w:ind w:left="500"/>
              <w:spacing w:after="0"/>
              <w:rPr>
                <w:sz w:val="20"/>
                <w:szCs w:val="20"/>
                <w:color w:val="auto"/>
              </w:rPr>
            </w:pPr>
            <w:r>
              <w:rPr>
                <w:rFonts w:ascii="Arial" w:cs="Arial" w:eastAsia="Arial" w:hAnsi="Arial"/>
                <w:sz w:val="16"/>
                <w:szCs w:val="16"/>
                <w:b w:val="1"/>
                <w:bCs w:val="1"/>
                <w:color w:val="auto"/>
              </w:rPr>
              <w:t>January 31, 2020</w:t>
            </w:r>
          </w:p>
        </w:tc>
      </w:tr>
      <w:tr>
        <w:trPr>
          <w:trHeight w:val="33"/>
        </w:trPr>
        <w:tc>
          <w:tcPr>
            <w:tcW w:w="916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30"/>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2200" w:type="dxa"/>
            <w:vAlign w:val="bottom"/>
            <w:tcBorders>
              <w:bottom w:val="single" w:sz="8" w:color="CCEEFF"/>
            </w:tcBorders>
            <w:shd w:val="clear" w:color="auto" w:fill="CCEEFF"/>
          </w:tcPr>
          <w:p>
            <w:pPr>
              <w:ind w:left="1820"/>
              <w:spacing w:after="0"/>
              <w:rPr>
                <w:sz w:val="20"/>
                <w:szCs w:val="20"/>
                <w:color w:val="auto"/>
              </w:rPr>
            </w:pPr>
            <w:r>
              <w:rPr>
                <w:rFonts w:ascii="Arial" w:cs="Arial" w:eastAsia="Arial" w:hAnsi="Arial"/>
                <w:sz w:val="16"/>
                <w:szCs w:val="16"/>
                <w:color w:val="auto"/>
              </w:rPr>
              <w:t>3.9</w:t>
            </w:r>
          </w:p>
        </w:tc>
      </w:tr>
      <w:tr>
        <w:trPr>
          <w:trHeight w:val="224"/>
        </w:trPr>
        <w:tc>
          <w:tcPr>
            <w:tcW w:w="91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2200" w:type="dxa"/>
            <w:vAlign w:val="bottom"/>
          </w:tcPr>
          <w:p>
            <w:pPr>
              <w:ind w:left="1820"/>
              <w:spacing w:after="0"/>
              <w:rPr>
                <w:sz w:val="20"/>
                <w:szCs w:val="20"/>
                <w:color w:val="auto"/>
              </w:rPr>
            </w:pPr>
            <w:r>
              <w:rPr>
                <w:rFonts w:ascii="Arial" w:cs="Arial" w:eastAsia="Arial" w:hAnsi="Arial"/>
                <w:sz w:val="16"/>
                <w:szCs w:val="16"/>
                <w:color w:val="auto"/>
                <w:w w:val="98"/>
              </w:rPr>
              <w:t>3.4%</w:t>
            </w:r>
          </w:p>
        </w:tc>
      </w:tr>
    </w:tbl>
    <w:p>
      <w:pPr>
        <w:spacing w:after="0" w:line="2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cash flow information related to the Company's operating leases for the six months ended January 31, 2020,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9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b w:val="1"/>
                <w:bCs w:val="1"/>
                <w:color w:val="auto"/>
              </w:rPr>
              <w:t>January 31, 2020</w:t>
            </w:r>
          </w:p>
        </w:tc>
      </w:tr>
      <w:tr>
        <w:trPr>
          <w:trHeight w:val="33"/>
        </w:trPr>
        <w:tc>
          <w:tcPr>
            <w:tcW w:w="9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cash outflows from operating leases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8,216</w:t>
            </w:r>
          </w:p>
        </w:tc>
      </w:tr>
      <w:tr>
        <w:trPr>
          <w:trHeight w:val="224"/>
        </w:trPr>
        <w:tc>
          <w:tcPr>
            <w:tcW w:w="9220" w:type="dxa"/>
            <w:vAlign w:val="bottom"/>
          </w:tcPr>
          <w:p>
            <w:pPr>
              <w:ind w:left="40"/>
              <w:spacing w:after="0"/>
              <w:rPr>
                <w:sz w:val="20"/>
                <w:szCs w:val="20"/>
                <w:color w:val="auto"/>
              </w:rPr>
            </w:pPr>
            <w:r>
              <w:rPr>
                <w:rFonts w:ascii="Arial" w:cs="Arial" w:eastAsia="Arial" w:hAnsi="Arial"/>
                <w:sz w:val="16"/>
                <w:szCs w:val="16"/>
                <w:color w:val="auto"/>
              </w:rPr>
              <w:t>Operating lease assets obtained in exchange for new operating lease liabilities</w:t>
            </w:r>
          </w:p>
        </w:tc>
        <w:tc>
          <w:tcPr>
            <w:tcW w:w="28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10,637</w:t>
            </w:r>
          </w:p>
        </w:tc>
      </w:tr>
    </w:tbl>
    <w:p>
      <w:pPr>
        <w:spacing w:after="0" w:line="200" w:lineRule="exact"/>
        <w:rPr>
          <w:sz w:val="20"/>
          <w:szCs w:val="20"/>
          <w:color w:val="auto"/>
        </w:rPr>
      </w:pPr>
    </w:p>
    <w:p>
      <w:pPr>
        <w:spacing w:after="0" w:line="2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Operating lease assets obtained in exchange for new operating lease liabilities include $9,769 of operating lease assets related to leases that commenced on August 1, 2019, which were included in the adoption impact of the new lease accounting standard.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future minimum lease payments under operating leases as of July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ind w:left="40"/>
              <w:spacing w:after="0"/>
              <w:rPr>
                <w:sz w:val="20"/>
                <w:szCs w:val="20"/>
                <w:color w:val="auto"/>
              </w:rPr>
            </w:pPr>
            <w:r>
              <w:rPr>
                <w:rFonts w:ascii="Arial" w:cs="Arial" w:eastAsia="Arial" w:hAnsi="Arial"/>
                <w:sz w:val="16"/>
                <w:szCs w:val="16"/>
                <w:b w:val="1"/>
                <w:bCs w:val="1"/>
                <w:color w:val="auto"/>
              </w:rPr>
              <w:t>Years ended July 31,</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Operating Leases</w:t>
            </w:r>
          </w:p>
        </w:tc>
      </w:tr>
      <w:tr>
        <w:trPr>
          <w:trHeight w:val="33"/>
        </w:trPr>
        <w:tc>
          <w:tcPr>
            <w:tcW w:w="9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18,450</w:t>
            </w:r>
          </w:p>
        </w:tc>
      </w:tr>
      <w:tr>
        <w:trPr>
          <w:trHeight w:val="224"/>
        </w:trPr>
        <w:tc>
          <w:tcPr>
            <w:tcW w:w="9220" w:type="dxa"/>
            <w:vAlign w:val="bottom"/>
          </w:tcPr>
          <w:p>
            <w:pPr>
              <w:ind w:left="40"/>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16,132</w:t>
            </w:r>
          </w:p>
        </w:tc>
      </w:tr>
      <w:tr>
        <w:trPr>
          <w:trHeight w:val="33"/>
        </w:trPr>
        <w:tc>
          <w:tcPr>
            <w:tcW w:w="9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13,439</w:t>
            </w:r>
          </w:p>
        </w:tc>
      </w:tr>
      <w:tr>
        <w:trPr>
          <w:trHeight w:val="224"/>
        </w:trPr>
        <w:tc>
          <w:tcPr>
            <w:tcW w:w="9220" w:type="dxa"/>
            <w:vAlign w:val="bottom"/>
          </w:tcPr>
          <w:p>
            <w:pPr>
              <w:ind w:left="40"/>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10,065</w:t>
            </w:r>
          </w:p>
        </w:tc>
      </w:tr>
      <w:tr>
        <w:trPr>
          <w:trHeight w:val="33"/>
        </w:trPr>
        <w:tc>
          <w:tcPr>
            <w:tcW w:w="9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5,656</w:t>
            </w:r>
          </w:p>
        </w:tc>
      </w:tr>
      <w:tr>
        <w:trPr>
          <w:trHeight w:val="224"/>
        </w:trPr>
        <w:tc>
          <w:tcPr>
            <w:tcW w:w="92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3,502</w:t>
            </w:r>
          </w:p>
        </w:tc>
      </w:tr>
      <w:tr>
        <w:trPr>
          <w:trHeight w:val="33"/>
        </w:trPr>
        <w:tc>
          <w:tcPr>
            <w:tcW w:w="9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5"/>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lease payments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67,244</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NOTE F – Stockholders' Equity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January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 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October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663,808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876,535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33,553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33,553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Class A — $0.22 per share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(10,833)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$0.22 per share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color w:val="auto"/>
              </w:rPr>
              <w:t>Balances at January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329,263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685,758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illustrates the changes in the balances of each component of stockholders' equity for the six months ended January 31, 2020: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 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329,969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637,843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850,774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71,051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71,051</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(3,046)</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5,384</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Class A — $0.44 per share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(21,655)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(21,655)</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$0.42 per share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0" w:type="dxa"/>
            <w:vAlign w:val="bottom"/>
          </w:tcPr>
          <w:p>
            <w:pPr>
              <w:spacing w:after="0"/>
              <w:rPr>
                <w:sz w:val="1"/>
                <w:szCs w:val="1"/>
                <w:color w:val="auto"/>
              </w:rPr>
            </w:pP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color w:val="auto"/>
              </w:rPr>
              <w:t>Balances at January 31, 2020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329,263</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685,758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(43,155)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(72,490)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899,924</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three months ended January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 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October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326,182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570,858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772,943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29,227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29,227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5,666</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5,235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5,073</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2,840</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24"/>
        </w:trPr>
        <w:tc>
          <w:tcPr>
            <w:tcW w:w="3460" w:type="dxa"/>
            <w:vAlign w:val="bottom"/>
          </w:tcPr>
          <w:p>
            <w:pPr>
              <w:ind w:left="4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 — $0.21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(10,415)</w:t>
            </w: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Class B — $0.21 per share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803,381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changes in the balances of each component of stockholders' equity for the six months ended January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Common</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18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Accumulated Other</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Stock</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 Loss</w:t>
            </w: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July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752,112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59,864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59,864</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Issuance of shares of Class A Common Stock</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under stock plan</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19,804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15,137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benefit and withholdings from deferred</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distributions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7,805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7,805</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shares of Class A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(3,182)</w:t>
            </w:r>
          </w:p>
        </w:tc>
        <w:tc>
          <w:tcPr>
            <w:tcW w:w="0" w:type="dxa"/>
            <w:vAlign w:val="bottom"/>
          </w:tcPr>
          <w:p>
            <w:pPr>
              <w:spacing w:after="0"/>
              <w:rPr>
                <w:sz w:val="1"/>
                <w:szCs w:val="1"/>
                <w:color w:val="auto"/>
              </w:rPr>
            </w:pPr>
          </w:p>
        </w:tc>
      </w:tr>
      <w:tr>
        <w:trPr>
          <w:trHeight w:val="220"/>
        </w:trPr>
        <w:tc>
          <w:tcPr>
            <w:tcW w:w="3460" w:type="dxa"/>
            <w:vAlign w:val="bottom"/>
          </w:tcPr>
          <w:p>
            <w:pPr>
              <w:ind w:left="40"/>
              <w:spacing w:after="0"/>
              <w:rPr>
                <w:sz w:val="20"/>
                <w:szCs w:val="20"/>
                <w:color w:val="auto"/>
              </w:rPr>
            </w:pPr>
            <w:r>
              <w:rPr>
                <w:rFonts w:ascii="Arial" w:cs="Arial" w:eastAsia="Arial" w:hAnsi="Arial"/>
                <w:sz w:val="16"/>
                <w:szCs w:val="16"/>
                <w:color w:val="auto"/>
              </w:rPr>
              <w:t>Adoption of ASU 2014-09, "Revenue from</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60" w:type="dxa"/>
            <w:vAlign w:val="bottom"/>
          </w:tcPr>
          <w:p>
            <w:pPr>
              <w:ind w:left="40"/>
              <w:spacing w:after="0"/>
              <w:rPr>
                <w:sz w:val="20"/>
                <w:szCs w:val="20"/>
                <w:color w:val="auto"/>
              </w:rPr>
            </w:pPr>
            <w:r>
              <w:rPr>
                <w:rFonts w:ascii="Arial" w:cs="Arial" w:eastAsia="Arial" w:hAnsi="Arial"/>
                <w:sz w:val="16"/>
                <w:szCs w:val="16"/>
                <w:color w:val="auto"/>
              </w:rPr>
              <w:t>Contracts with Customers"</w:t>
            </w: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(2,137)</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on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180"/>
              <w:spacing w:after="0"/>
              <w:rPr>
                <w:sz w:val="20"/>
                <w:szCs w:val="20"/>
                <w:color w:val="auto"/>
              </w:rPr>
            </w:pPr>
            <w:r>
              <w:rPr>
                <w:rFonts w:ascii="Arial" w:cs="Arial" w:eastAsia="Arial" w:hAnsi="Arial"/>
                <w:sz w:val="16"/>
                <w:szCs w:val="16"/>
                <w:color w:val="auto"/>
              </w:rPr>
              <w:t>Class A — $0.43 per share</w:t>
            </w:r>
          </w:p>
        </w:tc>
        <w:tc>
          <w:tcPr>
            <w:tcW w:w="14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(20,818)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B — $0.41 per share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0" w:type="dxa"/>
            <w:vAlign w:val="bottom"/>
          </w:tcPr>
          <w:p>
            <w:pPr>
              <w:spacing w:after="0"/>
              <w:rPr>
                <w:sz w:val="1"/>
                <w:szCs w:val="1"/>
                <w:color w:val="auto"/>
              </w:rPr>
            </w:pPr>
          </w:p>
        </w:tc>
      </w:tr>
      <w:tr>
        <w:trPr>
          <w:trHeight w:val="217"/>
        </w:trPr>
        <w:tc>
          <w:tcPr>
            <w:tcW w:w="3460" w:type="dxa"/>
            <w:vAlign w:val="bottom"/>
          </w:tcPr>
          <w:p>
            <w:pPr>
              <w:ind w:left="40"/>
              <w:spacing w:after="0"/>
              <w:rPr>
                <w:sz w:val="20"/>
                <w:szCs w:val="20"/>
                <w:color w:val="auto"/>
              </w:rPr>
            </w:pPr>
            <w:r>
              <w:rPr>
                <w:rFonts w:ascii="Arial" w:cs="Arial" w:eastAsia="Arial" w:hAnsi="Arial"/>
                <w:sz w:val="16"/>
                <w:szCs w:val="16"/>
                <w:color w:val="auto"/>
              </w:rPr>
              <w:t>Balances at January 31,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328,978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588,918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(54,498)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803,381</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G — Accumulated Other Comprehensive Loss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comprehensive loss consists of foreign currency translation adjustments which includes net investment hedges, unrealized gains and losses from cash flow hedges, and the unamortized gain on post-retirement plans, net of their related tax effects.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six months ended January 31, 2020:</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July 31, 2019</w:t>
      </w:r>
    </w:p>
    <w:p>
      <w:pPr>
        <w:spacing w:after="0" w:line="100" w:lineRule="exact"/>
        <w:rPr>
          <w:sz w:val="20"/>
          <w:szCs w:val="20"/>
          <w:color w:val="auto"/>
        </w:rPr>
      </w:pPr>
    </w:p>
    <w:p>
      <w:pPr>
        <w:ind w:left="40" w:right="460"/>
        <w:spacing w:after="0" w:line="412" w:lineRule="auto"/>
        <w:rPr>
          <w:sz w:val="20"/>
          <w:szCs w:val="20"/>
          <w:color w:val="auto"/>
        </w:rPr>
      </w:pPr>
      <w:r>
        <w:rPr>
          <w:rFonts w:ascii="Arial" w:cs="Arial" w:eastAsia="Arial" w:hAnsi="Arial"/>
          <w:sz w:val="14"/>
          <w:szCs w:val="14"/>
          <w:color w:val="auto"/>
        </w:rPr>
        <w:t>Other comprehensive income (loss) before reclassification Amounts reclassified from accumulated other comprehensive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January 31, 2020</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(71,254)</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70"/>
        </w:trPr>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(75,674)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(72,490)</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-728345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-368300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122" w:right="239" w:bottom="1440" w:gutter="0" w:footer="0" w:header="0"/>
          <w:type w:val="continuous"/>
        </w:sectPr>
      </w:pPr>
    </w:p>
    <w:p>
      <w:pPr>
        <w:spacing w:after="0" w:line="16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increase in accumulated other comprehensive loss as of January 31, 2020, compared to July 31, 2019, was primarily due to the appreciation of the U.S. dollar against certain other currencies during the six-month period. The foreign currency translation adjustments column in the table above includes the impact of foreign currency translation and the settlements of net investment hedges, net of tax. Of the total $575 in amounts reclassified from accumulated other comprehensive loss, the $365 gain on cash flow hedges was reclassified into cost of goods sold, and the $210 gain on post-retirement plans was reclassified into investment and other income on the condensed consolidated statements of income for the six months ended January 31, 2020.</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changes in accumulated other comprehensive loss by component, net of tax, for the six months ended January 31, 2019, were as follows:</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July 31, 2018</w:t>
      </w:r>
    </w:p>
    <w:p>
      <w:pPr>
        <w:spacing w:after="0" w:line="100" w:lineRule="exact"/>
        <w:rPr>
          <w:sz w:val="20"/>
          <w:szCs w:val="20"/>
          <w:color w:val="auto"/>
        </w:rPr>
      </w:pPr>
    </w:p>
    <w:p>
      <w:pPr>
        <w:ind w:left="40" w:right="460"/>
        <w:spacing w:after="0" w:line="412" w:lineRule="auto"/>
        <w:rPr>
          <w:sz w:val="20"/>
          <w:szCs w:val="20"/>
          <w:color w:val="auto"/>
        </w:rPr>
      </w:pPr>
      <w:r>
        <w:rPr>
          <w:rFonts w:ascii="Arial" w:cs="Arial" w:eastAsia="Arial" w:hAnsi="Arial"/>
          <w:sz w:val="14"/>
          <w:szCs w:val="14"/>
          <w:color w:val="auto"/>
        </w:rPr>
        <w:t>Other comprehensive income (loss) before reclassification Amounts reclassified from accumulated other comprehensive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January 31, 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Unamortized gain</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Foreign currency</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gain on</w:t>
            </w:r>
          </w:p>
        </w:tc>
        <w:tc>
          <w:tcPr>
            <w:tcW w:w="15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post-retirement</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Accumulated other</w:t>
            </w:r>
          </w:p>
        </w:tc>
      </w:tr>
      <w:tr>
        <w:trPr>
          <w:trHeight w:val="210"/>
        </w:trPr>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 hedges</w:t>
            </w:r>
          </w:p>
        </w:tc>
        <w:tc>
          <w:tcPr>
            <w:tcW w:w="32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plans</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comprehensive loss</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863</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(60,566)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(56,401)</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(3,650)</w:t>
            </w:r>
          </w:p>
        </w:tc>
      </w:tr>
      <w:tr>
        <w:trPr>
          <w:trHeight w:val="270"/>
        </w:trPr>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(514)</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(64,094)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(60,565)</w:t>
            </w:r>
          </w:p>
        </w:tc>
      </w:tr>
      <w:tr>
        <w:trPr>
          <w:trHeight w:val="33"/>
        </w:trPr>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-728345</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-368300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122" w:right="239" w:bottom="1440" w:gutter="0" w:footer="0" w:header="0"/>
          <w:type w:val="continuous"/>
        </w:sectPr>
      </w:pPr>
    </w:p>
    <w:p>
      <w:pPr>
        <w:spacing w:after="0" w:line="16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accumulated other comprehensive loss as of January 31, 2019, compared to July 31, 2018, was primarily due to the appreciation of the U.S. dollar against certain other currencies during the six-month period. The foreign currency translation adjustments column in the table above includes the impact of foreign currency translation, foreign currency translation on intercompany notes and the settlements of net investment hedges, net of tax. Of the total $514 in amounts reclassified from accumulated other comprehensive loss, the $215 gain on cash flow hedges was reclassified into cost of goods sold, and the $299 gain on post-retirement plans was reclassified into “Investment and other income” on the condensed consolidated statements of income for the six months ended January 31, 2019.</w:t>
      </w:r>
    </w:p>
    <w:p>
      <w:pPr>
        <w:spacing w:after="0" w:line="13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illustrates the income tax expense on the components of other comprehensive loss for the three and six months ended January 31, 2020 and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January 31,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benefit related to items of other comprehensive (loss)</w:t>
            </w:r>
          </w:p>
        </w:tc>
        <w:tc>
          <w:tcPr>
            <w:tcW w:w="10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Cash flow hedges</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120" w:type="dxa"/>
            <w:vAlign w:val="bottom"/>
          </w:tcPr>
          <w:p>
            <w:pPr>
              <w:jc w:val="right"/>
              <w:ind w:right="91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Pension and other post-retirement benefits</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20" w:type="dxa"/>
            <w:vAlign w:val="bottom"/>
          </w:tcPr>
          <w:p>
            <w:pPr>
              <w:ind w:left="280"/>
              <w:spacing w:after="0"/>
              <w:rPr>
                <w:sz w:val="20"/>
                <w:szCs w:val="20"/>
                <w:color w:val="auto"/>
              </w:rPr>
            </w:pPr>
            <w:r>
              <w:rPr>
                <w:rFonts w:ascii="Arial" w:cs="Arial" w:eastAsia="Arial" w:hAnsi="Arial"/>
                <w:sz w:val="16"/>
                <w:szCs w:val="16"/>
                <w:color w:val="auto"/>
              </w:rPr>
              <w:t>Other income tax adjustments and currency translation</w:t>
            </w:r>
          </w:p>
        </w:tc>
        <w:tc>
          <w:tcPr>
            <w:tcW w:w="10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5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Income tax (expense) benefit related to items of other comprehensive (loss)</w:t>
            </w:r>
          </w:p>
        </w:tc>
        <w:tc>
          <w:tcPr>
            <w:tcW w:w="1000" w:type="dxa"/>
            <w:vAlign w:val="bottom"/>
            <w:vMerge w:val="restart"/>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3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196</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H — Revenue Recognition</w:t>
      </w:r>
    </w:p>
    <w:p>
      <w:pPr>
        <w:spacing w:after="0" w:line="25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 recognizes revenue when control of the product or service transfers to the customer at an amount that represents the consideration expected to be received in exchange for those products and services. The Company’s revenues are primarily from the sale of identification and workplace safety products that are shipped and billed to customers. All revenue is from contracts with customers and is included in “Net sales” on the condensed consolidated statements of income. See Note I “Segment Information” for the Company’s disaggregated revenue disclosure.</w:t>
      </w:r>
    </w:p>
    <w:p>
      <w:pPr>
        <w:sectPr>
          <w:pgSz w:w="11900" w:h="16838" w:orient="portrait"/>
          <w:cols w:equalWidth="0" w:num="1">
            <w:col w:w="11420"/>
          </w:cols>
          <w:pgMar w:left="240" w:top="122" w:right="23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contracts with customers consist of purchase orders, which in some cases are governed by master supply or distributor agreements. The majority of the Company's revenue is earned and recognized at a point in time through ship-and-bill performance obligations where the customer typically obtains control of the product upon shipment or delivery, depending on freight terms.</w:t>
      </w:r>
    </w:p>
    <w:p>
      <w:pPr>
        <w:spacing w:after="0" w:line="12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offers extended warranty coverage that is included in the sales price of certain products, which it accounts for as service warranties. The Company accounts for the deferred revenue associated with extended service warranties as a contract liability. At the time of sale, the extended warranty transaction price is recorded as deferred revenue and is recognized on a straight-line basis over the life of the service warranty period.</w:t>
      </w:r>
    </w:p>
    <w:p>
      <w:pPr>
        <w:spacing w:after="0" w:line="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balance of contract liabilities associated with service warranty performance obligations was $2,797 and $2,782 as of January 31, 2020 and July 31, 2019,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condensed consolidated balance sheets. The Company recognized revenue of $316 and $631 during the three and six months ended January 31, 2020, respectively, that was included in the contract liability balance at the beginning of the period from the amortization of extended service warranties. Of the contract liability balance outstanding at January 31, 2020, the Company expects to recognize 22% by the end of fiscal 2020, an additional 34% by the end of fiscal 2021, and the remaining balance thereafter.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NOTE I — Segment Information</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organized and managed on a global basis within three operating segments, Identification Solutions, Workplace Safety, and People Identification ("PDC"), which aggregate into two reportable segments that are organized around businesses with consistent products and services: IDS and WPS. The Identification Solutions and PDC operating segments aggregate into the IDS reporting segment, while the WPS reporting segment is comprised solely of the Workplace Safety operating segment. The Company evaluates short-term segment performance based on segment profit and customer sales. Interest expense, investment and other income, income taxes, and certain corporate administrative expenses are excluded when evaluating segment performance.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is a summary of net sales by segment and geographic region for the three and six months ended January 31, 2020 and 2019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ID Solutions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284,114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45,319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47,282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88,701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96,110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44,377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47,080</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205,362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209,205</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420,349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427,304</w:t>
            </w:r>
          </w:p>
        </w:tc>
        <w:tc>
          <w:tcPr>
            <w:tcW w:w="0" w:type="dxa"/>
            <w:vAlign w:val="bottom"/>
          </w:tcPr>
          <w:p>
            <w:pPr>
              <w:spacing w:after="0"/>
              <w:rPr>
                <w:sz w:val="1"/>
                <w:szCs w:val="1"/>
                <w:color w:val="auto"/>
              </w:rPr>
            </w:pPr>
          </w:p>
        </w:tc>
      </w:tr>
      <w:tr>
        <w:trPr>
          <w:trHeight w:val="73"/>
        </w:trPr>
        <w:tc>
          <w:tcPr>
            <w:tcW w:w="51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Workplace Safety</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23,636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24,332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47,939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49,083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75,444</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i w:val="1"/>
                <w:iCs w:val="1"/>
                <w:color w:val="auto"/>
              </w:rPr>
              <w:t>Australia</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10,665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11,101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22,297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23,791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148,318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Total Company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Americas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335,210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333,197</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i w:val="1"/>
                <w:iCs w:val="1"/>
                <w:color w:val="auto"/>
              </w:rPr>
              <w:t>Europe</w:t>
            </w:r>
          </w:p>
        </w:tc>
        <w:tc>
          <w:tcPr>
            <w:tcW w:w="2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82,321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85,070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161,728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171,554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i w:val="1"/>
                <w:iCs w:val="1"/>
                <w:color w:val="auto"/>
              </w:rPr>
              <w:t>Asia-Pacific</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66,674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70,871</w:t>
            </w:r>
          </w:p>
        </w:tc>
        <w:tc>
          <w:tcPr>
            <w:tcW w:w="0" w:type="dxa"/>
            <w:vAlign w:val="bottom"/>
          </w:tcPr>
          <w:p>
            <w:pPr>
              <w:spacing w:after="0"/>
              <w:rPr>
                <w:sz w:val="1"/>
                <w:szCs w:val="1"/>
                <w:color w:val="auto"/>
              </w:rPr>
            </w:pP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276,665</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282,426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563,612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575,622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profit for the three and six months ended January 31, 2020 and 2019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Segment profit:</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5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ID Solutions</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40,655</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37,857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83,098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79,419</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Workplace Safety</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46,110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42,518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93,710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89,621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is a reconciliation of segment profit to income before income taxes for the three and six months ended January 31,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profit from reportable segments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46,110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42,518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89,621</w:t>
            </w: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Unallocated amounts: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Administrative costs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(12,969)</w:t>
            </w: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Investment and other income</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1,360</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92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42,357</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36,690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83,927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76,583</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J — Net Income per Common Share</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7"/>
              </w:rPr>
              <w:t>Six months ended January 31,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Numerator (in thousands):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1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160" w:type="dxa"/>
            <w:vAlign w:val="bottom"/>
          </w:tcPr>
          <w:p>
            <w:pPr>
              <w:ind w:left="380"/>
              <w:spacing w:after="0"/>
              <w:rPr>
                <w:sz w:val="20"/>
                <w:szCs w:val="20"/>
                <w:color w:val="auto"/>
              </w:rPr>
            </w:pPr>
            <w:r>
              <w:rPr>
                <w:rFonts w:ascii="Arial" w:cs="Arial" w:eastAsia="Arial" w:hAnsi="Arial"/>
                <w:sz w:val="16"/>
                <w:szCs w:val="16"/>
                <w:color w:val="auto"/>
              </w:rPr>
              <w:t>Income (Numerator for basic and diluted income per</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80"/>
              <w:spacing w:after="0"/>
              <w:rPr>
                <w:sz w:val="20"/>
                <w:szCs w:val="20"/>
                <w:color w:val="auto"/>
              </w:rPr>
            </w:pPr>
            <w:r>
              <w:rPr>
                <w:rFonts w:ascii="Arial" w:cs="Arial" w:eastAsia="Arial" w:hAnsi="Arial"/>
                <w:sz w:val="16"/>
                <w:szCs w:val="16"/>
                <w:color w:val="auto"/>
              </w:rPr>
              <w:t>Class A Nonvoting Common Share)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33,553</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29,227</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71,051</w:t>
            </w:r>
          </w:p>
        </w:tc>
        <w:tc>
          <w:tcPr>
            <w:tcW w:w="10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59,864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Preferential dividends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Preferential dividends on dilutive stock options</w:t>
            </w: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0"/>
        </w:trPr>
        <w:tc>
          <w:tcPr>
            <w:tcW w:w="5160" w:type="dxa"/>
            <w:vAlign w:val="bottom"/>
          </w:tcPr>
          <w:p>
            <w:pPr>
              <w:ind w:left="380"/>
              <w:spacing w:after="0"/>
              <w:rPr>
                <w:sz w:val="20"/>
                <w:szCs w:val="20"/>
                <w:color w:val="auto"/>
              </w:rPr>
            </w:pPr>
            <w:r>
              <w:rPr>
                <w:rFonts w:ascii="Arial" w:cs="Arial" w:eastAsia="Arial" w:hAnsi="Arial"/>
                <w:sz w:val="16"/>
                <w:szCs w:val="16"/>
                <w:color w:val="auto"/>
              </w:rPr>
              <w:t>Numerator for basic and diluted income per Class B</w:t>
            </w:r>
          </w:p>
        </w:tc>
        <w:tc>
          <w:tcPr>
            <w:tcW w:w="920" w:type="dxa"/>
            <w:vAlign w:val="bottom"/>
            <w:tcBorders>
              <w:top w:val="single" w:sz="8" w:color="auto"/>
            </w:tcBorders>
            <w:vMerge w:val="restart"/>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33,553</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29,227</w:t>
            </w:r>
          </w:p>
        </w:tc>
        <w:tc>
          <w:tcPr>
            <w:tcW w:w="12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70,213</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59,036</w:t>
            </w:r>
          </w:p>
        </w:tc>
        <w:tc>
          <w:tcPr>
            <w:tcW w:w="0" w:type="dxa"/>
            <w:vAlign w:val="bottom"/>
          </w:tcPr>
          <w:p>
            <w:pPr>
              <w:spacing w:after="0"/>
              <w:rPr>
                <w:sz w:val="1"/>
                <w:szCs w:val="1"/>
                <w:color w:val="auto"/>
              </w:rPr>
            </w:pPr>
          </w:p>
        </w:tc>
      </w:tr>
      <w:tr>
        <w:trPr>
          <w:trHeight w:val="259"/>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Voting Common Share</w:t>
            </w:r>
          </w:p>
        </w:tc>
        <w:tc>
          <w:tcPr>
            <w:tcW w:w="920" w:type="dxa"/>
            <w:vAlign w:val="bottom"/>
            <w:tcBorders>
              <w:bottom w:val="single" w:sz="8" w:color="auto"/>
            </w:tcBorders>
            <w:vMerge w:val="continue"/>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Denominator: (in thousands)</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5160" w:type="dxa"/>
            <w:vAlign w:val="bottom"/>
          </w:tcPr>
          <w:p>
            <w:pPr>
              <w:ind w:left="380"/>
              <w:spacing w:after="0"/>
              <w:rPr>
                <w:sz w:val="20"/>
                <w:szCs w:val="20"/>
                <w:color w:val="auto"/>
              </w:rPr>
            </w:pPr>
            <w:r>
              <w:rPr>
                <w:rFonts w:ascii="Arial" w:cs="Arial" w:eastAsia="Arial" w:hAnsi="Arial"/>
                <w:sz w:val="16"/>
                <w:szCs w:val="16"/>
                <w:color w:val="auto"/>
              </w:rPr>
              <w:t>Denominator for basic income per share for both</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80"/>
              <w:spacing w:after="0"/>
              <w:rPr>
                <w:sz w:val="20"/>
                <w:szCs w:val="20"/>
                <w:color w:val="auto"/>
              </w:rPr>
            </w:pPr>
            <w:r>
              <w:rPr>
                <w:rFonts w:ascii="Arial" w:cs="Arial" w:eastAsia="Arial" w:hAnsi="Arial"/>
                <w:sz w:val="16"/>
                <w:szCs w:val="16"/>
                <w:color w:val="auto"/>
              </w:rPr>
              <w:t>Class A and Class B</w:t>
            </w:r>
          </w:p>
        </w:tc>
        <w:tc>
          <w:tcPr>
            <w:tcW w:w="920" w:type="dxa"/>
            <w:vAlign w:val="bottom"/>
          </w:tcPr>
          <w:p>
            <w:pPr>
              <w:spacing w:after="0"/>
              <w:rPr>
                <w:sz w:val="17"/>
                <w:szCs w:val="17"/>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53,320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52,532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53,232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52,366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Plus: Effect of dilutive equity awards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00"/>
        </w:trPr>
        <w:tc>
          <w:tcPr>
            <w:tcW w:w="5160" w:type="dxa"/>
            <w:vAlign w:val="bottom"/>
          </w:tcPr>
          <w:p>
            <w:pPr>
              <w:ind w:left="380"/>
              <w:spacing w:after="0"/>
              <w:rPr>
                <w:sz w:val="20"/>
                <w:szCs w:val="20"/>
                <w:color w:val="auto"/>
              </w:rPr>
            </w:pPr>
            <w:r>
              <w:rPr>
                <w:rFonts w:ascii="Arial" w:cs="Arial" w:eastAsia="Arial" w:hAnsi="Arial"/>
                <w:sz w:val="16"/>
                <w:szCs w:val="16"/>
                <w:color w:val="auto"/>
              </w:rPr>
              <w:t>Denominator for diluted income per share for both</w:t>
            </w:r>
          </w:p>
        </w:tc>
        <w:tc>
          <w:tcPr>
            <w:tcW w:w="9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53,827</w:t>
            </w: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53,206</w:t>
            </w: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53,781</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53,082</w:t>
            </w:r>
          </w:p>
        </w:tc>
        <w:tc>
          <w:tcPr>
            <w:tcW w:w="0" w:type="dxa"/>
            <w:vAlign w:val="bottom"/>
          </w:tcPr>
          <w:p>
            <w:pPr>
              <w:spacing w:after="0"/>
              <w:rPr>
                <w:sz w:val="1"/>
                <w:szCs w:val="1"/>
                <w:color w:val="auto"/>
              </w:rPr>
            </w:pPr>
          </w:p>
        </w:tc>
      </w:tr>
      <w:tr>
        <w:trPr>
          <w:trHeight w:val="259"/>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Class A and Class B</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Class A Nonvoting Common Share:</w:t>
            </w:r>
          </w:p>
        </w:tc>
        <w:tc>
          <w:tcPr>
            <w:tcW w:w="9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16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Net income per Class B Voting Common Share:</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6"/>
                <w:szCs w:val="16"/>
                <w:color w:val="auto"/>
              </w:rPr>
              <w:t>Diluted</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Stock-based awards to purchase 248,604 and 272,922 shares of Class A Nonvoting Common Stock for the three months ended January 31, 2020 and 2019, respectively, and 286,161 and 476,412 shares for the six months ended January 31, 2020 and 2019, respectively, were not included in the computation of diluted net income per share because the effect would have been anti-dilutive.</w:t>
      </w:r>
    </w:p>
    <w:p>
      <w:pPr>
        <w:sectPr>
          <w:pgSz w:w="11900" w:h="16838" w:orient="portrait"/>
          <w:cols w:equalWidth="0" w:num="1">
            <w:col w:w="11420"/>
          </w:cols>
          <w:pgMar w:left="240" w:top="122"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NOTE K — Fair Value Measurements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Company's financial assets and liabilities that were accounted for at fair value on a recurring basis at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 and July 31, 2019, according to the valuation techniques the Company used to determine their fair values.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January 31, 2020</w:t>
            </w: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31, 2019</w:t>
            </w:r>
          </w:p>
        </w:tc>
        <w:tc>
          <w:tcPr>
            <w:tcW w:w="1600" w:type="dxa"/>
            <w:vAlign w:val="bottom"/>
          </w:tcPr>
          <w:p>
            <w:pPr>
              <w:ind w:left="60"/>
              <w:spacing w:after="0"/>
              <w:rPr>
                <w:sz w:val="20"/>
                <w:szCs w:val="20"/>
                <w:color w:val="auto"/>
              </w:rPr>
            </w:pPr>
            <w:r>
              <w:rPr>
                <w:rFonts w:ascii="Arial" w:cs="Arial" w:eastAsia="Arial" w:hAnsi="Arial"/>
                <w:sz w:val="16"/>
                <w:szCs w:val="16"/>
                <w:b w:val="1"/>
                <w:bCs w:val="1"/>
                <w:color w:val="auto"/>
                <w:w w:val="98"/>
              </w:rPr>
              <w:t>Fair Value Hierarchy</w:t>
            </w:r>
          </w:p>
        </w:tc>
      </w:tr>
      <w:tr>
        <w:trPr>
          <w:trHeight w:val="33"/>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60"/>
        </w:trPr>
        <w:tc>
          <w:tcPr>
            <w:tcW w:w="64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Trading securities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18,143</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15,744</w:t>
            </w:r>
          </w:p>
        </w:tc>
        <w:tc>
          <w:tcPr>
            <w:tcW w:w="100" w:type="dxa"/>
            <w:vAlign w:val="bottom"/>
          </w:tcPr>
          <w:p>
            <w:pPr>
              <w:spacing w:after="0"/>
              <w:rPr>
                <w:sz w:val="20"/>
                <w:szCs w:val="20"/>
                <w:color w:val="auto"/>
              </w:rPr>
            </w:pPr>
          </w:p>
        </w:tc>
        <w:tc>
          <w:tcPr>
            <w:tcW w:w="1600" w:type="dxa"/>
            <w:vAlign w:val="bottom"/>
          </w:tcPr>
          <w:p>
            <w:pPr>
              <w:ind w:left="1080"/>
              <w:spacing w:after="0"/>
              <w:rPr>
                <w:sz w:val="20"/>
                <w:szCs w:val="20"/>
                <w:color w:val="auto"/>
              </w:rPr>
            </w:pPr>
            <w:r>
              <w:rPr>
                <w:rFonts w:ascii="Arial" w:cs="Arial" w:eastAsia="Arial" w:hAnsi="Arial"/>
                <w:sz w:val="16"/>
                <w:szCs w:val="16"/>
                <w:color w:val="auto"/>
                <w:w w:val="96"/>
              </w:rPr>
              <w:t>Level 1</w:t>
            </w:r>
          </w:p>
        </w:tc>
      </w:tr>
      <w:tr>
        <w:trPr>
          <w:trHeight w:val="33"/>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w w:val="96"/>
              </w:rPr>
              <w:t>Level 2</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7"/>
        </w:trPr>
        <w:tc>
          <w:tcPr>
            <w:tcW w:w="6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37"/>
        </w:trPr>
        <w:tc>
          <w:tcPr>
            <w:tcW w:w="6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ind w:left="1080"/>
              <w:spacing w:after="0"/>
              <w:rPr>
                <w:sz w:val="20"/>
                <w:szCs w:val="20"/>
                <w:color w:val="auto"/>
              </w:rPr>
            </w:pPr>
            <w:r>
              <w:rPr>
                <w:rFonts w:ascii="Arial" w:cs="Arial" w:eastAsia="Arial" w:hAnsi="Arial"/>
                <w:sz w:val="16"/>
                <w:szCs w:val="16"/>
                <w:color w:val="auto"/>
                <w:w w:val="96"/>
              </w:rPr>
              <w:t>Level 2</w:t>
            </w:r>
          </w:p>
        </w:tc>
      </w:tr>
      <w:tr>
        <w:trPr>
          <w:trHeight w:val="33"/>
        </w:trPr>
        <w:tc>
          <w:tcPr>
            <w:tcW w:w="6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which are included in "Other assets"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 These investments were classified as Level 1 as the shares of these investments trade with sufficient frequency and volume to enable us to obtain pricing information on an ongoing basis.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Foreign exchange contracts: </w:t>
      </w:r>
      <w:r>
        <w:rPr>
          <w:rFonts w:ascii="Arial" w:cs="Arial" w:eastAsia="Arial" w:hAnsi="Arial"/>
          <w:sz w:val="18"/>
          <w:szCs w:val="18"/>
          <w:color w:val="auto"/>
        </w:rPr>
        <w:t>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L, “Derivatives and Hedging Activities,” for additional information.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transfers between fair value hierarchy levels during the six months ended January 31, 2020.</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values of cash and cash equivalents, accounts receivable, inventories, accounts payable, and other liabilities approximated carrying values due to their short-term nature.</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 summarizes the estimated fair value of the Company’s current maturities on its long-term debt obligations, at January 31, 2020 and July 31, 2019, which was based on the quoted market prices for similar issues and on the current rates offered for debt of similar maturities.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gridSpan w:val="5"/>
          </w:tcPr>
          <w:p>
            <w:pPr>
              <w:ind w:left="960"/>
              <w:spacing w:after="0"/>
              <w:rPr>
                <w:sz w:val="20"/>
                <w:szCs w:val="20"/>
                <w:color w:val="auto"/>
              </w:rPr>
            </w:pPr>
            <w:r>
              <w:rPr>
                <w:rFonts w:ascii="Arial" w:cs="Arial" w:eastAsia="Arial" w:hAnsi="Arial"/>
                <w:sz w:val="16"/>
                <w:szCs w:val="16"/>
                <w:b w:val="1"/>
                <w:bCs w:val="1"/>
                <w:color w:val="auto"/>
              </w:rPr>
              <w:t>January 31, 2020</w:t>
            </w:r>
          </w:p>
        </w:tc>
        <w:tc>
          <w:tcPr>
            <w:tcW w:w="16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July 31, 2019</w:t>
            </w:r>
          </w:p>
        </w:tc>
        <w:tc>
          <w:tcPr>
            <w:tcW w:w="116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c>
          <w:tcPr>
            <w:tcW w:w="280" w:type="dxa"/>
            <w:vAlign w:val="bottom"/>
          </w:tcPr>
          <w:p>
            <w:pPr>
              <w:spacing w:after="0"/>
              <w:rPr>
                <w:sz w:val="20"/>
                <w:szCs w:val="20"/>
                <w:color w:val="auto"/>
              </w:rPr>
            </w:pPr>
          </w:p>
        </w:tc>
        <w:tc>
          <w:tcPr>
            <w:tcW w:w="146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w:t>
            </w:r>
          </w:p>
        </w:tc>
        <w:tc>
          <w:tcPr>
            <w:tcW w:w="42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4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maturities on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49,627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50,127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50,166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51,566</w:t>
            </w:r>
          </w:p>
        </w:tc>
      </w:tr>
      <w:tr>
        <w:trPr>
          <w:trHeight w:val="33"/>
        </w:trPr>
        <w:tc>
          <w:tcPr>
            <w:tcW w:w="4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L — Derivatives and Hedging Activities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hedges a portion of known exposures using forward exchange contracts. Main exposures are related to transactions denominated in the British Pound, Euro, Canadian dollar, Australian dollar, Mexican Peso, Chinese Yuan, Malaysian Ringgit and Singapore dollar. Generally, these risk management transactions will involve the use of foreign currency derivatives to minimize the impact of currency movements on non-functional currency transactions.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31, 2020</w:t>
            </w:r>
          </w:p>
        </w:tc>
        <w:tc>
          <w:tcPr>
            <w:tcW w:w="300" w:type="dxa"/>
            <w:vAlign w:val="bottom"/>
          </w:tcPr>
          <w:p>
            <w:pPr>
              <w:spacing w:after="0"/>
              <w:rPr>
                <w:sz w:val="18"/>
                <w:szCs w:val="18"/>
                <w:color w:val="auto"/>
              </w:rPr>
            </w:pPr>
          </w:p>
        </w:tc>
        <w:tc>
          <w:tcPr>
            <w:tcW w:w="1620" w:type="dxa"/>
            <w:vAlign w:val="bottom"/>
          </w:tcPr>
          <w:p>
            <w:pPr>
              <w:jc w:val="right"/>
              <w:ind w:right="419"/>
              <w:spacing w:after="0"/>
              <w:rPr>
                <w:sz w:val="20"/>
                <w:szCs w:val="20"/>
                <w:color w:val="auto"/>
              </w:rPr>
            </w:pPr>
            <w:r>
              <w:rPr>
                <w:rFonts w:ascii="Arial" w:cs="Arial" w:eastAsia="Arial" w:hAnsi="Arial"/>
                <w:sz w:val="16"/>
                <w:szCs w:val="16"/>
                <w:b w:val="1"/>
                <w:bCs w:val="1"/>
                <w:color w:val="auto"/>
              </w:rPr>
              <w:t>July 31, 2019</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Designated as cash flow hedges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26,013</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Non-designated hedges</w:t>
            </w:r>
          </w:p>
        </w:tc>
        <w:tc>
          <w:tcPr>
            <w:tcW w:w="240" w:type="dxa"/>
            <w:vAlign w:val="bottom"/>
          </w:tcPr>
          <w:p>
            <w:pPr>
              <w:spacing w:after="0"/>
              <w:rPr>
                <w:sz w:val="20"/>
                <w:szCs w:val="20"/>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3,483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3,376</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foreign exchange contracts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29,389</w:t>
            </w: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has designated a portion of its forward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income in the same period or periods during which the hedged transaction affects income. As of January 31, 2020 and July 31, 2019, unrealized gains of $878 and $805 have been included in OCI, respectively.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has designated certain third party-foreign currency denominated debt instruments as net investment hedges. On May 13, 2010, the Company completed the private placement of €75,000 aggregate principal amount of senior unsecured notes consisting of €30,000 aggregate principal amount of 3.71% Series 2010-A Senior Notes, which were repaid during fiscal 2017, and €45,000 aggregate principal amount of 4.24% Series 2010-A Senior Notes, due May 13, 2020. This Euro-denominated debt obligation was designated as a net investment hedge to selectively hedge portions of the Company's net investment in European foreign operations. The Company’s foreign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condensed consolidated statements of comprehensive income. As of January 31, 2020 and July 31, 2019, the cumulative balance recognized in accumulated other comprehensive income were gains of $12,994 and $12,440, respectively, on the Euro-denominated debt obligations.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amount of pre-tax gains and losses related to derivatives designated as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22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January 31,</w:t>
            </w:r>
          </w:p>
        </w:tc>
        <w:tc>
          <w:tcPr>
            <w:tcW w:w="300" w:type="dxa"/>
            <w:vAlign w:val="bottom"/>
          </w:tcPr>
          <w:p>
            <w:pPr>
              <w:spacing w:after="0"/>
              <w:rPr>
                <w:sz w:val="18"/>
                <w:szCs w:val="18"/>
                <w:color w:val="auto"/>
              </w:rPr>
            </w:pPr>
          </w:p>
        </w:tc>
        <w:tc>
          <w:tcPr>
            <w:tcW w:w="27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w w:val="98"/>
              </w:rPr>
              <w:t>Six months ended January 31,</w:t>
            </w:r>
          </w:p>
        </w:tc>
      </w:tr>
      <w:tr>
        <w:trPr>
          <w:trHeight w:val="33"/>
        </w:trPr>
        <w:tc>
          <w:tcPr>
            <w:tcW w:w="51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33"/>
        </w:trPr>
        <w:tc>
          <w:tcPr>
            <w:tcW w:w="5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Gains (losses) recognized in OCI:</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40" w:type="dxa"/>
            <w:vAlign w:val="bottom"/>
          </w:tcPr>
          <w:p>
            <w:pPr>
              <w:ind w:left="280"/>
              <w:spacing w:after="0"/>
              <w:rPr>
                <w:sz w:val="20"/>
                <w:szCs w:val="20"/>
                <w:color w:val="auto"/>
              </w:rPr>
            </w:pPr>
            <w:r>
              <w:rPr>
                <w:rFonts w:ascii="Arial" w:cs="Arial" w:eastAsia="Arial" w:hAnsi="Arial"/>
                <w:sz w:val="16"/>
                <w:szCs w:val="16"/>
                <w:color w:val="auto"/>
              </w:rPr>
              <w:t>Foreign exchange contracts (cash flow hedges)</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157</w:t>
            </w:r>
          </w:p>
        </w:tc>
      </w:tr>
      <w:tr>
        <w:trPr>
          <w:trHeight w:val="33"/>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denominated debt (net investment hedges)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1,022</w:t>
            </w:r>
          </w:p>
        </w:tc>
      </w:tr>
      <w:tr>
        <w:trPr>
          <w:trHeight w:val="237"/>
        </w:trPr>
        <w:tc>
          <w:tcPr>
            <w:tcW w:w="5140" w:type="dxa"/>
            <w:vAlign w:val="bottom"/>
          </w:tcPr>
          <w:p>
            <w:pPr>
              <w:ind w:left="40"/>
              <w:spacing w:after="0"/>
              <w:rPr>
                <w:sz w:val="20"/>
                <w:szCs w:val="20"/>
                <w:color w:val="auto"/>
              </w:rPr>
            </w:pPr>
            <w:r>
              <w:rPr>
                <w:rFonts w:ascii="Arial" w:cs="Arial" w:eastAsia="Arial" w:hAnsi="Arial"/>
                <w:sz w:val="16"/>
                <w:szCs w:val="16"/>
                <w:color w:val="auto"/>
              </w:rPr>
              <w:t>Gains reclassified from OCI into cost of goods sold:</w:t>
            </w: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51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Forward exchange contracts (cash flow hedges)</w:t>
            </w: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w:t>
            </w:r>
          </w:p>
        </w:tc>
      </w:tr>
      <w:tr>
        <w:trPr>
          <w:trHeight w:val="33"/>
        </w:trPr>
        <w:tc>
          <w:tcPr>
            <w:tcW w:w="5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Non-Designated Hedges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recognized losses of $20 and $28 for the three and six months ended January 31, 2020, respectively, and losses of $10 and $43 for the three and six months ended January 31, 2019, respectively, in “Investment and other income” on the condensed consolidated statements of income related to non-designated hedges.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b w:val="1"/>
                <w:bCs w:val="1"/>
                <w:color w:val="auto"/>
                <w:w w:val="93"/>
              </w:rPr>
              <w:t>January 31, 2020</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0"/>
              </w:rPr>
              <w:t>July 31, 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69"/>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20"/>
              <w:spacing w:after="0" w:line="169" w:lineRule="exact"/>
              <w:rPr>
                <w:sz w:val="20"/>
                <w:szCs w:val="20"/>
                <w:color w:val="auto"/>
              </w:rPr>
            </w:pPr>
            <w:r>
              <w:rPr>
                <w:rFonts w:ascii="Arial" w:cs="Arial" w:eastAsia="Arial" w:hAnsi="Arial"/>
                <w:sz w:val="15"/>
                <w:szCs w:val="15"/>
                <w:b w:val="1"/>
                <w:bCs w:val="1"/>
                <w:color w:val="auto"/>
                <w:w w:val="94"/>
              </w:rPr>
              <w:t>Prepaid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9"/>
              </w:rPr>
              <w:t>Current</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9" w:lineRule="exact"/>
              <w:rPr>
                <w:sz w:val="20"/>
                <w:szCs w:val="20"/>
                <w:color w:val="auto"/>
              </w:rPr>
            </w:pPr>
            <w:r>
              <w:rPr>
                <w:rFonts w:ascii="Arial" w:cs="Arial" w:eastAsia="Arial" w:hAnsi="Arial"/>
                <w:sz w:val="15"/>
                <w:szCs w:val="15"/>
                <w:b w:val="1"/>
                <w:bCs w:val="1"/>
                <w:color w:val="auto"/>
                <w:w w:val="90"/>
              </w:rPr>
              <w:t>Prepaid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1"/>
              <w:spacing w:after="0" w:line="169" w:lineRule="exact"/>
              <w:rPr>
                <w:sz w:val="20"/>
                <w:szCs w:val="20"/>
                <w:color w:val="auto"/>
              </w:rPr>
            </w:pPr>
            <w:r>
              <w:rPr>
                <w:rFonts w:ascii="Arial" w:cs="Arial" w:eastAsia="Arial" w:hAnsi="Arial"/>
                <w:sz w:val="15"/>
                <w:szCs w:val="15"/>
                <w:b w:val="1"/>
                <w:bCs w:val="1"/>
                <w:color w:val="auto"/>
                <w:w w:val="95"/>
              </w:rPr>
              <w:t>Current</w:t>
            </w:r>
          </w:p>
        </w:tc>
      </w:tr>
      <w:tr>
        <w:trPr>
          <w:trHeight w:val="162"/>
        </w:trPr>
        <w:tc>
          <w:tcPr>
            <w:tcW w:w="4360" w:type="dxa"/>
            <w:vAlign w:val="bottom"/>
          </w:tcPr>
          <w:p>
            <w:pPr>
              <w:spacing w:after="0"/>
              <w:rPr>
                <w:sz w:val="14"/>
                <w:szCs w:val="14"/>
                <w:color w:val="auto"/>
              </w:rPr>
            </w:pPr>
          </w:p>
        </w:tc>
        <w:tc>
          <w:tcPr>
            <w:tcW w:w="118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86"/>
              </w:rPr>
              <w:t>expenses and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1"/>
              </w:rPr>
              <w:t>maturities on</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6"/>
              </w:rPr>
              <w:t>expenses and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93"/>
              </w:rPr>
              <w:t>maturities on</w:t>
            </w:r>
          </w:p>
        </w:tc>
      </w:tr>
      <w:tr>
        <w:trPr>
          <w:trHeight w:val="162"/>
        </w:trPr>
        <w:tc>
          <w:tcPr>
            <w:tcW w:w="4360" w:type="dxa"/>
            <w:vAlign w:val="bottom"/>
          </w:tcPr>
          <w:p>
            <w:pPr>
              <w:spacing w:after="0"/>
              <w:rPr>
                <w:sz w:val="14"/>
                <w:szCs w:val="14"/>
                <w:color w:val="auto"/>
              </w:rPr>
            </w:pPr>
          </w:p>
        </w:tc>
        <w:tc>
          <w:tcPr>
            <w:tcW w:w="118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4"/>
              </w:rPr>
              <w:t>other current</w:t>
            </w:r>
          </w:p>
        </w:tc>
        <w:tc>
          <w:tcPr>
            <w:tcW w:w="116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Other current</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2"/>
              </w:rPr>
              <w:t>long-term</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other current</w:t>
            </w:r>
          </w:p>
        </w:tc>
        <w:tc>
          <w:tcPr>
            <w:tcW w:w="112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5"/>
              </w:rPr>
              <w:t>Other current</w:t>
            </w:r>
          </w:p>
        </w:tc>
        <w:tc>
          <w:tcPr>
            <w:tcW w:w="120" w:type="dxa"/>
            <w:vAlign w:val="bottom"/>
          </w:tcPr>
          <w:p>
            <w:pPr>
              <w:spacing w:after="0"/>
              <w:rPr>
                <w:sz w:val="14"/>
                <w:szCs w:val="14"/>
                <w:color w:val="auto"/>
              </w:rPr>
            </w:pPr>
          </w:p>
        </w:tc>
        <w:tc>
          <w:tcPr>
            <w:tcW w:w="1000" w:type="dxa"/>
            <w:vAlign w:val="bottom"/>
          </w:tcPr>
          <w:p>
            <w:pPr>
              <w:jc w:val="center"/>
              <w:ind w:right="41"/>
              <w:spacing w:after="0" w:line="162" w:lineRule="exact"/>
              <w:rPr>
                <w:sz w:val="20"/>
                <w:szCs w:val="20"/>
                <w:color w:val="auto"/>
              </w:rPr>
            </w:pPr>
            <w:r>
              <w:rPr>
                <w:rFonts w:ascii="Arial" w:cs="Arial" w:eastAsia="Arial" w:hAnsi="Arial"/>
                <w:sz w:val="15"/>
                <w:szCs w:val="15"/>
                <w:b w:val="1"/>
                <w:bCs w:val="1"/>
                <w:color w:val="auto"/>
                <w:w w:val="92"/>
              </w:rPr>
              <w:t>long-term</w:t>
            </w:r>
          </w:p>
        </w:tc>
      </w:tr>
      <w:tr>
        <w:trPr>
          <w:trHeight w:val="202"/>
        </w:trPr>
        <w:tc>
          <w:tcPr>
            <w:tcW w:w="4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1"/>
              </w:rPr>
              <w:t>assets</w:t>
            </w:r>
          </w:p>
        </w:tc>
        <w:tc>
          <w:tcPr>
            <w:tcW w:w="16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liabilities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89"/>
              </w:rPr>
              <w:t>obligations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1"/>
              </w:rPr>
              <w:t>assets</w:t>
            </w: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liabilities</w:t>
            </w:r>
          </w:p>
        </w:tc>
        <w:tc>
          <w:tcPr>
            <w:tcW w:w="120" w:type="dxa"/>
            <w:vAlign w:val="bottom"/>
          </w:tcPr>
          <w:p>
            <w:pPr>
              <w:spacing w:after="0"/>
              <w:rPr>
                <w:sz w:val="17"/>
                <w:szCs w:val="17"/>
                <w:color w:val="auto"/>
              </w:rPr>
            </w:pPr>
          </w:p>
        </w:tc>
        <w:tc>
          <w:tcPr>
            <w:tcW w:w="1000" w:type="dxa"/>
            <w:vAlign w:val="bottom"/>
          </w:tcPr>
          <w:p>
            <w:pPr>
              <w:jc w:val="center"/>
              <w:ind w:right="41"/>
              <w:spacing w:after="0"/>
              <w:rPr>
                <w:sz w:val="20"/>
                <w:szCs w:val="20"/>
                <w:color w:val="auto"/>
              </w:rPr>
            </w:pPr>
            <w:r>
              <w:rPr>
                <w:rFonts w:ascii="Arial" w:cs="Arial" w:eastAsia="Arial" w:hAnsi="Arial"/>
                <w:sz w:val="15"/>
                <w:szCs w:val="15"/>
                <w:b w:val="1"/>
                <w:bCs w:val="1"/>
                <w:color w:val="auto"/>
                <w:w w:val="89"/>
              </w:rPr>
              <w:t>obligations</w:t>
            </w:r>
          </w:p>
        </w:tc>
      </w:tr>
      <w:tr>
        <w:trPr>
          <w:trHeight w:val="248"/>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280"/>
              <w:spacing w:after="0"/>
              <w:rPr>
                <w:sz w:val="20"/>
                <w:szCs w:val="20"/>
                <w:color w:val="auto"/>
              </w:rPr>
            </w:pPr>
            <w:r>
              <w:rPr>
                <w:rFonts w:ascii="Arial" w:cs="Arial" w:eastAsia="Arial" w:hAnsi="Arial"/>
                <w:sz w:val="16"/>
                <w:szCs w:val="16"/>
                <w:color w:val="auto"/>
              </w:rPr>
              <w:t>Foreign exchange contracts (cash flow hedges)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4"/>
              </w:rPr>
              <w:t>Foreign currency denominated debt (net investment hedges)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49,635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50,189</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exchange contracts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4"/>
        </w:trPr>
        <w:tc>
          <w:tcPr>
            <w:tcW w:w="4360" w:type="dxa"/>
            <w:vAlign w:val="bottom"/>
          </w:tcPr>
          <w:p>
            <w:pPr>
              <w:ind w:left="40"/>
              <w:spacing w:after="0"/>
              <w:rPr>
                <w:sz w:val="20"/>
                <w:szCs w:val="20"/>
                <w:color w:val="auto"/>
              </w:rPr>
            </w:pPr>
            <w:r>
              <w:rPr>
                <w:rFonts w:ascii="Arial" w:cs="Arial" w:eastAsia="Arial" w:hAnsi="Arial"/>
                <w:sz w:val="16"/>
                <w:szCs w:val="16"/>
                <w:b w:val="1"/>
                <w:bCs w:val="1"/>
                <w:color w:val="auto"/>
              </w:rPr>
              <w:t>Total derivative instruments</w:t>
            </w: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49,635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50,189</w:t>
            </w: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NOTE M — Income Taxes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income tax rate for the three and six months ended January 31, 2020, was 20.8% and 15.3%, respectively. The Company expects its ongoing annual effective income tax rate to be approximately 20% based on its current global business mix. The effective income tax rate for the six months ended January 31, 2020, was lower than the expected income tax rate due to the favorable settlement of a domestic income tax audit and tax benefits from stock-based compensation.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income tax rate for the three and six months ended January 31, 2019, was 20.3% and 21.8%,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N — Subsequent Events</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February 19, 2020, the Board of Directors declared a quarterly cash dividend to shareholders of the Company’s Class A and Class B Common Stock of $0.2175 per share payable on April 30, 2020, to shareholders of record at the close of business on April 9,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ind w:right="1840"/>
        <w:spacing w:after="0" w:line="465" w:lineRule="auto"/>
        <w:rPr>
          <w:sz w:val="20"/>
          <w:szCs w:val="20"/>
          <w:color w:val="auto"/>
        </w:rPr>
      </w:pPr>
      <w:r>
        <w:rPr>
          <w:rFonts w:ascii="Arial" w:cs="Arial" w:eastAsia="Arial" w:hAnsi="Arial"/>
          <w:sz w:val="18"/>
          <w:szCs w:val="18"/>
          <w:color w:val="auto"/>
        </w:rPr>
        <w:t xml:space="preserve">ITEM 2. MANAGEMENT’S DISCUSSION AND ANALYSIS OF RESULTS OF OPERATIONS AND FINANCIAL CONDITION </w:t>
      </w:r>
      <w:r>
        <w:rPr>
          <w:rFonts w:ascii="Arial" w:cs="Arial" w:eastAsia="Arial" w:hAnsi="Arial"/>
          <w:sz w:val="18"/>
          <w:szCs w:val="18"/>
          <w:u w:val="single" w:color="auto"/>
          <w:color w:val="auto"/>
        </w:rPr>
        <w:t>Overview</w:t>
      </w:r>
    </w:p>
    <w:p>
      <w:pPr>
        <w:spacing w:after="0" w:line="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Corporation is a global manufacturer and supplier of identification solutions and workplace safety products that identify and protect premises, products and people. The IDS segment is primarily involved in the design, manufacture, and distribution of high-performance and innovative identification and healthcare products. The WPS segment provides workplace safety and compliance products, approximately half of which are internally manufactured and half of which are externally sourced.</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long-term sales growth and profitability of our segments will depend not only on improved demand in end markets and the overall economic environment, but also on our ability to continuously improve operational excellence, focus on the customer, develop and market innovative new products, and to advance our digital capabilities. In our Identification Solutions ("ID Solutions" or "IDS") business, our strategy for growth includes an increased focus on certain industries and products, a focus on improving the customer buying experience, and investing in research and development ("R&amp;D") to develop new products. In our Workplace Safety ("WPS") business, our strategy for growth includes a focus on workplace safety critical industries, innovative new product offerings, compliance expertise, customization expertise, and improving our digital capabilities.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key initiatives supporting the strategy in fiscal 2020:</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research and development process and improving the time to launch high-value, innovative products in alignment with our target markets.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Driving operational excellence and executing sustainable efficiency gains within our global operations and within our selling, general and administrative structures.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and enhancing our sales capabilities through an improved digital presence and increased sales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Growing through focused actions in selected vertical markets and strategic accounts.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employee development process to create an engaged workforce and to attract and retain key talent.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comparison of results of operating income for the three and six months ended January 31, 2020 and 2019,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8"/>
          </w:tcPr>
          <w:p>
            <w:pPr>
              <w:ind w:left="580"/>
              <w:spacing w:after="0"/>
              <w:rPr>
                <w:sz w:val="20"/>
                <w:szCs w:val="20"/>
                <w:color w:val="auto"/>
              </w:rPr>
            </w:pPr>
            <w:r>
              <w:rPr>
                <w:rFonts w:ascii="Arial" w:cs="Arial" w:eastAsia="Arial" w:hAnsi="Arial"/>
                <w:sz w:val="16"/>
                <w:szCs w:val="16"/>
                <w:b w:val="1"/>
                <w:bCs w:val="1"/>
                <w:color w:val="auto"/>
                <w:w w:val="91"/>
              </w:rPr>
              <w:t>Three months ended January 31,</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0" w:type="dxa"/>
            <w:vAlign w:val="bottom"/>
            <w:gridSpan w:val="8"/>
          </w:tcPr>
          <w:p>
            <w:pPr>
              <w:ind w:left="40"/>
              <w:spacing w:after="0"/>
              <w:rPr>
                <w:sz w:val="20"/>
                <w:szCs w:val="20"/>
                <w:color w:val="auto"/>
              </w:rPr>
            </w:pPr>
            <w:r>
              <w:rPr>
                <w:rFonts w:ascii="Arial" w:cs="Arial" w:eastAsia="Arial" w:hAnsi="Arial"/>
                <w:sz w:val="16"/>
                <w:szCs w:val="16"/>
                <w:b w:val="1"/>
                <w:bCs w:val="1"/>
                <w:color w:val="auto"/>
                <w:w w:val="92"/>
              </w:rPr>
              <w:t>Six months ended January 31,</w:t>
            </w:r>
          </w:p>
        </w:tc>
        <w:tc>
          <w:tcPr>
            <w:tcW w:w="76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 Sales</w:t>
            </w: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 Sales</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276,665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282,426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563,612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575,622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b w:val="1"/>
                <w:bCs w:val="1"/>
                <w:color w:val="auto"/>
              </w:rPr>
              <w:t>Gross margin</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139,127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280,532</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286,349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37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10,517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11,074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21,484</w:t>
            </w: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22,400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87,366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92,706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176,913</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187,297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217"/>
        </w:trPr>
        <w:tc>
          <w:tcPr>
            <w:tcW w:w="3740" w:type="dxa"/>
            <w:vAlign w:val="bottom"/>
          </w:tcPr>
          <w:p>
            <w:pPr>
              <w:ind w:left="5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97,883</w:t>
            </w:r>
          </w:p>
        </w:tc>
        <w:tc>
          <w:tcPr>
            <w:tcW w:w="1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103,780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198,397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209,697</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3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82,135</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76,652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References in this Form 10-Q to “organic sales” refer to sales calculated in accordance with GAAP, excluding the impact of foreign currency translation.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8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Sales for the three months ended January 31, 2020, decreased 2.0% to $276.7 million, compared to $282.4 million in the same period of the prior year. The decrease consisted of an organic sales decline of 1.2% and a decrease from foreign currency translation of 0.8%. Organic sales declined 1.3% in the IDS segment and declined 1.0% in the WPS segment during the three months ended January 31, 2020, compared to the same period in the prior year.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Sales for the six months ended January 31, 2020, decreased 2.1% to $563.6 million, compared to $575.6 million in the same period of the prior year. The decrease consisted of an organic sales decline of 0.8% and a decrease from foreign currency translation of 1.3%. Organic sales declined 0.7% in the IDS segment and declined 0.9% in the WPS segment during the six months ended January 31, 2020, compared to the same period in the prior year.</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Gross margin decreased 0.5% to $139.1 million and decreased 2.0% to $280.5 million for the three and six months ended January 31, 2020, respectively, compared to $139.8 million and $286.3 million in the same periods of the prior year. As a percentage of net sales, gross margin increased to 50.3% and 49.8% for the three and six months ended January 31, 2020, respectively, compared to 49.5% and 49.7% in the same periods of the prior year. The increase in gross margin as a percentage of net sales was primarily due to our ongoing efforts to streamline manufacturing processes and drive operational efficiencies, including increased automation in our manufacturing facilities, which were partially offset by increased input costs such as personnel and freight costs, along with reduced sales volume.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R&amp;D expenses decreased 5.0% to $10.5 million and decreased 4.1% to $21.5 million for the three and six months ended January 31, 2020, respectively, compared to $11.1 million and $22.4 million in the same periods of the prior year. As a percentage of sales, R&amp;D expenses remained consistent for the three and six months ended January 31, 2020, compared to the same periods of the prior year. The decrease in R&amp;D spending for both the three and six-month periods was primarily due to the timing of expenditures related to ongoing new product development projects. The Company remains committed to investing in new product development to increase sales within our IDS and WPS businesses. Investments in new printers and materials continue to be the primary focus of R&amp;D expenditures.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Selling, general and administrative expenses ("SG&amp;A") include selling and administrative costs directly attributed to the IDS and WPS segments, as well as certain other administrative expenses including finance, information technology, human resources, and other administrative expenses. SG&amp;A decreased 5.8% to $87.4 million and decreased 5.5% to $176.9 million for the three and six months ended January 31, 2020, respectively, compared to $92.7 million and $187.3 million in the same periods of the prior year. As a percentage of sales, SG&amp;A was 31.6% and 31.4% for the three and six months ended January 31, 2020, respectively, compared to 32.8% and 32.5% in the same periods of the prior year. Approximately one-fourth of the decrease in both the three and six-month periods was due to the impact of foreign currency translation, and the remainder was due to ongoing efficiency gains and lower compensation expense.</w:t>
      </w:r>
    </w:p>
    <w:p>
      <w:pPr>
        <w:spacing w:after="0" w:line="11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income increased 14.5% to $41.2 million for the three months ended January 31, 2020, and 7.2% to $82.1 million for the six months ended January 31, 2020, compared to $36.0 million and $76.7 million in the same periods of the prior year, respectively. The increases in both the three and six-month periods were primarily due to increased segment profit within both the IDS and WPS businesses along with reduced corporate administrative expenses.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360" w:type="dxa"/>
            <w:vAlign w:val="bottom"/>
            <w:gridSpan w:val="7"/>
          </w:tcPr>
          <w:p>
            <w:pPr>
              <w:ind w:left="20"/>
              <w:spacing w:after="0"/>
              <w:rPr>
                <w:sz w:val="20"/>
                <w:szCs w:val="20"/>
                <w:color w:val="auto"/>
              </w:rPr>
            </w:pPr>
            <w:r>
              <w:rPr>
                <w:rFonts w:ascii="Arial" w:cs="Arial" w:eastAsia="Arial" w:hAnsi="Arial"/>
                <w:sz w:val="16"/>
                <w:szCs w:val="16"/>
                <w:b w:val="1"/>
                <w:bCs w:val="1"/>
                <w:color w:val="auto"/>
                <w:w w:val="92"/>
              </w:rPr>
              <w:t>Three months ended January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6"/>
          </w:tcPr>
          <w:p>
            <w:pPr>
              <w:ind w:left="40"/>
              <w:spacing w:after="0"/>
              <w:rPr>
                <w:sz w:val="20"/>
                <w:szCs w:val="20"/>
                <w:color w:val="auto"/>
              </w:rPr>
            </w:pPr>
            <w:r>
              <w:rPr>
                <w:rFonts w:ascii="Arial" w:cs="Arial" w:eastAsia="Arial" w:hAnsi="Arial"/>
                <w:sz w:val="16"/>
                <w:szCs w:val="16"/>
                <w:b w:val="1"/>
                <w:bCs w:val="1"/>
                <w:color w:val="auto"/>
                <w:w w:val="93"/>
              </w:rPr>
              <w:t>Six months ended January 31,</w:t>
            </w:r>
          </w:p>
        </w:tc>
        <w:tc>
          <w:tcPr>
            <w:tcW w:w="880" w:type="dxa"/>
            <w:vAlign w:val="bottom"/>
          </w:tcPr>
          <w:p>
            <w:pPr>
              <w:spacing w:after="0"/>
              <w:rPr>
                <w:sz w:val="18"/>
                <w:szCs w:val="18"/>
                <w:color w:val="auto"/>
              </w:rPr>
            </w:pPr>
          </w:p>
        </w:tc>
      </w:tr>
      <w:tr>
        <w:trPr>
          <w:trHeight w:val="33"/>
        </w:trPr>
        <w:tc>
          <w:tcPr>
            <w:tcW w:w="3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10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00" w:type="dxa"/>
            <w:vAlign w:val="bottom"/>
          </w:tcPr>
          <w:p>
            <w:pPr>
              <w:spacing w:after="0"/>
              <w:rPr>
                <w:sz w:val="20"/>
                <w:szCs w:val="20"/>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 Sales</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41,244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82,135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37"/>
        </w:trPr>
        <w:tc>
          <w:tcPr>
            <w:tcW w:w="3180" w:type="dxa"/>
            <w:vAlign w:val="bottom"/>
          </w:tcPr>
          <w:p>
            <w:pPr>
              <w:ind w:left="40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(647)</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(1,348)</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36,690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83,927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76,583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37"/>
        </w:trPr>
        <w:tc>
          <w:tcPr>
            <w:tcW w:w="318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8,804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12,876</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16,719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2.9 %</w:t>
            </w:r>
          </w:p>
        </w:tc>
      </w:tr>
      <w:tr>
        <w:trPr>
          <w:trHeight w:val="33"/>
        </w:trPr>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33,553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29,227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71,051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Investment and other income was $1.8 million and $3.1 million for the three and six months ended January 31, 2020, respectively, compared to $1.4 million in each of the same periods of the prior year. The increases in both the three and six-month periods were primarily due to an increase in the market value of securities held in deferred compensation plans and an increase in interest income when compared to the same periods in the prior year.</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remained essentially flat at $0.6 million and $1.3 million for the three and six months ended January 31, 2020, respectively, compared to $0.7 million and $1.4 million in the same periods of the prior year, as there was minimal change in the Company's principal balance under its outstanding debt agreements.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income tax rate was 20.8% for the three months ended January 31, 2020, compared to 20.3% for the same period in the prior year. The income tax rate was 15.3% for the six months ended January 31, 2020, compared to 21.8% for the same period in the prior year. Refer to Note M - Income Taxes for additional information on the Company's income tax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2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and certain corporate administrative expenses are excluded when evaluating segment performance.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three and six months ended January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January 31,</w:t>
            </w:r>
          </w:p>
        </w:tc>
        <w:tc>
          <w:tcPr>
            <w:tcW w:w="31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Six months ended January 31,</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20" w:type="dxa"/>
            <w:vAlign w:val="bottom"/>
            <w:gridSpan w:val="2"/>
          </w:tcPr>
          <w:p>
            <w:pPr>
              <w:ind w:left="5540"/>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54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SALES GROWTH INFORMATION</w:t>
            </w:r>
          </w:p>
        </w:tc>
        <w:tc>
          <w:tcPr>
            <w:tcW w:w="9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592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ID Solutions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7"/>
        </w:trPr>
        <w:tc>
          <w:tcPr>
            <w:tcW w:w="592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5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tcPr>
          <w:p>
            <w:pPr>
              <w:ind w:left="40"/>
              <w:spacing w:after="0" w:line="177" w:lineRule="exact"/>
              <w:rPr>
                <w:sz w:val="20"/>
                <w:szCs w:val="20"/>
                <w:color w:val="auto"/>
              </w:rPr>
            </w:pPr>
            <w:r>
              <w:rPr>
                <w:rFonts w:ascii="Arial" w:cs="Arial" w:eastAsia="Arial" w:hAnsi="Arial"/>
                <w:sz w:val="16"/>
                <w:szCs w:val="16"/>
                <w:b w:val="1"/>
                <w:bCs w:val="1"/>
                <w:i w:val="1"/>
                <w:iCs w:val="1"/>
                <w:color w:val="auto"/>
              </w:rPr>
              <w:t>Workplace Safety</w:t>
            </w: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Organic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37"/>
        </w:trPr>
        <w:tc>
          <w:tcPr>
            <w:tcW w:w="5920" w:type="dxa"/>
            <w:vAlign w:val="bottom"/>
            <w:gridSpan w:val="2"/>
          </w:tcPr>
          <w:p>
            <w:pPr>
              <w:ind w:left="380"/>
              <w:spacing w:after="0"/>
              <w:rPr>
                <w:sz w:val="20"/>
                <w:szCs w:val="20"/>
                <w:color w:val="auto"/>
              </w:rPr>
            </w:pPr>
            <w:r>
              <w:rPr>
                <w:rFonts w:ascii="Arial" w:cs="Arial" w:eastAsia="Arial" w:hAnsi="Arial"/>
                <w:sz w:val="16"/>
                <w:szCs w:val="16"/>
                <w:color w:val="auto"/>
              </w:rPr>
              <w:t>Currency</w:t>
            </w: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Divestitures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17"/>
        </w:trPr>
        <w:tc>
          <w:tcPr>
            <w:tcW w:w="4940" w:type="dxa"/>
            <w:vAlign w:val="bottom"/>
          </w:tcPr>
          <w:p>
            <w:pPr>
              <w:ind w:left="38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73"/>
        </w:trPr>
        <w:tc>
          <w:tcPr>
            <w:tcW w:w="494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i w:val="1"/>
                <w:iCs w:val="1"/>
                <w:color w:val="auto"/>
              </w:rPr>
              <w:t>Total Company</w:t>
            </w:r>
          </w:p>
        </w:tc>
        <w:tc>
          <w:tcPr>
            <w:tcW w:w="9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920" w:type="dxa"/>
            <w:vAlign w:val="bottom"/>
            <w:gridSpan w:val="2"/>
          </w:tcPr>
          <w:p>
            <w:pPr>
              <w:ind w:left="380"/>
              <w:spacing w:after="0"/>
              <w:rPr>
                <w:sz w:val="20"/>
                <w:szCs w:val="20"/>
                <w:color w:val="auto"/>
              </w:rPr>
            </w:pPr>
            <w:r>
              <w:rPr>
                <w:rFonts w:ascii="Arial" w:cs="Arial" w:eastAsia="Arial" w:hAnsi="Arial"/>
                <w:sz w:val="16"/>
                <w:szCs w:val="16"/>
                <w:color w:val="auto"/>
              </w:rPr>
              <w:t>Organic</w:t>
            </w: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3.5 %</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Currency</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5920" w:type="dxa"/>
            <w:vAlign w:val="bottom"/>
            <w:gridSpan w:val="2"/>
          </w:tcPr>
          <w:p>
            <w:pPr>
              <w:ind w:left="380"/>
              <w:spacing w:after="0"/>
              <w:rPr>
                <w:sz w:val="20"/>
                <w:szCs w:val="20"/>
                <w:color w:val="auto"/>
              </w:rPr>
            </w:pPr>
            <w:r>
              <w:rPr>
                <w:rFonts w:ascii="Arial" w:cs="Arial" w:eastAsia="Arial" w:hAnsi="Arial"/>
                <w:sz w:val="16"/>
                <w:szCs w:val="16"/>
                <w:color w:val="auto"/>
              </w:rPr>
              <w:t>Divestitures</w:t>
            </w:r>
          </w:p>
        </w:tc>
        <w:tc>
          <w:tcPr>
            <w:tcW w:w="660" w:type="dxa"/>
            <w:vAlign w:val="bottom"/>
            <w:gridSpan w:val="2"/>
          </w:tcPr>
          <w:p>
            <w:pPr>
              <w:ind w:left="18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154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SEGMENT PROFIT AS A PERCENT OF NET SALES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9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ID Solutions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18.6 %</w:t>
            </w:r>
          </w:p>
        </w:tc>
        <w:tc>
          <w:tcPr>
            <w:tcW w:w="0" w:type="dxa"/>
            <w:vAlign w:val="bottom"/>
          </w:tcPr>
          <w:p>
            <w:pPr>
              <w:spacing w:after="0"/>
              <w:rPr>
                <w:sz w:val="1"/>
                <w:szCs w:val="1"/>
                <w:color w:val="auto"/>
              </w:rPr>
            </w:pPr>
          </w:p>
        </w:tc>
      </w:tr>
      <w:tr>
        <w:trPr>
          <w:trHeight w:val="237"/>
        </w:trPr>
        <w:tc>
          <w:tcPr>
            <w:tcW w:w="5920" w:type="dxa"/>
            <w:vAlign w:val="bottom"/>
            <w:gridSpan w:val="2"/>
          </w:tcPr>
          <w:p>
            <w:pPr>
              <w:ind w:left="380"/>
              <w:spacing w:after="0"/>
              <w:rPr>
                <w:sz w:val="20"/>
                <w:szCs w:val="20"/>
                <w:color w:val="auto"/>
              </w:rPr>
            </w:pPr>
            <w:r>
              <w:rPr>
                <w:rFonts w:ascii="Arial" w:cs="Arial" w:eastAsia="Arial" w:hAnsi="Arial"/>
                <w:sz w:val="16"/>
                <w:szCs w:val="16"/>
                <w:color w:val="auto"/>
              </w:rPr>
              <w:t>Workplace Safety</w:t>
            </w:r>
          </w:p>
        </w:tc>
        <w:tc>
          <w:tcPr>
            <w:tcW w:w="560" w:type="dxa"/>
            <w:vAlign w:val="bottom"/>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6.4 %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33"/>
        </w:trPr>
        <w:tc>
          <w:tcPr>
            <w:tcW w:w="49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 Solutions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IDS net sales decreased 1.8% in the three months ended January 31, 2020, compared to the same period in the prior year, which consisted of an organic sales decline of 1.3% and a decrease from foreign currency translation of 0.5%. Organic sales in the three-month period were essentially flat in the Safety and Facility ID and Product ID product lines while the Healthcare ID and Wire ID product lines declined compared to the prior year. IDS net sales decreased 1.6% in the six months ended January 31, 2020, compared to the same period in the prior year, which consisted of an organic sales decline of 0.7% and a decrease from foreign currency translation of 0.9%. Organic sales in the six-month period grew in the Safety and Facility ID product line, remained essentially flat in the Product ID product line, and declined in the Healthcare ID and Wire ID product lines compared to the same period in the prior year.</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Organic sales in the Americas decreased slightly in the three months ended January 31, 2020, compared to the same period in the prior year. Organic sales in the three-month period were essentially flat in the Safety and Facility ID and Product ID product lines while the Healthcare ID and Wire ID product lines declined compared to the same period in the prior year due to reduced demand in end markets. Organic sales were flat in the United States and declined in the low-single digits in the rest of the Americas in the three-month period. Organic sales in the Americas increased in the low-single digits for the six months ended January 31, 2020, compared to the same period in the prior year. Organic sales in the six-month period grew in the Safety and Facility ID product line, remained essentially flat in the Product ID product line, and declined in the Healthcare ID and Wire ID product lines compared to the same period in the prior year due to reduced demand in end markets. Organic sales grew in the low-single digits in the United States and declined in the low-single digits in the rest of the Americas in the six-month period.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Europe decreased in the low-single digits in the three months ended January 31, 2020, compared to the same period in the prior year. Slight organic sales growth in the Safety and Facility ID product line was more than offset by declines in the Product ID and Wire ID product lines in the three-month period. The organic sales decline in the three-month period was driven by certain businesses based in Western Europe due to a decline in economic activity. Organic sales in Europe decreased in the mid-single digits for the six months ended January 31, 2020, compared to the same period in the prior year, which was driven by a decline in all product lines. The organic sales decline in the six-month period was driven by certain businesses based in emerging geographies and in Western Europe due to a decline in economic activity.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Asia decreased in the mid-single digits in both the three and six months ended January 31, 2020, compared to the same periods in the prior year. Organic sales growth in the Wire ID product line was more than offset by declines in the Safety and Facility ID and Product ID product lines in both the three and six-month periods. Organic sales within China declined approximately 10% and declined in the high-single digits in the three and six-month periods, respectively, partially due to the direct and indirect impact of tariffs and overall economic weakness. Organic sales were essentially flat and declined slightly in the rest of Asia in the three and six-month periods, respectively.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to $40.7 million and $83.1 million for the three and six months ended January 31, 2020, respectively, compared to $37.9 million and $79.4 million for the same periods in the prior year. As a percentage of net sales, segment profit increased to 19.8% for both the three and six months ended January 31, 2020, from 18.1% and 18.6% for the same periods in the prior year. The increase in segment profit for both the three and six-month periods was primarily driven by efficiency gains throughout SG&amp;A in all regions.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WPS net sales decreased 2.6% in the three months ended January 31, 2020, compared to the same period in the prior year, which consisted of an organic sales decline of 1.0% and a decrease from foreign currency translation of 1.6%. WPS net sales decreased 3.4% in the six months ended January 31, 2020, compared to the same period in the prior year, which consisted of an organic sales decline of 0.9% and a decrease from foreign currency translation of 2.5%. Sales through the digital channel grew in the mid-single digits while sales through the catalog channel declined in the low-single digits in both the three and six-month periods.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Europe were effectively flat in the three months and increased modestly in the six months ended January 31, 2020, compared to the same periods in the prior year. Organic sales growth in France was largely offset by a decline in sales in Germany due to reduced demand for industrial products. Sales through the digital channel grew approximately 10% while sales through the catalog channel declined in the low-single digits in both the three and six-month periods.</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Organic sales in the Americas decreased in the low-single digits in both the three and six months ended January 31, 2020, respectively, compared to the same periods in the prior year. Catalog channel sales declined in the low-single digits due to lower response rates to catalog promotions in both the three and six-month periods. Digital sales declined in the low-single digits in both the three and six-month periods. This business continued to experience a negative impact on sales from a digital platform that was implemented toward the end of fiscal 2018. In order to address this decline, the business transitioned to a new digital platform mid-way through fiscal 2019. The functionality of the new digital platform has improved compared to the former digital platform. However, sales have not yet returned to the level experienced prior to the initial platform change in fiscal 2018.</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Organic sales in Australia were effectively flat in the three months ended January 31, 2020, compared to the same period in the prior year. Digital channel sales increased nearly 12% during the three-month period ended January 31, 2020, which was largely offset by a low-single digit decline in catalog channel sales. Organic sales decreased in the low-single digits in the six months ended January 31, 2020, compared to the same period in the prior year. Low-single digit organic growth in digital sales was offset by a low-single digit decline in catalog sales in the six-month period. We continue to experience reduced demand in primary end markets, which include non-residential construction and industrial manufacturing.</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Segment profit increased to $5.5 million and $10.6 million for the three and six months ended January 31, 2020, respectively, compared to $4.7 million and $10.2 million for the same periods in the prior year. As a percentage of net sales, segment profit increased to 7.7% and 7.4% for the three and six months ended January 31, 2020, respectively, compared to 6.4% and 6.9% for the same periods in the prior year. The increases in segment profit were due to efficiency gains throughout SG&amp;A, which were partially offset by the decrease in organic sales and foreign currency translation.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Cash and cash equivalents were $289.8 million at January 31, 2020, an increase of $10.7 million from July 31, 2019. The significant changes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4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Six months ended January 31,</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Pr>
          <w:p>
            <w:pPr>
              <w:spacing w:after="0"/>
              <w:rPr>
                <w:sz w:val="20"/>
                <w:szCs w:val="20"/>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flow provided by (used in):</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53,107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44,188</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(26,049)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(10,051)</w:t>
            </w:r>
          </w:p>
        </w:tc>
      </w:tr>
      <w:tr>
        <w:trPr>
          <w:trHeight w:val="33"/>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10,731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20,782</w:t>
            </w:r>
          </w:p>
        </w:tc>
      </w:tr>
      <w:tr>
        <w:trPr>
          <w:trHeight w:val="33"/>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provided by operating activities was $53.1 million for the six months ended January 31, 2020, compared to $44.2 million in the same period of the prior year. The increase was primarily driven by an increase in net income adjusted for non-cash items as well as a decrease in cash used for working capital.</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cash used in investing activities was $16.5 million for the six months ended January 31, 2020, compared to $12.6 million in the same period of the prior year. The increase in cash used in investing activities was primarily driven by investment purchases to fund deferred compensation plans, and to a lesser extent by an increase in capital expenditures for the purchase of manufacturing equipment and facility upgrades in Europe, the United States, and Mexico.</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$26.0 million during the six months ended January 31, 2020, compared to $10.1 million in the same period of the prior year. The change was primarily due to a decrease in cash proceeds from the exercise of stock options and an increase in cash payments for employee taxes withheld from stock-based awards in the current six-month period.</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consisted of €30.0 million aggregate principal amount of 3.71% Series 2010-A Senior Notes, which were repaid during fiscal 2017, and €45.0 million aggregate principal amount of 4.24% Series 2010-A Senior Notes, due May 13, 2020, with interest payable on the notes semiannually. This private placement was exempt from the registration requirements of the Securities Act of 1933. The notes have been fully and unconditionally guaranteed on an unsecured basis by the Company’s domestic subsidiaries.</w:t>
      </w:r>
    </w:p>
    <w:p>
      <w:pPr>
        <w:spacing w:after="0" w:line="11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August 1, 2019, the Company and certain of its subsidiaries entered into an unsecured $200 million multi-currency revolving loan agreement with a group of five banks that replaced and terminated the Company’s previous loan agreement that had been entered into on September 25, 2015. Under the new revolving loan agreement, the Company has the option to select either a base interest rate (based upon the higher of the federal funds rate plus one-half of 1% or the prime rate of the Bank of Montreal plus a margin based on the Company’s consolidated net leverage ratio), or the Eurocurrency interest rate (at the LIBOR rate plus a margin based on the Company’s consolidated net leverage ratio) plus 1%. At the Company's option, and subject to certain conditions, the available amount under the revolving loan agreement may be increased from $200 million to $400 million. As of January 31, 2020, there were no borrowings outstanding on the credit facility, and there was no outstanding balances during the six months ended January 31, 2020. The Company had letters of credit outstanding under the loan agreement of $3.3 million as of January 31, 2020 and there was $196.7 million available for future borrowing, which can be increased to $396.7 million at the Company's option, subject to certain conditions. The revolving loan agreement has a final maturity date of August 1, 2024, as such, any borrowing would be classified as long-term on the condensed consolidated balance sheets.</w:t>
      </w:r>
    </w:p>
    <w:p>
      <w:pPr>
        <w:spacing w:after="0" w:line="1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debt agreements require it to maintain certain financial covenants, including a ratio of debt to the trailing 12 months EBITDA, as defined in the debt agreements, of not more than a 3.25 to 1.0 ratio (leverage ratio) and the trailing 12 months EBITDA to interest expense of not less than a 3.0 to 1.0 ratio (interest expense coverage). As of January 31, 2020, the Company was in compliance with these financial covenants, with the leverage ratio, as defined by the agreements, equal to 0.0 to 1.0 and the interest expense coverage ratio equal to 75.7 to 1.0.</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cash balances are generated and held in numerous locations throughout the world. At January 31, 2020, approximately 47% of the Company's cash and cash equivalents were held outside the United States. The Company's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common stock repurchases, scheduled debt repayments, and dividend payments for the next 12 months.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Off-Balance Sheet Arrangements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does not have material off-balance sheet arrangements.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this quarterly report on Form 10-Q,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compete effectively or to successfully execute its strategy</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Brady's ability to develop technologically advanced products that meet customer demands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Raw material and other cost increases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Divestitures, contingent liabilities from divestitures and the failure to identify, integrate, and grow acquired companies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write-offs of Brady's substantial intangible assets</w:t>
      </w:r>
    </w:p>
    <w:p>
      <w:pPr>
        <w:spacing w:after="0" w:line="9" w:lineRule="exact"/>
        <w:rPr>
          <w:rFonts w:ascii="Arial" w:cs="Arial" w:eastAsia="Arial" w:hAnsi="Arial"/>
          <w:sz w:val="18"/>
          <w:szCs w:val="18"/>
          <w:color w:val="auto"/>
        </w:rPr>
      </w:pPr>
    </w:p>
    <w:p>
      <w:pPr>
        <w:jc w:val="both"/>
        <w:ind w:left="540" w:hanging="316"/>
        <w:spacing w:after="0" w:line="277"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71"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Refer to the Company’s annual report on Form 10-K for the year ended July 31, 2019. There has been no material change in this information since July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100" w:type="dxa"/>
            <w:vAlign w:val="bottom"/>
            <w:gridSpan w:val="5"/>
          </w:tcPr>
          <w:p>
            <w:pPr>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2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520"/>
        </w:trPr>
        <w:tc>
          <w:tcPr>
            <w:tcW w:w="2080" w:type="dxa"/>
            <w:vAlign w:val="bottom"/>
          </w:tcPr>
          <w:p>
            <w:pPr>
              <w:ind w:left="4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Rule 13a-14(a)/15d-14(a) Certification of J. Michael Nauman</w:t>
              </w:r>
            </w:hyperlink>
          </w:p>
        </w:tc>
      </w:tr>
      <w:tr>
        <w:trPr>
          <w:trHeight w:val="574"/>
        </w:trPr>
        <w:tc>
          <w:tcPr>
            <w:tcW w:w="2080" w:type="dxa"/>
            <w:vAlign w:val="bottom"/>
          </w:tcPr>
          <w:p>
            <w:pPr>
              <w:ind w:left="4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Rule 13a-14(a)/15d-14(a) Certification of Aaron J. Pearce</w:t>
              </w:r>
            </w:hyperlink>
          </w:p>
        </w:tc>
        <w:tc>
          <w:tcPr>
            <w:tcW w:w="260" w:type="dxa"/>
            <w:vAlign w:val="bottom"/>
            <w:tcBorders>
              <w:top w:val="single" w:sz="8" w:color="0000FF"/>
            </w:tcBorders>
          </w:tcPr>
          <w:p>
            <w:pPr>
              <w:spacing w:after="0"/>
              <w:rPr>
                <w:sz w:val="24"/>
                <w:szCs w:val="24"/>
                <w:color w:val="auto"/>
              </w:rPr>
            </w:pPr>
          </w:p>
        </w:tc>
        <w:tc>
          <w:tcPr>
            <w:tcW w:w="4660" w:type="dxa"/>
            <w:vAlign w:val="bottom"/>
          </w:tcPr>
          <w:p>
            <w:pPr>
              <w:spacing w:after="0"/>
              <w:rPr>
                <w:sz w:val="24"/>
                <w:szCs w:val="24"/>
                <w:color w:val="auto"/>
              </w:rPr>
            </w:pPr>
          </w:p>
        </w:tc>
      </w:tr>
      <w:tr>
        <w:trPr>
          <w:trHeight w:val="574"/>
        </w:trPr>
        <w:tc>
          <w:tcPr>
            <w:tcW w:w="2080" w:type="dxa"/>
            <w:vAlign w:val="bottom"/>
          </w:tcPr>
          <w:p>
            <w:pPr>
              <w:ind w:left="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Section 1350 Certification of J. Michael Nauman</w:t>
              </w:r>
            </w:hyperlink>
          </w:p>
        </w:tc>
      </w:tr>
      <w:tr>
        <w:trPr>
          <w:trHeight w:val="574"/>
        </w:trPr>
        <w:tc>
          <w:tcPr>
            <w:tcW w:w="2080" w:type="dxa"/>
            <w:vAlign w:val="bottom"/>
          </w:tcPr>
          <w:p>
            <w:pPr>
              <w:ind w:left="4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1">
              <w:r>
                <w:rPr>
                  <w:rFonts w:ascii="Arial" w:cs="Arial" w:eastAsia="Arial" w:hAnsi="Arial"/>
                  <w:sz w:val="18"/>
                  <w:szCs w:val="18"/>
                  <w:color w:val="0000FF"/>
                  <w:w w:val="90"/>
                </w:rPr>
                <w:t>Section 1350 Certification of Aaron J. Pearce</w:t>
              </w:r>
            </w:hyperlink>
          </w:p>
        </w:tc>
        <w:tc>
          <w:tcPr>
            <w:tcW w:w="260" w:type="dxa"/>
            <w:vAlign w:val="bottom"/>
            <w:tcBorders>
              <w:top w:val="single" w:sz="8" w:color="0000FF"/>
            </w:tcBorders>
          </w:tcPr>
          <w:p>
            <w:pPr>
              <w:spacing w:after="0"/>
              <w:rPr>
                <w:sz w:val="24"/>
                <w:szCs w:val="24"/>
                <w:color w:val="auto"/>
              </w:rPr>
            </w:pPr>
          </w:p>
        </w:tc>
        <w:tc>
          <w:tcPr>
            <w:tcW w:w="5560" w:type="dxa"/>
            <w:vAlign w:val="bottom"/>
            <w:gridSpan w:val="3"/>
          </w:tcPr>
          <w:p>
            <w:pPr>
              <w:spacing w:after="0"/>
              <w:rPr>
                <w:sz w:val="24"/>
                <w:szCs w:val="24"/>
                <w:color w:val="auto"/>
              </w:rPr>
            </w:pPr>
          </w:p>
        </w:tc>
      </w:tr>
      <w:tr>
        <w:trPr>
          <w:trHeight w:val="60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w w:val="94"/>
              </w:rPr>
              <w:t>XBRL Instance Document (The instance document does not appear in the interactive data file because its XBRL tags are</w:t>
            </w:r>
          </w:p>
        </w:tc>
      </w:tr>
      <w:tr>
        <w:trPr>
          <w:trHeight w:val="230"/>
        </w:trPr>
        <w:tc>
          <w:tcPr>
            <w:tcW w:w="2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XBRL Taxonomy Schema Document</w:t>
            </w: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XBRL Taxonomy Presentation Label Linkbase Document</w:t>
            </w:r>
          </w:p>
        </w:tc>
      </w:tr>
      <w:tr>
        <w:trPr>
          <w:trHeight w:val="594"/>
        </w:trPr>
        <w:tc>
          <w:tcPr>
            <w:tcW w:w="2080" w:type="dxa"/>
            <w:vAlign w:val="bottom"/>
          </w:tcPr>
          <w:p>
            <w:pPr>
              <w:ind w:left="4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00" w:type="dxa"/>
            <w:vAlign w:val="bottom"/>
            <w:gridSpan w:val="5"/>
          </w:tcPr>
          <w:p>
            <w:pPr>
              <w:spacing w:after="0"/>
              <w:rPr>
                <w:sz w:val="20"/>
                <w:szCs w:val="20"/>
                <w:color w:val="auto"/>
              </w:rPr>
            </w:pPr>
            <w:r>
              <w:rPr>
                <w:rFonts w:ascii="Arial" w:cs="Arial" w:eastAsia="Arial" w:hAnsi="Arial"/>
                <w:sz w:val="18"/>
                <w:szCs w:val="18"/>
                <w:color w:val="auto"/>
              </w:rPr>
              <w:t>Cover Page Inline XBRL data (contained in Exhibit 101)</w:t>
            </w:r>
          </w:p>
        </w:tc>
      </w:tr>
      <w:tr>
        <w:trPr>
          <w:trHeight w:val="783"/>
        </w:trPr>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40" w:type="dxa"/>
            <w:vAlign w:val="bottom"/>
            <w:gridSpan w:val="2"/>
          </w:tcPr>
          <w:p>
            <w:pPr>
              <w:jc w:val="center"/>
              <w:ind w:right="3390"/>
              <w:spacing w:after="0"/>
              <w:rPr>
                <w:sz w:val="20"/>
                <w:szCs w:val="20"/>
                <w:color w:val="auto"/>
              </w:rPr>
            </w:pPr>
            <w:r>
              <w:rPr>
                <w:rFonts w:ascii="Arial" w:cs="Arial" w:eastAsia="Arial" w:hAnsi="Arial"/>
                <w:sz w:val="18"/>
                <w:szCs w:val="18"/>
                <w:color w:val="auto"/>
                <w:w w:val="93"/>
              </w:rPr>
              <w:t>SIGNATURES</w:t>
            </w:r>
          </w:p>
        </w:tc>
      </w:tr>
      <w:tr>
        <w:trPr>
          <w:trHeight w:val="378"/>
        </w:trPr>
        <w:tc>
          <w:tcPr>
            <w:tcW w:w="3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BRADY CORPORATION</w:t>
            </w:r>
          </w:p>
        </w:tc>
      </w:tr>
      <w:tr>
        <w:trPr>
          <w:trHeight w:val="594"/>
        </w:trPr>
        <w:tc>
          <w:tcPr>
            <w:tcW w:w="3440" w:type="dxa"/>
            <w:vAlign w:val="bottom"/>
          </w:tcPr>
          <w:p>
            <w:pPr>
              <w:spacing w:after="0"/>
              <w:rPr>
                <w:sz w:val="20"/>
                <w:szCs w:val="20"/>
                <w:color w:val="auto"/>
              </w:rPr>
            </w:pPr>
            <w:r>
              <w:rPr>
                <w:rFonts w:ascii="Arial" w:cs="Arial" w:eastAsia="Arial" w:hAnsi="Arial"/>
                <w:sz w:val="18"/>
                <w:szCs w:val="18"/>
                <w:color w:val="auto"/>
              </w:rPr>
              <w:t>Date: February 20, 2020</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J. MICHAEL NAUMAN</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J. Michael Nauman</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864"/>
        </w:trPr>
        <w:tc>
          <w:tcPr>
            <w:tcW w:w="3440" w:type="dxa"/>
            <w:vAlign w:val="bottom"/>
          </w:tcPr>
          <w:p>
            <w:pPr>
              <w:spacing w:after="0"/>
              <w:rPr>
                <w:sz w:val="20"/>
                <w:szCs w:val="20"/>
                <w:color w:val="auto"/>
              </w:rPr>
            </w:pPr>
            <w:r>
              <w:rPr>
                <w:rFonts w:ascii="Arial" w:cs="Arial" w:eastAsia="Arial" w:hAnsi="Arial"/>
                <w:sz w:val="18"/>
                <w:szCs w:val="18"/>
                <w:color w:val="auto"/>
              </w:rPr>
              <w:t>Date: February 20, 2020</w:t>
            </w:r>
          </w:p>
        </w:tc>
        <w:tc>
          <w:tcPr>
            <w:tcW w:w="3840" w:type="dxa"/>
            <w:vAlign w:val="bottom"/>
          </w:tcPr>
          <w:p>
            <w:pPr>
              <w:spacing w:after="0"/>
              <w:rPr>
                <w:sz w:val="24"/>
                <w:szCs w:val="24"/>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/s/ AARON J. PEARCE</w:t>
            </w:r>
          </w:p>
        </w:tc>
      </w:tr>
      <w:tr>
        <w:trPr>
          <w:trHeight w:val="27"/>
        </w:trPr>
        <w:tc>
          <w:tcPr>
            <w:tcW w:w="34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Aaron J. Pearce</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34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459"/>
        </w:trPr>
        <w:tc>
          <w:tcPr>
            <w:tcW w:w="3440" w:type="dxa"/>
            <w:vAlign w:val="bottom"/>
          </w:tcPr>
          <w:p>
            <w:pPr>
              <w:spacing w:after="0"/>
              <w:rPr>
                <w:sz w:val="24"/>
                <w:szCs w:val="24"/>
                <w:color w:val="auto"/>
              </w:rPr>
            </w:pPr>
          </w:p>
        </w:tc>
        <w:tc>
          <w:tcPr>
            <w:tcW w:w="3840" w:type="dxa"/>
            <w:vAlign w:val="bottom"/>
          </w:tcPr>
          <w:p>
            <w:pPr>
              <w:jc w:val="right"/>
              <w:ind w:right="1430"/>
              <w:spacing w:after="0"/>
              <w:rPr>
                <w:sz w:val="20"/>
                <w:szCs w:val="20"/>
                <w:color w:val="auto"/>
              </w:rPr>
            </w:pPr>
            <w:r>
              <w:rPr>
                <w:rFonts w:ascii="Arial" w:cs="Arial" w:eastAsia="Arial" w:hAnsi="Arial"/>
                <w:sz w:val="18"/>
                <w:szCs w:val="18"/>
                <w:color w:val="auto"/>
              </w:rPr>
              <w:t>27</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 Michael Nauman, certify that:</w:t>
      </w:r>
    </w:p>
    <w:p>
      <w:pPr>
        <w:spacing w:after="0" w:line="90" w:lineRule="exact"/>
        <w:rPr>
          <w:sz w:val="20"/>
          <w:szCs w:val="20"/>
          <w:color w:val="auto"/>
        </w:rPr>
      </w:pPr>
    </w:p>
    <w:p>
      <w:pPr>
        <w:ind w:left="700" w:hanging="260"/>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5"/>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5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Aaron J. Pearce, certify that:</w:t>
      </w:r>
    </w:p>
    <w:p>
      <w:pPr>
        <w:spacing w:after="0" w:line="90" w:lineRule="exact"/>
        <w:rPr>
          <w:sz w:val="20"/>
          <w:szCs w:val="20"/>
          <w:color w:val="auto"/>
        </w:rPr>
      </w:pPr>
    </w:p>
    <w:p>
      <w:pPr>
        <w:ind w:left="700" w:hanging="260"/>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71" w:lineRule="exact"/>
        <w:rPr>
          <w:rFonts w:ascii="Arial" w:cs="Arial" w:eastAsia="Arial" w:hAnsi="Arial"/>
          <w:sz w:val="18"/>
          <w:szCs w:val="18"/>
          <w:color w:val="auto"/>
        </w:rPr>
      </w:pPr>
    </w:p>
    <w:p>
      <w:pPr>
        <w:ind w:firstLine="440"/>
        <w:spacing w:after="0" w:line="342" w:lineRule="auto"/>
        <w:tabs>
          <w:tab w:leader="none" w:pos="699"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40"/>
        <w:spacing w:after="0" w:line="277" w:lineRule="auto"/>
        <w:tabs>
          <w:tab w:leader="none" w:pos="697"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firstLine="440"/>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 w:lineRule="exact"/>
        <w:rPr>
          <w:sz w:val="20"/>
          <w:szCs w:val="20"/>
          <w:color w:val="auto"/>
        </w:rPr>
      </w:pPr>
    </w:p>
    <w:p>
      <w:pPr>
        <w:jc w:val="both"/>
        <w:ind w:firstLine="440"/>
        <w:spacing w:after="0" w:line="264"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firstLine="440"/>
        <w:spacing w:after="0" w:line="264"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firstLine="440"/>
        <w:spacing w:after="0" w:line="277" w:lineRule="auto"/>
        <w:tabs>
          <w:tab w:leader="none" w:pos="62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40"/>
        <w:spacing w:after="0" w:line="264" w:lineRule="auto"/>
        <w:tabs>
          <w:tab w:leader="none" w:pos="633"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440"/>
        <w:spacing w:after="0" w:line="277" w:lineRule="auto"/>
        <w:tabs>
          <w:tab w:leader="none" w:pos="6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sz w:val="20"/>
          <w:szCs w:val="20"/>
          <w:color w:val="auto"/>
        </w:rPr>
      </w:pPr>
    </w:p>
    <w:p>
      <w:pPr>
        <w:ind w:firstLine="440"/>
        <w:spacing w:after="0" w:line="277" w:lineRule="auto"/>
        <w:tabs>
          <w:tab w:leader="none" w:pos="61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40"/>
        <w:spacing w:after="0" w:line="277" w:lineRule="auto"/>
        <w:tabs>
          <w:tab w:leader="none" w:pos="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 MICHAEL NAUMAN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420"/>
          </w:cols>
          <w:pgMar w:left="240" w:top="55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35" w:lineRule="exact"/>
        <w:rPr>
          <w:sz w:val="20"/>
          <w:szCs w:val="20"/>
          <w:color w:val="auto"/>
        </w:rPr>
      </w:pPr>
    </w:p>
    <w:p>
      <w:pPr>
        <w:ind w:firstLine="440"/>
        <w:spacing w:after="0" w:line="277"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2020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40"/>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20, 2020</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2020-02-20T06:11:24Z</dcterms:created>
  <dcterms:modified xsi:type="dcterms:W3CDTF">2020-02-20T06:11:24Z</dcterms:modified>
</cp:coreProperties>
</file>