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29, 2009</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514" w:right="239" w:bottom="1440" w:gutter="0" w:footer="0" w:header="0"/>
        </w:sectPr>
      </w:pPr>
    </w:p>
    <w:p>
      <w:pPr>
        <w:spacing w:after="0" w:line="194"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514" w:right="239" w:bottom="1440" w:gutter="0" w:footer="0" w:header="0"/>
          <w:type w:val="continuous"/>
        </w:sectPr>
      </w:pP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315" w:lineRule="exact"/>
        <w:rPr>
          <w:sz w:val="24"/>
          <w:szCs w:val="24"/>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4"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104" w:lineRule="exact"/>
        <w:rPr>
          <w:sz w:val="20"/>
          <w:szCs w:val="20"/>
          <w:color w:val="auto"/>
        </w:rPr>
      </w:pPr>
    </w:p>
    <w:p>
      <w:pPr>
        <w:ind w:firstLine="250"/>
        <w:spacing w:after="0" w:line="237" w:lineRule="auto"/>
        <w:rPr>
          <w:sz w:val="20"/>
          <w:szCs w:val="20"/>
          <w:color w:val="auto"/>
        </w:rPr>
      </w:pPr>
      <w:r>
        <w:rPr>
          <w:rFonts w:ascii="Arial" w:cs="Arial" w:eastAsia="Arial" w:hAnsi="Arial"/>
          <w:sz w:val="18"/>
          <w:szCs w:val="18"/>
          <w:color w:val="auto"/>
        </w:rPr>
        <w:t>On June 29, 2009, Brady Corporation (the “Corporation”) completed the purchase of approximately $67 million aggregate principal amount of its outstanding Series 2004-A Senior Notes due 2014, Series 2006-A Senior Notes due 2016, and Series 2007-A Senior Notes due 2017 pursuant to its previously announced cash tender offer. The tender offer was made pursuant to an Offer to Purchase, dated May 28, 2009, and the related Letter of Transmittal. The purchase price for the notes included the payment of the face value of the notes plus accrued and unpaid interest from the last interest payment date to and including the date of close. The Corporation utilized a portion of its cash on hand and available credit facilities to fund the purchase of the notes pursuant to this offer.</w:t>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June 29, 2009</w:t>
      </w:r>
      <w:r>
        <w:rPr>
          <w:sz w:val="20"/>
          <w:szCs w:val="20"/>
          <w:color w:val="auto"/>
        </w:rPr>
        <w:tab/>
      </w:r>
      <w:r>
        <w:rPr>
          <w:rFonts w:ascii="Arial" w:cs="Arial" w:eastAsia="Arial" w:hAnsi="Arial"/>
          <w:sz w:val="17"/>
          <w:szCs w:val="17"/>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Thomas J. Felmer</w:t>
      </w:r>
    </w:p>
    <w:p>
      <w:pPr>
        <w:ind w:left="5500"/>
        <w:spacing w:after="0"/>
        <w:rPr>
          <w:sz w:val="20"/>
          <w:szCs w:val="20"/>
          <w:color w:val="auto"/>
        </w:rPr>
      </w:pPr>
      <w:r>
        <w:rPr>
          <w:rFonts w:ascii="Arial" w:cs="Arial" w:eastAsia="Arial" w:hAnsi="Arial"/>
          <w:sz w:val="18"/>
          <w:szCs w:val="18"/>
          <w:color w:val="auto"/>
        </w:rPr>
        <w:t>Senior Vice President &amp; Chief Financial Officer</w:t>
      </w:r>
    </w:p>
    <w:sectPr>
      <w:pgSz w:w="11900" w:h="16838" w:orient="portrait"/>
      <w:cols w:equalWidth="0" w:num="1">
        <w:col w:w="11320"/>
      </w:cols>
      <w:pgMar w:left="240" w:top="9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4"/>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2019-12-10T05:43:07Z</dcterms:created>
  <dcterms:modified xsi:type="dcterms:W3CDTF">2019-12-10T05:43:07Z</dcterms:modified>
</cp:coreProperties>
</file>