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36195</wp:posOffset>
            </wp:positionV>
            <wp:extent cx="1594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0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45085</wp:posOffset>
            </wp:positionV>
            <wp:extent cx="1594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18"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CURRENT REPORT</w:t>
      </w:r>
    </w:p>
    <w:p>
      <w:pPr>
        <w:spacing w:after="0" w:line="11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Pursuant to Section 13 or 15(d) of the</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Exchange Act of 1934</w:t>
      </w:r>
    </w:p>
    <w:p>
      <w:pPr>
        <w:spacing w:after="0" w:line="10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Report (Date of earliest event reported): November 18,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120650</wp:posOffset>
            </wp:positionV>
            <wp:extent cx="1594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36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BRADY CORPORATION</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83185</wp:posOffset>
            </wp:positionV>
            <wp:extent cx="15944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Commission File Number 1-14959</w:t>
      </w:r>
    </w:p>
    <w:p>
      <w:pPr>
        <w:sectPr>
          <w:pgSz w:w="11900" w:h="16838" w:orient="portrait"/>
          <w:cols w:equalWidth="0" w:num="1">
            <w:col w:w="11240"/>
          </w:cols>
          <w:pgMar w:left="300" w:top="742" w:right="359" w:bottom="1440" w:gutter="0" w:footer="0" w:header="0"/>
        </w:sectPr>
      </w:pPr>
    </w:p>
    <w:p>
      <w:pPr>
        <w:spacing w:after="0" w:line="213" w:lineRule="exact"/>
        <w:rPr>
          <w:sz w:val="24"/>
          <w:szCs w:val="24"/>
          <w:color w:val="auto"/>
        </w:rPr>
      </w:pPr>
    </w:p>
    <w:p>
      <w:pPr>
        <w:ind w:left="2500"/>
        <w:spacing w:after="0"/>
        <w:rPr>
          <w:sz w:val="20"/>
          <w:szCs w:val="20"/>
          <w:color w:val="auto"/>
        </w:rPr>
      </w:pPr>
      <w:r>
        <w:rPr>
          <w:rFonts w:ascii="Arial" w:cs="Arial" w:eastAsia="Arial" w:hAnsi="Arial"/>
          <w:sz w:val="10"/>
          <w:szCs w:val="10"/>
          <w:b w:val="1"/>
          <w:bCs w:val="1"/>
          <w:color w:val="auto"/>
        </w:rPr>
        <w:t>Wisconsin</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39-0971239</w:t>
      </w:r>
    </w:p>
    <w:p>
      <w:pPr>
        <w:spacing w:after="0" w:line="42" w:lineRule="exact"/>
        <w:rPr>
          <w:sz w:val="24"/>
          <w:szCs w:val="24"/>
          <w:color w:val="auto"/>
        </w:rPr>
      </w:pPr>
    </w:p>
    <w:p>
      <w:pPr>
        <w:sectPr>
          <w:pgSz w:w="11900" w:h="16838" w:orient="portrait"/>
          <w:cols w:equalWidth="0" w:num="2">
            <w:col w:w="7560" w:space="720"/>
            <w:col w:w="2960"/>
          </w:cols>
          <w:pgMar w:left="300" w:top="742" w:right="359" w:bottom="1440" w:gutter="0" w:footer="0" w:header="0"/>
          <w:type w:val="continuous"/>
        </w:sectPr>
      </w:pPr>
    </w:p>
    <w:p>
      <w:pPr>
        <w:ind w:left="1520"/>
        <w:spacing w:after="0"/>
        <w:rPr>
          <w:sz w:val="20"/>
          <w:szCs w:val="20"/>
          <w:color w:val="auto"/>
        </w:rPr>
      </w:pPr>
      <w:r>
        <w:rPr>
          <w:rFonts w:ascii="Arial" w:cs="Arial" w:eastAsia="Arial" w:hAnsi="Arial"/>
          <w:sz w:val="8"/>
          <w:szCs w:val="8"/>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(IRS Employer Identification No.)</w:t>
      </w:r>
    </w:p>
    <w:p>
      <w:pPr>
        <w:spacing w:after="0" w:line="93" w:lineRule="exact"/>
        <w:rPr>
          <w:sz w:val="24"/>
          <w:szCs w:val="24"/>
          <w:color w:val="auto"/>
        </w:rPr>
      </w:pPr>
    </w:p>
    <w:p>
      <w:pPr>
        <w:sectPr>
          <w:pgSz w:w="11900" w:h="16838" w:orient="portrait"/>
          <w:cols w:equalWidth="0" w:num="2">
            <w:col w:w="7160" w:space="720"/>
            <w:col w:w="3360"/>
          </w:cols>
          <w:pgMar w:left="300" w:top="742" w:right="359" w:bottom="1440" w:gutter="0" w:footer="0" w:header="0"/>
          <w:type w:val="continuous"/>
        </w:sectPr>
      </w:pPr>
    </w:p>
    <w:p>
      <w:pPr>
        <w:ind w:left="4920"/>
        <w:spacing w:after="0"/>
        <w:rPr>
          <w:sz w:val="20"/>
          <w:szCs w:val="20"/>
          <w:color w:val="auto"/>
        </w:rPr>
      </w:pPr>
      <w:r>
        <w:rPr>
          <w:rFonts w:ascii="Arial" w:cs="Arial" w:eastAsia="Arial" w:hAnsi="Arial"/>
          <w:sz w:val="12"/>
          <w:szCs w:val="12"/>
          <w:b w:val="1"/>
          <w:bCs w:val="1"/>
          <w:color w:val="auto"/>
        </w:rPr>
        <w:t>6555 West Good Hope Road</w:t>
      </w:r>
    </w:p>
    <w:p>
      <w:pPr>
        <w:spacing w:after="0" w:line="78" w:lineRule="exact"/>
        <w:rPr>
          <w:sz w:val="24"/>
          <w:szCs w:val="24"/>
          <w:color w:val="auto"/>
        </w:rPr>
      </w:pPr>
    </w:p>
    <w:p>
      <w:pPr>
        <w:ind w:left="4900"/>
        <w:spacing w:after="0"/>
        <w:rPr>
          <w:sz w:val="20"/>
          <w:szCs w:val="20"/>
          <w:color w:val="auto"/>
        </w:rPr>
      </w:pPr>
      <w:r>
        <w:rPr>
          <w:rFonts w:ascii="Arial" w:cs="Arial" w:eastAsia="Arial" w:hAnsi="Arial"/>
          <w:sz w:val="12"/>
          <w:szCs w:val="12"/>
          <w:b w:val="1"/>
          <w:bCs w:val="1"/>
          <w:color w:val="auto"/>
        </w:rPr>
        <w:t>Milwaukee, Wisconsin 53223</w:t>
      </w:r>
    </w:p>
    <w:p>
      <w:pPr>
        <w:spacing w:after="0" w:line="76" w:lineRule="exact"/>
        <w:rPr>
          <w:sz w:val="24"/>
          <w:szCs w:val="24"/>
          <w:color w:val="auto"/>
        </w:rPr>
      </w:pPr>
    </w:p>
    <w:p>
      <w:pPr>
        <w:jc w:val="center"/>
        <w:ind w:right="-39"/>
        <w:spacing w:after="0"/>
        <w:rPr>
          <w:sz w:val="20"/>
          <w:szCs w:val="20"/>
          <w:color w:val="auto"/>
        </w:rPr>
      </w:pPr>
      <w:r>
        <w:rPr>
          <w:rFonts w:ascii="Arial" w:cs="Arial" w:eastAsia="Arial" w:hAnsi="Arial"/>
          <w:sz w:val="8"/>
          <w:szCs w:val="8"/>
          <w:b w:val="1"/>
          <w:bCs w:val="1"/>
          <w:color w:val="auto"/>
        </w:rPr>
        <w:t>(Address of principal executive offices and Zip Code)</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(414) 358-6600</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79375</wp:posOffset>
            </wp:positionV>
            <wp:extent cx="159448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ectPr>
          <w:pgSz w:w="11900" w:h="16838" w:orient="portrait"/>
          <w:cols w:equalWidth="0" w:num="1">
            <w:col w:w="11240"/>
          </w:cols>
          <w:pgMar w:left="300" w:top="742" w:right="359" w:bottom="1440" w:gutter="0" w:footer="0" w:header="0"/>
          <w:type w:val="continuous"/>
        </w:sectPr>
      </w:pP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41"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Written communications pursuant to Rule 425 under the Securities Act (17 CFR 230.425)</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Soliciting material pursuant to Rule 14a-12 under the Exchange Act (17 CFR 240.14a-12)</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14d-2(b) under the Exchange Act (17 CFR 240.14d-2(b))</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13e-4(c) under the Exchange Act (17 CFR 240.13e-4(c))</w:t>
      </w:r>
    </w:p>
    <w:p>
      <w:pPr>
        <w:spacing w:after="0" w:line="133"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126"/>
        </w:trPr>
        <w:tc>
          <w:tcPr>
            <w:tcW w:w="61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1660" w:type="dxa"/>
            <w:vAlign w:val="bottom"/>
            <w:tcBorders>
              <w:top w:val="single" w:sz="8" w:color="auto"/>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0"/>
              </w:rPr>
              <w:t>Trading</w:t>
            </w:r>
          </w:p>
        </w:tc>
        <w:tc>
          <w:tcPr>
            <w:tcW w:w="34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7"/>
              </w:rPr>
              <w:t>Name of each exchange on which registered</w:t>
            </w:r>
          </w:p>
        </w:tc>
        <w:tc>
          <w:tcPr>
            <w:tcW w:w="0" w:type="dxa"/>
            <w:vAlign w:val="bottom"/>
          </w:tcPr>
          <w:p>
            <w:pPr>
              <w:spacing w:after="0"/>
              <w:rPr>
                <w:sz w:val="1"/>
                <w:szCs w:val="1"/>
                <w:color w:val="auto"/>
              </w:rPr>
            </w:pPr>
          </w:p>
        </w:tc>
      </w:tr>
      <w:tr>
        <w:trPr>
          <w:trHeight w:val="153"/>
        </w:trPr>
        <w:tc>
          <w:tcPr>
            <w:tcW w:w="614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Symbol</w:t>
            </w:r>
          </w:p>
        </w:tc>
        <w:tc>
          <w:tcPr>
            <w:tcW w:w="344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BRC</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New York Stock Exchange</w:t>
            </w:r>
          </w:p>
        </w:tc>
        <w:tc>
          <w:tcPr>
            <w:tcW w:w="0" w:type="dxa"/>
            <w:vAlign w:val="bottom"/>
          </w:tcPr>
          <w:p>
            <w:pPr>
              <w:spacing w:after="0"/>
              <w:rPr>
                <w:sz w:val="1"/>
                <w:szCs w:val="1"/>
                <w:color w:val="auto"/>
              </w:rPr>
            </w:pPr>
          </w:p>
        </w:tc>
      </w:tr>
    </w:tbl>
    <w:p>
      <w:pPr>
        <w:spacing w:after="0" w:line="99" w:lineRule="exact"/>
        <w:rPr>
          <w:sz w:val="24"/>
          <w:szCs w:val="24"/>
          <w:color w:val="auto"/>
        </w:rPr>
      </w:pPr>
    </w:p>
    <w:p>
      <w:pPr>
        <w:ind w:right="400"/>
        <w:spacing w:after="0" w:line="227"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(17 CFR 230.405) or Rule 12b-2 or the Securities Exchange Act of 1934 (17 CFR 240.12b-2). Emerging growth company </w:t>
      </w:r>
      <w:r>
        <w:rPr>
          <w:rFonts w:ascii="MS PGothic" w:cs="MS PGothic" w:eastAsia="MS PGothic" w:hAnsi="MS PGothic"/>
          <w:sz w:val="14"/>
          <w:szCs w:val="14"/>
          <w:color w:val="auto"/>
        </w:rPr>
        <w:t>☐</w:t>
      </w:r>
    </w:p>
    <w:p>
      <w:pPr>
        <w:spacing w:after="0" w:line="78" w:lineRule="exact"/>
        <w:rPr>
          <w:sz w:val="24"/>
          <w:szCs w:val="24"/>
          <w:color w:val="auto"/>
        </w:rPr>
      </w:pPr>
    </w:p>
    <w:p>
      <w:pPr>
        <w:ind w:right="40"/>
        <w:spacing w:after="0" w:line="173"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358140</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00" w:top="742" w:right="35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2"/>
          <w:szCs w:val="12"/>
          <w:color w:val="auto"/>
        </w:rPr>
        <w:t>Item 2.02</w:t>
      </w:r>
      <w:r>
        <w:rPr>
          <w:sz w:val="20"/>
          <w:szCs w:val="20"/>
          <w:color w:val="auto"/>
        </w:rPr>
        <w:tab/>
      </w:r>
      <w:r>
        <w:rPr>
          <w:rFonts w:ascii="Arial" w:cs="Arial" w:eastAsia="Arial" w:hAnsi="Arial"/>
          <w:sz w:val="11"/>
          <w:szCs w:val="11"/>
          <w:color w:val="auto"/>
        </w:rPr>
        <w:t>RESULTS OF OPERATIONS AND FINANCIAL CONDITION</w:t>
      </w:r>
    </w:p>
    <w:p>
      <w:pPr>
        <w:spacing w:after="0" w:line="168"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On November 19, 2020, Brady Corporation (the “Company”) issued a press release announcing its fiscal 2021 first quarter financial results. A copy of the press release is being furnished to the Securities and Exchange Commission as Exhibit 99.1 attached hereto and is incorporated herein by reference.</w:t>
      </w:r>
    </w:p>
    <w:p>
      <w:pPr>
        <w:spacing w:after="0" w:line="160"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color w:val="auto"/>
        </w:rPr>
        <w:t>Item 5.07</w:t>
      </w:r>
      <w:r>
        <w:rPr>
          <w:sz w:val="20"/>
          <w:szCs w:val="20"/>
          <w:color w:val="auto"/>
        </w:rPr>
        <w:tab/>
      </w:r>
      <w:r>
        <w:rPr>
          <w:rFonts w:ascii="Arial" w:cs="Arial" w:eastAsia="Arial" w:hAnsi="Arial"/>
          <w:sz w:val="11"/>
          <w:szCs w:val="11"/>
          <w:color w:val="auto"/>
        </w:rPr>
        <w:t>SUBMISSIONS OF MATTERS TO A VOTE OF SECURITY HOLDERS</w:t>
      </w:r>
    </w:p>
    <w:p>
      <w:pPr>
        <w:spacing w:after="0" w:line="168"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On November 18, 2020, at the Company’s Annual Shareholders’ Meeting, the holders of all of the 3,538,628 shares of the Company’s Class B Common Stock voted unanimously in favor of electing the following persons to serve as the Company’s directors until the next annual meeting of shareholders and until their successors have been elected: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Patrick W. Allender</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Gary S. Balkema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David S. Bem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Elizabeth P. Bruno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Nancy L. Gioia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Conrad G. Goodkind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Frank W. Harris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 Michael Nauman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Bradley C. Richardson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Michelle E. Williams</w:t>
      </w:r>
    </w:p>
    <w:p>
      <w:pPr>
        <w:spacing w:after="0" w:line="186"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color w:val="auto"/>
        </w:rPr>
        <w:t>Item 7.01</w:t>
      </w:r>
      <w:r>
        <w:rPr>
          <w:sz w:val="20"/>
          <w:szCs w:val="20"/>
          <w:color w:val="auto"/>
        </w:rPr>
        <w:tab/>
      </w:r>
      <w:r>
        <w:rPr>
          <w:rFonts w:ascii="Arial" w:cs="Arial" w:eastAsia="Arial" w:hAnsi="Arial"/>
          <w:sz w:val="11"/>
          <w:szCs w:val="11"/>
          <w:color w:val="auto"/>
        </w:rPr>
        <w:t>REGULATION FD DISCLOSURE</w:t>
      </w:r>
    </w:p>
    <w:p>
      <w:pPr>
        <w:spacing w:after="0" w:line="168"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On November 19, 2020, the Company hosted a conference call related to its fiscal 2021 first quarter financial results. A copy of the slides referenced in the conference call, which is also posted on the Corporation’s website, is being furnished to the Securities and Exchange Commission as Exhibit 99.2 attached hereto and is incorporated herein by reference.</w:t>
      </w:r>
    </w:p>
    <w:p>
      <w:pPr>
        <w:spacing w:after="0" w:line="160" w:lineRule="exact"/>
        <w:rPr>
          <w:sz w:val="20"/>
          <w:szCs w:val="20"/>
          <w:color w:val="auto"/>
        </w:rPr>
      </w:pPr>
    </w:p>
    <w:p>
      <w:pPr>
        <w:spacing w:after="0"/>
        <w:tabs>
          <w:tab w:leader="none" w:pos="960" w:val="left"/>
        </w:tabs>
        <w:rPr>
          <w:sz w:val="20"/>
          <w:szCs w:val="20"/>
          <w:color w:val="auto"/>
        </w:rPr>
      </w:pPr>
      <w:r>
        <w:rPr>
          <w:rFonts w:ascii="Arial" w:cs="Arial" w:eastAsia="Arial" w:hAnsi="Arial"/>
          <w:sz w:val="12"/>
          <w:szCs w:val="12"/>
          <w:color w:val="auto"/>
        </w:rPr>
        <w:t>Item 9.01</w:t>
      </w:r>
      <w:r>
        <w:rPr>
          <w:sz w:val="20"/>
          <w:szCs w:val="20"/>
          <w:color w:val="auto"/>
        </w:rPr>
        <w:tab/>
      </w:r>
      <w:r>
        <w:rPr>
          <w:rFonts w:ascii="Arial" w:cs="Arial" w:eastAsia="Arial" w:hAnsi="Arial"/>
          <w:sz w:val="11"/>
          <w:szCs w:val="11"/>
          <w:color w:val="auto"/>
        </w:rPr>
        <w:t>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00" w:type="dxa"/>
            <w:vAlign w:val="bottom"/>
          </w:tcPr>
          <w:p>
            <w:pPr>
              <w:spacing w:after="0"/>
              <w:rPr>
                <w:sz w:val="20"/>
                <w:szCs w:val="20"/>
                <w:color w:val="auto"/>
              </w:rPr>
            </w:pPr>
            <w:r>
              <w:rPr>
                <w:rFonts w:ascii="Arial" w:cs="Arial" w:eastAsia="Arial" w:hAnsi="Arial"/>
                <w:sz w:val="12"/>
                <w:szCs w:val="12"/>
                <w:color w:val="auto"/>
              </w:rPr>
              <w:t>(d) Exhibits</w:t>
            </w:r>
          </w:p>
        </w:tc>
        <w:tc>
          <w:tcPr>
            <w:tcW w:w="2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580" w:type="dxa"/>
            <w:vAlign w:val="bottom"/>
          </w:tcPr>
          <w:p>
            <w:pPr>
              <w:spacing w:after="0"/>
              <w:rPr>
                <w:sz w:val="13"/>
                <w:szCs w:val="13"/>
                <w:color w:val="auto"/>
              </w:rPr>
            </w:pPr>
          </w:p>
        </w:tc>
      </w:tr>
      <w:tr>
        <w:trPr>
          <w:trHeight w:val="279"/>
        </w:trPr>
        <w:tc>
          <w:tcPr>
            <w:tcW w:w="1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EXHIBIT NUMBER</w:t>
            </w:r>
          </w:p>
        </w:tc>
        <w:tc>
          <w:tcPr>
            <w:tcW w:w="10200" w:type="dxa"/>
            <w:vAlign w:val="bottom"/>
            <w:tcBorders>
              <w:bottom w:val="single" w:sz="8" w:color="auto"/>
            </w:tcBorders>
            <w:gridSpan w:val="5"/>
          </w:tcPr>
          <w:p>
            <w:pPr>
              <w:ind w:left="80"/>
              <w:spacing w:after="0"/>
              <w:rPr>
                <w:sz w:val="20"/>
                <w:szCs w:val="20"/>
                <w:color w:val="auto"/>
              </w:rPr>
            </w:pPr>
            <w:r>
              <w:rPr>
                <w:rFonts w:ascii="Arial" w:cs="Arial" w:eastAsia="Arial" w:hAnsi="Arial"/>
                <w:sz w:val="12"/>
                <w:szCs w:val="12"/>
                <w:color w:val="auto"/>
              </w:rPr>
              <w:t>DESCRIPTION</w:t>
            </w:r>
          </w:p>
        </w:tc>
      </w:tr>
      <w:tr>
        <w:trPr>
          <w:trHeight w:val="178"/>
        </w:trPr>
        <w:tc>
          <w:tcPr>
            <w:tcW w:w="1100" w:type="dxa"/>
            <w:vAlign w:val="bottom"/>
          </w:tcPr>
          <w:p>
            <w:pPr>
              <w:spacing w:after="0"/>
              <w:rPr>
                <w:sz w:val="20"/>
                <w:szCs w:val="20"/>
                <w:color w:val="auto"/>
              </w:rPr>
            </w:pPr>
            <w:r>
              <w:rPr>
                <w:rFonts w:ascii="Arial" w:cs="Arial" w:eastAsia="Arial" w:hAnsi="Arial"/>
                <w:sz w:val="12"/>
                <w:szCs w:val="12"/>
                <w:color w:val="auto"/>
              </w:rPr>
              <w:t>99.1</w:t>
            </w:r>
          </w:p>
        </w:tc>
        <w:tc>
          <w:tcPr>
            <w:tcW w:w="10200" w:type="dxa"/>
            <w:vAlign w:val="bottom"/>
            <w:gridSpan w:val="5"/>
          </w:tcPr>
          <w:p>
            <w:pPr>
              <w:ind w:left="80"/>
              <w:spacing w:after="0"/>
              <w:rPr>
                <w:rFonts w:ascii="Arial" w:cs="Arial" w:eastAsia="Arial" w:hAnsi="Arial"/>
                <w:sz w:val="12"/>
                <w:szCs w:val="12"/>
                <w:color w:val="0000FF"/>
              </w:rPr>
            </w:pPr>
            <w:hyperlink w:anchor="page4">
              <w:r>
                <w:rPr>
                  <w:rFonts w:ascii="Arial" w:cs="Arial" w:eastAsia="Arial" w:hAnsi="Arial"/>
                  <w:sz w:val="12"/>
                  <w:szCs w:val="12"/>
                  <w:u w:val="single" w:color="auto"/>
                  <w:color w:val="0000FF"/>
                </w:rPr>
                <w:t>Press Release of Brady Corporation, dated</w:t>
              </w:r>
              <w:r>
                <w:rPr>
                  <w:rFonts w:ascii="Arial" w:cs="Arial" w:eastAsia="Arial" w:hAnsi="Arial"/>
                  <w:sz w:val="12"/>
                  <w:szCs w:val="12"/>
                  <w:color w:val="0000FF"/>
                </w:rPr>
                <w:t xml:space="preserve"> </w:t>
              </w:r>
            </w:hyperlink>
            <w:r>
              <w:rPr>
                <w:rFonts w:ascii="Arial" w:cs="Arial" w:eastAsia="Arial" w:hAnsi="Arial"/>
                <w:sz w:val="12"/>
                <w:szCs w:val="12"/>
                <w:color w:val="0000FF"/>
              </w:rPr>
              <w:t>November 19</w:t>
            </w:r>
            <w:hyperlink w:anchor="page4">
              <w:r>
                <w:rPr>
                  <w:rFonts w:ascii="Arial" w:cs="Arial" w:eastAsia="Arial" w:hAnsi="Arial"/>
                  <w:sz w:val="12"/>
                  <w:szCs w:val="12"/>
                  <w:color w:val="0000FF"/>
                </w:rPr>
                <w:t xml:space="preserve">, </w:t>
              </w:r>
              <w:r>
                <w:rPr>
                  <w:rFonts w:ascii="Arial" w:cs="Arial" w:eastAsia="Arial" w:hAnsi="Arial"/>
                  <w:sz w:val="12"/>
                  <w:szCs w:val="12"/>
                  <w:u w:val="single" w:color="auto"/>
                  <w:color w:val="0000FF"/>
                </w:rPr>
                <w:t>2020, relating to first quarter fiscal</w:t>
              </w:r>
              <w:r>
                <w:rPr>
                  <w:rFonts w:ascii="Arial" w:cs="Arial" w:eastAsia="Arial" w:hAnsi="Arial"/>
                  <w:sz w:val="12"/>
                  <w:szCs w:val="12"/>
                  <w:color w:val="0000FF"/>
                </w:rPr>
                <w:t xml:space="preserve"> 2021 financial results.</w:t>
              </w:r>
            </w:hyperlink>
          </w:p>
        </w:tc>
      </w:tr>
      <w:tr>
        <w:trPr>
          <w:trHeight w:val="20"/>
        </w:trPr>
        <w:tc>
          <w:tcPr>
            <w:tcW w:w="1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214"/>
        </w:trPr>
        <w:tc>
          <w:tcPr>
            <w:tcW w:w="1100" w:type="dxa"/>
            <w:vAlign w:val="bottom"/>
          </w:tcPr>
          <w:p>
            <w:pPr>
              <w:spacing w:after="0"/>
              <w:rPr>
                <w:sz w:val="20"/>
                <w:szCs w:val="20"/>
                <w:color w:val="auto"/>
              </w:rPr>
            </w:pPr>
            <w:r>
              <w:rPr>
                <w:rFonts w:ascii="Arial" w:cs="Arial" w:eastAsia="Arial" w:hAnsi="Arial"/>
                <w:sz w:val="12"/>
                <w:szCs w:val="12"/>
                <w:color w:val="auto"/>
              </w:rPr>
              <w:t>99.2</w:t>
            </w:r>
          </w:p>
        </w:tc>
        <w:tc>
          <w:tcPr>
            <w:tcW w:w="10200" w:type="dxa"/>
            <w:vAlign w:val="bottom"/>
            <w:gridSpan w:val="5"/>
          </w:tcPr>
          <w:p>
            <w:pPr>
              <w:ind w:left="80"/>
              <w:spacing w:after="0"/>
              <w:rPr>
                <w:rFonts w:ascii="Arial" w:cs="Arial" w:eastAsia="Arial" w:hAnsi="Arial"/>
                <w:sz w:val="12"/>
                <w:szCs w:val="12"/>
                <w:u w:val="single" w:color="auto"/>
                <w:color w:val="0000FF"/>
              </w:rPr>
            </w:pPr>
            <w:hyperlink w:anchor="page11">
              <w:r>
                <w:rPr>
                  <w:rFonts w:ascii="Arial" w:cs="Arial" w:eastAsia="Arial" w:hAnsi="Arial"/>
                  <w:sz w:val="12"/>
                  <w:szCs w:val="12"/>
                  <w:u w:val="single" w:color="auto"/>
                  <w:color w:val="0000FF"/>
                </w:rPr>
                <w:t>Informational slides provided by Brady Corporation, dated November 19, 2020, relating to first quarter fiscal 2021 financial results.</w:t>
              </w:r>
            </w:hyperlink>
          </w:p>
        </w:tc>
      </w:tr>
      <w:tr>
        <w:trPr>
          <w:trHeight w:val="189"/>
        </w:trPr>
        <w:tc>
          <w:tcPr>
            <w:tcW w:w="1100" w:type="dxa"/>
            <w:vAlign w:val="bottom"/>
          </w:tcPr>
          <w:p>
            <w:pPr>
              <w:spacing w:after="0"/>
              <w:rPr>
                <w:sz w:val="20"/>
                <w:szCs w:val="20"/>
                <w:color w:val="auto"/>
              </w:rPr>
            </w:pPr>
            <w:r>
              <w:rPr>
                <w:rFonts w:ascii="Arial" w:cs="Arial" w:eastAsia="Arial" w:hAnsi="Arial"/>
                <w:sz w:val="12"/>
                <w:szCs w:val="12"/>
                <w:color w:val="auto"/>
              </w:rPr>
              <w:t>104</w:t>
            </w:r>
          </w:p>
        </w:tc>
        <w:tc>
          <w:tcPr>
            <w:tcW w:w="10200" w:type="dxa"/>
            <w:vAlign w:val="bottom"/>
            <w:gridSpan w:val="5"/>
          </w:tcPr>
          <w:p>
            <w:pPr>
              <w:ind w:left="80"/>
              <w:spacing w:after="0"/>
              <w:rPr>
                <w:sz w:val="20"/>
                <w:szCs w:val="20"/>
                <w:color w:val="auto"/>
              </w:rPr>
            </w:pPr>
            <w:r>
              <w:rPr>
                <w:rFonts w:ascii="Arial" w:cs="Arial" w:eastAsia="Arial" w:hAnsi="Arial"/>
                <w:sz w:val="12"/>
                <w:szCs w:val="12"/>
                <w:color w:val="auto"/>
              </w:rPr>
              <w:t>Cover Page Interactive Data File (embedded within Inline XBRL document).</w:t>
            </w:r>
          </w:p>
        </w:tc>
      </w:tr>
      <w:tr>
        <w:trPr>
          <w:trHeight w:val="819"/>
        </w:trPr>
        <w:tc>
          <w:tcPr>
            <w:tcW w:w="11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833" w:right="299" w:bottom="1440" w:gutter="0" w:footer="0" w:header="0"/>
        </w:sectPr>
      </w:pPr>
    </w:p>
    <w:bookmarkStart w:id="2" w:name="page3"/>
    <w:bookmarkEnd w:id="2"/>
    <w:p>
      <w:pPr>
        <w:ind w:left="5320"/>
        <w:spacing w:after="0"/>
        <w:rPr>
          <w:sz w:val="20"/>
          <w:szCs w:val="20"/>
          <w:color w:val="auto"/>
        </w:rPr>
      </w:pPr>
      <w:r>
        <w:rPr>
          <w:rFonts w:ascii="Arial" w:cs="Arial" w:eastAsia="Arial" w:hAnsi="Arial"/>
          <w:sz w:val="12"/>
          <w:szCs w:val="12"/>
          <w:color w:val="auto"/>
        </w:rPr>
        <w:t>SIGNATURE</w:t>
      </w:r>
    </w:p>
    <w:p>
      <w:pPr>
        <w:spacing w:after="0" w:line="177"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hereunto duly authorized.</w:t>
      </w:r>
    </w:p>
    <w:p>
      <w:pPr>
        <w:spacing w:after="0" w:line="182"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BRADY CORPORATION</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color w:val="auto"/>
        </w:rPr>
        <w:t>Date: November 19, 2020</w:t>
      </w:r>
    </w:p>
    <w:p>
      <w:pPr>
        <w:spacing w:after="0" w:line="195"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9525</wp:posOffset>
            </wp:positionV>
            <wp:extent cx="345186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4"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Aaron J. Pearce</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Chief Financial Officer and Treasurer</w:t>
      </w:r>
    </w:p>
    <w:p>
      <w:pPr>
        <w:sectPr>
          <w:pgSz w:w="11900" w:h="16838" w:orient="portrait"/>
          <w:cols w:equalWidth="0" w:num="1">
            <w:col w:w="10159"/>
          </w:cols>
          <w:pgMar w:left="300" w:top="64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3"/>
          <w:szCs w:val="13"/>
          <w:b w:val="1"/>
          <w:bCs w:val="1"/>
          <w:u w:val="single" w:color="auto"/>
          <w:color w:val="auto"/>
        </w:rPr>
        <w:t>EXHIBIT 99.1</w:t>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For More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Investor contact: Ann Thornton 414-438-6887</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Media contact: Kate Venne 414-358-5176</w:t>
      </w: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Brady Corporation Reports Fiscal 2021 First Quarter Results</w:t>
      </w:r>
    </w:p>
    <w:p>
      <w:pPr>
        <w:spacing w:after="0" w:line="197"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2"/>
          <w:szCs w:val="12"/>
          <w:color w:val="auto"/>
        </w:rPr>
        <w:t>Income before income taxes and losses of unconsolidated affiliate increased by 1.6 percent to $42.2 million in the first quarter of fiscal 2021 compared to $41.6 million in the same quarter of the prior year.</w:t>
      </w:r>
    </w:p>
    <w:p>
      <w:pPr>
        <w:spacing w:after="0" w:line="66" w:lineRule="exact"/>
        <w:rPr>
          <w:rFonts w:ascii="Arial" w:cs="Arial" w:eastAsia="Arial" w:hAnsi="Arial"/>
          <w:sz w:val="13"/>
          <w:szCs w:val="13"/>
          <w:color w:val="auto"/>
        </w:rPr>
      </w:pPr>
    </w:p>
    <w:p>
      <w:pPr>
        <w:ind w:left="420" w:right="80" w:hanging="212"/>
        <w:spacing w:after="0" w:line="317" w:lineRule="auto"/>
        <w:tabs>
          <w:tab w:leader="none" w:pos="416" w:val="left"/>
        </w:tabs>
        <w:numPr>
          <w:ilvl w:val="0"/>
          <w:numId w:val="2"/>
        </w:numPr>
        <w:rPr>
          <w:rFonts w:ascii="Arial" w:cs="Arial" w:eastAsia="Arial" w:hAnsi="Arial"/>
          <w:sz w:val="14"/>
          <w:szCs w:val="14"/>
          <w:color w:val="auto"/>
        </w:rPr>
      </w:pPr>
      <w:r>
        <w:rPr>
          <w:rFonts w:ascii="Arial" w:cs="Arial" w:eastAsia="Arial" w:hAnsi="Arial"/>
          <w:sz w:val="13"/>
          <w:szCs w:val="13"/>
          <w:color w:val="auto"/>
        </w:rPr>
        <w:t>Diluted EPS was $0.64 in the first quarter of fiscal 2021 compared to $0.70 in the same quarter of the prior year. Diluted EPS in the first quarter of fiscal 2020 was positively impacted by a reduced income tax rate of 9.8 percent primarily due to a favorable tax audit settlement and tax benefits from equity-based compensation.</w:t>
      </w:r>
    </w:p>
    <w:p>
      <w:pPr>
        <w:spacing w:after="0" w:line="3"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Cash flow from operating activities was up 61.8 percent to $62.8 million in the first quarter of fiscal 2021 compared to $38.8 million in the same quarter of the prior year.</w:t>
      </w:r>
    </w:p>
    <w:p>
      <w:pPr>
        <w:spacing w:after="0" w:line="55"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Sales for the quarter declined 3.4 percent. Organic sales declined 4.9 percent and the impact of foreign currency translation increased sales by 1.5 percent.</w:t>
      </w:r>
    </w:p>
    <w:p>
      <w:pPr>
        <w:spacing w:after="0" w:line="208" w:lineRule="exact"/>
        <w:rPr>
          <w:sz w:val="20"/>
          <w:szCs w:val="20"/>
          <w:color w:val="auto"/>
        </w:rPr>
      </w:pPr>
    </w:p>
    <w:p>
      <w:pPr>
        <w:jc w:val="both"/>
        <w:ind w:right="20"/>
        <w:spacing w:after="0" w:line="343" w:lineRule="auto"/>
        <w:rPr>
          <w:sz w:val="20"/>
          <w:szCs w:val="20"/>
          <w:color w:val="auto"/>
        </w:rPr>
      </w:pPr>
      <w:r>
        <w:rPr>
          <w:rFonts w:ascii="Arial" w:cs="Arial" w:eastAsia="Arial" w:hAnsi="Arial"/>
          <w:sz w:val="13"/>
          <w:szCs w:val="13"/>
          <w:color w:val="auto"/>
        </w:rPr>
        <w:t>MILWAUKEE (November 19, 2020) -- Brady Corporation (NYSE: BRC) (“Brady” or “Company”), a world leader in identification solutions, today reported its financial results for its fiscal 2021 first quarter ended October 31, 2020.</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Quarter Ended October 31, 2020 Financial Results:</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Income before income taxes and losses of unconsolidated affiliate increased 1.6 percent to $42.2 million for the quarter ended October 31, 2020, compared to $41.6 million in the same quarter last year.</w:t>
      </w:r>
    </w:p>
    <w:p>
      <w:pPr>
        <w:spacing w:after="0" w:line="69" w:lineRule="exact"/>
        <w:rPr>
          <w:sz w:val="20"/>
          <w:szCs w:val="20"/>
          <w:color w:val="auto"/>
        </w:rPr>
      </w:pPr>
    </w:p>
    <w:p>
      <w:pPr>
        <w:jc w:val="both"/>
        <w:ind w:firstLine="432"/>
        <w:spacing w:after="0" w:line="337" w:lineRule="auto"/>
        <w:rPr>
          <w:sz w:val="20"/>
          <w:szCs w:val="20"/>
          <w:color w:val="auto"/>
        </w:rPr>
      </w:pPr>
      <w:r>
        <w:rPr>
          <w:rFonts w:ascii="Arial" w:cs="Arial" w:eastAsia="Arial" w:hAnsi="Arial"/>
          <w:sz w:val="13"/>
          <w:szCs w:val="13"/>
          <w:color w:val="auto"/>
        </w:rPr>
        <w:t>Net income for the quarter ended October 31, 2020 declined 10.7 percent to $33.5 million compared to $37.5 million in the same quarter last year. Earnings per diluted Class A Nonvoting Common Share were $0.64 for the first quarter of fiscal 2021, compared to $0.70 in the same quarter last year. Net income and earnings per diluted Class A Nonvoting Common Share in the first quarter of last year were positively impacted by a reduced income tax rate of 9.8 percent primarily due to a favorable tax audit settlement and tax benefits from equity-based compensation.</w:t>
      </w:r>
    </w:p>
    <w:p>
      <w:pPr>
        <w:jc w:val="both"/>
        <w:ind w:firstLine="432"/>
        <w:spacing w:after="0" w:line="391" w:lineRule="auto"/>
        <w:rPr>
          <w:sz w:val="20"/>
          <w:szCs w:val="20"/>
          <w:color w:val="auto"/>
        </w:rPr>
      </w:pPr>
      <w:r>
        <w:rPr>
          <w:rFonts w:ascii="Arial" w:cs="Arial" w:eastAsia="Arial" w:hAnsi="Arial"/>
          <w:sz w:val="12"/>
          <w:szCs w:val="12"/>
          <w:color w:val="auto"/>
        </w:rPr>
        <w:t>Sales for the quarter ended October 31, 2020 declined 3.4 percent, which consisted of an organic sales decline of 4.9 percent and an increase of 1.5 percent from foreign currency translation. Sales for the quarter ended October 31, 2020 were $277.2 million compared to $286.9 million in the same quarter last year. By segment, sales declined 7.8 percent in Identification Solutions and increased 9.8 percent in Workplace Safety, which consisted of an organic sales decline of 8.4 percent in Identification Solutions and organic sales growth of 5.5 percent in Workplace Safety.</w:t>
      </w:r>
    </w:p>
    <w:p>
      <w:pPr>
        <w:sectPr>
          <w:pgSz w:w="11900" w:h="16838" w:orient="portrait"/>
          <w:cols w:equalWidth="0" w:num="1">
            <w:col w:w="11300"/>
          </w:cols>
          <w:pgMar w:left="300" w:top="638" w:right="29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color w:val="auto"/>
        </w:rPr>
        <w:t>Commentary:</w:t>
      </w:r>
    </w:p>
    <w:p>
      <w:pPr>
        <w:spacing w:after="0" w:line="80" w:lineRule="exact"/>
        <w:rPr>
          <w:sz w:val="20"/>
          <w:szCs w:val="20"/>
          <w:color w:val="auto"/>
        </w:rPr>
      </w:pPr>
    </w:p>
    <w:p>
      <w:pPr>
        <w:jc w:val="both"/>
        <w:ind w:firstLine="432"/>
        <w:spacing w:after="0" w:line="365" w:lineRule="auto"/>
        <w:rPr>
          <w:sz w:val="20"/>
          <w:szCs w:val="20"/>
          <w:color w:val="auto"/>
        </w:rPr>
      </w:pPr>
      <w:r>
        <w:rPr>
          <w:rFonts w:ascii="Arial" w:cs="Arial" w:eastAsia="Arial" w:hAnsi="Arial"/>
          <w:sz w:val="12"/>
          <w:szCs w:val="12"/>
          <w:color w:val="auto"/>
        </w:rPr>
        <w:t>“We experienced a steady improvement in sales volumes as the global economy slowly healed throughout our first quarter. Sales improved in each of the last six months and we expanded our customer base in our Workplace Safety business by providing the high-quality products and the service levels that our customers have come to expect,” said Brady’s President and Chief Executive Officer, J. Michael Nauman. “This quarter, we saw demand in our Identification Solutions business improve while our Workplace Safety business had another strong quarter with organic sales increasing more than 5 percent. Growth in our Workplace Safety business was primarily driven by increased sales of safety and identification products directly related to the COVID-19 pandemic, including social distancing and personal hygiene signage. Even with the negative impacts from the COVID-19 pandemic, we increased pre-tax income this quarter as a result of our focus on executing sustainable efficiency gains. Our ongoing investments in sales, marketing, and new product development combined with our reduced cost structure position us to drive substantial profit improvements when demand increases in industrial end-markets.”</w:t>
      </w:r>
    </w:p>
    <w:p>
      <w:pPr>
        <w:spacing w:after="0" w:line="1" w:lineRule="exact"/>
        <w:rPr>
          <w:sz w:val="20"/>
          <w:szCs w:val="20"/>
          <w:color w:val="auto"/>
        </w:rPr>
      </w:pPr>
    </w:p>
    <w:p>
      <w:pPr>
        <w:jc w:val="both"/>
        <w:ind w:firstLine="432"/>
        <w:spacing w:after="0" w:line="343" w:lineRule="auto"/>
        <w:rPr>
          <w:sz w:val="20"/>
          <w:szCs w:val="20"/>
          <w:color w:val="auto"/>
        </w:rPr>
      </w:pPr>
      <w:r>
        <w:rPr>
          <w:rFonts w:ascii="Arial" w:cs="Arial" w:eastAsia="Arial" w:hAnsi="Arial"/>
          <w:sz w:val="13"/>
          <w:szCs w:val="13"/>
          <w:color w:val="auto"/>
        </w:rPr>
        <w:t>“Brady is financially strong and continues to generate significant cash flow. As of October 31, 2020, we had $256.3 million of cash on hand and no outstanding debt,” said Brady’s Chief Financial Officer, Aaron Pearce. “We generated $62.8 million of cash flow from operating activities this quarter, which was an increase of 61.8 percent compared to last year’s first quarter, and we returned $14.1 million to our shareholders in the form of dividends and share buybacks. We are generating operating cash flow in excess of net income and we have a balance sheet that allows us to make the investments necessary to drive future revenue and earnings growth while paying a solid dividend. Although we are seeing some reduction in demand for products specifically designed to help in the fight of COVID-19 and there are macro-economic challenges caused by additional government lockdowns that will impact our financial results for the quarter ending January 31, 2021, Brady’s strong balance sheet and cash generation position us extremely well for future financial success as industrial production improves.”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xml:space="preserve">A webcast regarding Brady’s fiscal 2021 first quarter financial results will be available at </w:t>
      </w:r>
      <w:r>
        <w:rPr>
          <w:rFonts w:ascii="Arial" w:cs="Arial" w:eastAsia="Arial" w:hAnsi="Arial"/>
          <w:sz w:val="13"/>
          <w:szCs w:val="13"/>
          <w:u w:val="single" w:color="auto"/>
          <w:color w:val="0000FF"/>
        </w:rPr>
        <w:t>www.bradycorp.com/investors</w:t>
      </w:r>
      <w:r>
        <w:rPr>
          <w:rFonts w:ascii="Arial" w:cs="Arial" w:eastAsia="Arial" w:hAnsi="Arial"/>
          <w:sz w:val="13"/>
          <w:szCs w:val="13"/>
          <w:color w:val="auto"/>
        </w:rPr>
        <w:t xml:space="preserve"> beginning at 9:30 a.m. central time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-7620</wp:posOffset>
            </wp:positionV>
            <wp:extent cx="2095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955" cy="5715"/>
                    </a:xfrm>
                    <a:prstGeom prst="rect">
                      <a:avLst/>
                    </a:prstGeom>
                    <a:noFill/>
                  </pic:spPr>
                </pic:pic>
              </a:graphicData>
            </a:graphic>
          </wp:anchor>
        </w:drawing>
      </w:r>
    </w:p>
    <w:p>
      <w:pPr>
        <w:spacing w:after="0" w:line="218" w:lineRule="exact"/>
        <w:rPr>
          <w:sz w:val="20"/>
          <w:szCs w:val="20"/>
          <w:color w:val="auto"/>
        </w:rPr>
      </w:pPr>
    </w:p>
    <w:p>
      <w:pPr>
        <w:jc w:val="both"/>
        <w:ind w:firstLine="432"/>
        <w:spacing w:after="0" w:line="349" w:lineRule="auto"/>
        <w:rPr>
          <w:sz w:val="20"/>
          <w:szCs w:val="20"/>
          <w:color w:val="auto"/>
        </w:rPr>
      </w:pPr>
      <w:r>
        <w:rPr>
          <w:rFonts w:ascii="Arial" w:cs="Arial" w:eastAsia="Arial" w:hAnsi="Arial"/>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2020, employed approximately 5,400 people in its worldwide businesses. Brady’s fiscal 2020 sales were approximately $1.08 billion. Brady stock trades on the New York Stock Exchange under the symbol BRC. More information is available on the Internet at </w:t>
      </w:r>
      <w:r>
        <w:rPr>
          <w:rFonts w:ascii="Arial" w:cs="Arial" w:eastAsia="Arial" w:hAnsi="Arial"/>
          <w:sz w:val="13"/>
          <w:szCs w:val="13"/>
          <w:u w:val="single" w:color="auto"/>
          <w:color w:val="0000FF"/>
        </w:rPr>
        <w:t>www.bradycorp.com</w:t>
      </w:r>
      <w:r>
        <w:rPr>
          <w:rFonts w:ascii="Arial" w:cs="Arial" w:eastAsia="Arial" w:hAnsi="Arial"/>
          <w:sz w:val="13"/>
          <w:szCs w:val="13"/>
          <w:color w:val="0000FF"/>
        </w:rPr>
        <w: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ectPr>
          <w:pgSz w:w="11900" w:h="16838" w:orient="portrait"/>
          <w:cols w:equalWidth="0" w:num="1">
            <w:col w:w="11300"/>
          </w:cols>
          <w:pgMar w:left="300" w:top="674" w:right="299" w:bottom="1440" w:gutter="0" w:footer="0" w:header="0"/>
        </w:sectPr>
      </w:pPr>
    </w:p>
    <w:bookmarkStart w:id="5" w:name="page6"/>
    <w:bookmarkEnd w:id="5"/>
    <w:p>
      <w:pPr>
        <w:jc w:val="both"/>
        <w:spacing w:after="0" w:line="270" w:lineRule="auto"/>
        <w:rPr>
          <w:sz w:val="20"/>
          <w:szCs w:val="20"/>
          <w:color w:val="auto"/>
        </w:rPr>
      </w:pPr>
      <w:r>
        <w:rPr>
          <w:rFonts w:ascii="Arial" w:cs="Arial" w:eastAsia="Arial" w:hAnsi="Arial"/>
          <w:sz w:val="11"/>
          <w:szCs w:val="11"/>
          <w:color w:val="auto"/>
        </w:rPr>
        <w:t>The use of words such as “may,” “will,” “expect,” “intend,” “estimate,” “anticipate,” “believe,” “should,” “project, ” “continue”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adverse impacts of the novel coronavirus (“COVID-19”) pandemic or other pandemics; decreased demand for our products; our ability to compete effectively or to successfully execute our strategy; Brady’s ability to develop technologically advanced products that meet customer demands; raw material and other cost increases; difficulties in protecting our websites, networks, and systems against security breaches; extensive regulations by U.S. and non-U.S. governmental and self-regulatory entities; risks associated with the loss of key employees; divestitures and contingent liabilities from divestitures; Brady’s ability to properly identify, integrate, and grow acquired companies; litigation, including product liability claims; foreign currency fluctuations; potential write-offs of Brady’s goodwill and other intangible assets; changes in tax legislation and tax rates; differing interests of voting and non-voting shareholders; numerous other matters of national, regional and global scale, including major public health issues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2020.</w:t>
      </w:r>
    </w:p>
    <w:p>
      <w:pPr>
        <w:spacing w:after="0" w:line="132" w:lineRule="exact"/>
        <w:rPr>
          <w:sz w:val="20"/>
          <w:szCs w:val="20"/>
          <w:color w:val="auto"/>
        </w:rPr>
      </w:pPr>
    </w:p>
    <w:p>
      <w:pPr>
        <w:spacing w:after="0"/>
        <w:rPr>
          <w:sz w:val="20"/>
          <w:szCs w:val="20"/>
          <w:color w:val="auto"/>
        </w:rPr>
      </w:pPr>
      <w:r>
        <w:rPr>
          <w:rFonts w:ascii="Arial" w:cs="Arial" w:eastAsia="Arial" w:hAnsi="Arial"/>
          <w:sz w:val="10"/>
          <w:szCs w:val="10"/>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300"/>
          </w:cols>
          <w:pgMar w:left="300" w:top="662" w:right="299" w:bottom="1440" w:gutter="0" w:footer="0" w:header="0"/>
        </w:sectPr>
      </w:pPr>
    </w:p>
    <w:bookmarkStart w:id="6" w:name="page7"/>
    <w:bookmarkEnd w:id="6"/>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INCOME</w:t>
      </w:r>
    </w:p>
    <w:p>
      <w:pPr>
        <w:spacing w:after="0"/>
        <w:rPr>
          <w:sz w:val="20"/>
          <w:szCs w:val="20"/>
          <w:color w:val="auto"/>
        </w:rPr>
      </w:pPr>
      <w:r>
        <w:rPr>
          <w:rFonts w:ascii="Arial" w:cs="Arial" w:eastAsia="Arial" w:hAnsi="Arial"/>
          <w:sz w:val="11"/>
          <w:szCs w:val="11"/>
          <w:b w:val="1"/>
          <w:bCs w:val="1"/>
          <w:color w:val="auto"/>
        </w:rPr>
        <w:t>(Unaudited; Dollars in thousands, except per share data)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1"/>
                <w:szCs w:val="11"/>
                <w:color w:val="auto"/>
              </w:rPr>
              <w:t>Three months ended October 31,</w:t>
            </w:r>
          </w:p>
        </w:tc>
        <w:tc>
          <w:tcPr>
            <w:tcW w:w="48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2020</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1"/>
                <w:szCs w:val="11"/>
                <w:color w:val="auto"/>
              </w:rPr>
              <w:t>2019</w:t>
            </w:r>
          </w:p>
        </w:tc>
        <w:tc>
          <w:tcPr>
            <w:tcW w:w="480" w:type="dxa"/>
            <w:vAlign w:val="bottom"/>
            <w:tcBorders>
              <w:bottom w:val="single" w:sz="8" w:color="auto"/>
            </w:tcBorders>
          </w:tcPr>
          <w:p>
            <w:pPr>
              <w:spacing w:after="0"/>
              <w:rPr>
                <w:sz w:val="11"/>
                <w:szCs w:val="11"/>
                <w:color w:val="auto"/>
              </w:rPr>
            </w:pPr>
          </w:p>
        </w:tc>
      </w:tr>
      <w:tr>
        <w:trPr>
          <w:trHeight w:val="135"/>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Net sales</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277,227</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286,947</w:t>
            </w:r>
          </w:p>
        </w:tc>
      </w:tr>
      <w:tr>
        <w:trPr>
          <w:trHeight w:val="142"/>
        </w:trPr>
        <w:tc>
          <w:tcPr>
            <w:tcW w:w="84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Cost of goods sold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141,799</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145,542</w:t>
            </w:r>
          </w:p>
        </w:tc>
      </w:tr>
      <w:tr>
        <w:trPr>
          <w:trHeight w:val="135"/>
        </w:trPr>
        <w:tc>
          <w:tcPr>
            <w:tcW w:w="8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Gross margin</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135,428</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141,405</w:t>
            </w:r>
          </w:p>
        </w:tc>
      </w:tr>
      <w:tr>
        <w:trPr>
          <w:trHeight w:val="142"/>
        </w:trPr>
        <w:tc>
          <w:tcPr>
            <w:tcW w:w="8480" w:type="dxa"/>
            <w:vAlign w:val="bottom"/>
          </w:tcPr>
          <w:p>
            <w:pPr>
              <w:spacing w:after="0"/>
              <w:rPr>
                <w:sz w:val="20"/>
                <w:szCs w:val="20"/>
                <w:color w:val="auto"/>
              </w:rPr>
            </w:pPr>
            <w:r>
              <w:rPr>
                <w:rFonts w:ascii="Arial" w:cs="Arial" w:eastAsia="Arial" w:hAnsi="Arial"/>
                <w:sz w:val="11"/>
                <w:szCs w:val="11"/>
                <w:color w:val="auto"/>
              </w:rPr>
              <w:t>Operating expenses: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Research and development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10,203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10,967</w:t>
            </w:r>
          </w:p>
        </w:tc>
      </w:tr>
      <w:tr>
        <w:trPr>
          <w:trHeight w:val="142"/>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Selling, general and administrative</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83,037</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89,547</w:t>
            </w:r>
          </w:p>
        </w:tc>
      </w:tr>
      <w:tr>
        <w:trPr>
          <w:trHeight w:val="135"/>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Total operating expenses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93,240</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100,514</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Operating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42,188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40,891</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Other income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140"/>
              <w:spacing w:after="0"/>
              <w:rPr>
                <w:sz w:val="20"/>
                <w:szCs w:val="20"/>
                <w:color w:val="auto"/>
              </w:rPr>
            </w:pPr>
            <w:r>
              <w:rPr>
                <w:rFonts w:ascii="Arial" w:cs="Arial" w:eastAsia="Arial" w:hAnsi="Arial"/>
                <w:sz w:val="11"/>
                <w:szCs w:val="11"/>
                <w:color w:val="auto"/>
              </w:rPr>
              <w:t>Investment and other income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1,380</w:t>
            </w:r>
          </w:p>
        </w:tc>
      </w:tr>
      <w:tr>
        <w:trPr>
          <w:trHeight w:val="144"/>
        </w:trPr>
        <w:tc>
          <w:tcPr>
            <w:tcW w:w="8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Interest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(701)</w:t>
            </w:r>
          </w:p>
        </w:tc>
      </w:tr>
      <w:tr>
        <w:trPr>
          <w:trHeight w:val="153"/>
        </w:trPr>
        <w:tc>
          <w:tcPr>
            <w:tcW w:w="8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Income before income taxes and losses of unconsolidated affiliate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42,237</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41,570</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2"/>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Income tax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8,582</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4,072</w:t>
            </w:r>
          </w:p>
        </w:tc>
      </w:tr>
      <w:tr>
        <w:trPr>
          <w:trHeight w:val="153"/>
        </w:trPr>
        <w:tc>
          <w:tcPr>
            <w:tcW w:w="8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Income before losses of unconsolidated affiliate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33,655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37,498</w:t>
            </w:r>
          </w:p>
        </w:tc>
      </w:tr>
      <w:tr>
        <w:trPr>
          <w:trHeight w:val="142"/>
        </w:trPr>
        <w:tc>
          <w:tcPr>
            <w:tcW w:w="84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Equity in losses of unconsolidated affiliate</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(174)</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53"/>
        </w:trPr>
        <w:tc>
          <w:tcPr>
            <w:tcW w:w="8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r>
      <w:tr>
        <w:trPr>
          <w:trHeight w:val="160"/>
        </w:trPr>
        <w:tc>
          <w:tcPr>
            <w:tcW w:w="84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income</w:t>
            </w:r>
          </w:p>
        </w:tc>
        <w:tc>
          <w:tcPr>
            <w:tcW w:w="880" w:type="dxa"/>
            <w:vAlign w:val="bottom"/>
            <w:tcBorders>
              <w:bottom w:val="single" w:sz="8" w:color="auto"/>
            </w:tcBorders>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33,481</w:t>
            </w: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37,498</w:t>
            </w:r>
          </w:p>
        </w:tc>
      </w:tr>
      <w:tr>
        <w:trPr>
          <w:trHeight w:val="153"/>
        </w:trPr>
        <w:tc>
          <w:tcPr>
            <w:tcW w:w="8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r>
      <w:tr>
        <w:trPr>
          <w:trHeight w:val="142"/>
        </w:trPr>
        <w:tc>
          <w:tcPr>
            <w:tcW w:w="8480" w:type="dxa"/>
            <w:vAlign w:val="bottom"/>
          </w:tcPr>
          <w:p>
            <w:pPr>
              <w:spacing w:after="0"/>
              <w:rPr>
                <w:sz w:val="20"/>
                <w:szCs w:val="20"/>
                <w:color w:val="auto"/>
              </w:rPr>
            </w:pPr>
            <w:r>
              <w:rPr>
                <w:rFonts w:ascii="Arial" w:cs="Arial" w:eastAsia="Arial" w:hAnsi="Arial"/>
                <w:sz w:val="11"/>
                <w:szCs w:val="11"/>
                <w:color w:val="auto"/>
              </w:rPr>
              <w:t>Net income per Class A Nonvoting Common Share:</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0.64</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0.71</w:t>
            </w:r>
          </w:p>
        </w:tc>
      </w:tr>
      <w:tr>
        <w:trPr>
          <w:trHeight w:val="142"/>
        </w:trPr>
        <w:tc>
          <w:tcPr>
            <w:tcW w:w="8480" w:type="dxa"/>
            <w:vAlign w:val="bottom"/>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0.64</w:t>
            </w:r>
          </w:p>
        </w:tc>
        <w:tc>
          <w:tcPr>
            <w:tcW w:w="10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0.70</w:t>
            </w:r>
          </w:p>
        </w:tc>
      </w:tr>
      <w:tr>
        <w:trPr>
          <w:trHeight w:val="146"/>
        </w:trPr>
        <w:tc>
          <w:tcPr>
            <w:tcW w:w="8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Dividends</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0.22</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Net income per Class B 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0.63</w:t>
            </w:r>
          </w:p>
        </w:tc>
        <w:tc>
          <w:tcPr>
            <w:tcW w:w="10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0.69</w:t>
            </w:r>
          </w:p>
        </w:tc>
      </w:tr>
      <w:tr>
        <w:trPr>
          <w:trHeight w:val="146"/>
        </w:trPr>
        <w:tc>
          <w:tcPr>
            <w:tcW w:w="8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0.68</w:t>
            </w:r>
          </w:p>
        </w:tc>
      </w:tr>
      <w:tr>
        <w:trPr>
          <w:trHeight w:val="142"/>
        </w:trPr>
        <w:tc>
          <w:tcPr>
            <w:tcW w:w="8480" w:type="dxa"/>
            <w:vAlign w:val="bottom"/>
          </w:tcPr>
          <w:p>
            <w:pPr>
              <w:ind w:left="140"/>
              <w:spacing w:after="0"/>
              <w:rPr>
                <w:sz w:val="20"/>
                <w:szCs w:val="20"/>
                <w:color w:val="auto"/>
              </w:rPr>
            </w:pPr>
            <w:r>
              <w:rPr>
                <w:rFonts w:ascii="Arial" w:cs="Arial" w:eastAsia="Arial" w:hAnsi="Arial"/>
                <w:sz w:val="11"/>
                <w:szCs w:val="11"/>
                <w:color w:val="auto"/>
              </w:rPr>
              <w:t>Dividends</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0.20</w:t>
            </w:r>
          </w:p>
        </w:tc>
        <w:tc>
          <w:tcPr>
            <w:tcW w:w="10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0.20</w:t>
            </w:r>
          </w:p>
        </w:tc>
      </w:tr>
      <w:tr>
        <w:trPr>
          <w:trHeight w:val="173"/>
        </w:trPr>
        <w:tc>
          <w:tcPr>
            <w:tcW w:w="8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42"/>
        </w:trPr>
        <w:tc>
          <w:tcPr>
            <w:tcW w:w="8480" w:type="dxa"/>
            <w:vAlign w:val="bottom"/>
          </w:tcPr>
          <w:p>
            <w:pPr>
              <w:spacing w:after="0"/>
              <w:rPr>
                <w:sz w:val="20"/>
                <w:szCs w:val="20"/>
                <w:color w:val="auto"/>
              </w:rPr>
            </w:pPr>
            <w:r>
              <w:rPr>
                <w:rFonts w:ascii="Arial" w:cs="Arial" w:eastAsia="Arial" w:hAnsi="Arial"/>
                <w:sz w:val="11"/>
                <w:szCs w:val="11"/>
                <w:color w:val="auto"/>
              </w:rPr>
              <w:t>Weighted average common shares outstanding:</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52,021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53,143</w:t>
            </w:r>
          </w:p>
        </w:tc>
      </w:tr>
      <w:tr>
        <w:trPr>
          <w:trHeight w:val="140"/>
        </w:trPr>
        <w:tc>
          <w:tcPr>
            <w:tcW w:w="8480" w:type="dxa"/>
            <w:vAlign w:val="bottom"/>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52,292</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53,736</w:t>
            </w:r>
          </w:p>
        </w:tc>
      </w:tr>
    </w:tbl>
    <w:p>
      <w:pPr>
        <w:sectPr>
          <w:pgSz w:w="11900" w:h="16838" w:orient="portrait"/>
          <w:cols w:equalWidth="0" w:num="1">
            <w:col w:w="11300"/>
          </w:cols>
          <w:pgMar w:left="300" w:top="562" w:right="299" w:bottom="1440" w:gutter="0" w:footer="0" w:header="0"/>
        </w:sectPr>
      </w:pPr>
    </w:p>
    <w:bookmarkStart w:id="7" w:name="page8"/>
    <w:bookmarkEnd w:id="7"/>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BALANCE SHEETS</w:t>
      </w:r>
    </w:p>
    <w:p>
      <w:pPr>
        <w:spacing w:after="0"/>
        <w:rPr>
          <w:sz w:val="20"/>
          <w:szCs w:val="20"/>
          <w:color w:val="auto"/>
        </w:rPr>
      </w:pPr>
      <w:r>
        <w:rPr>
          <w:rFonts w:ascii="Arial" w:cs="Arial" w:eastAsia="Arial" w:hAnsi="Arial"/>
          <w:sz w:val="11"/>
          <w:szCs w:val="11"/>
          <w:b w:val="1"/>
          <w:bCs w:val="1"/>
          <w:color w:val="auto"/>
        </w:rPr>
        <w:t>(Dollars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126"/>
              <w:spacing w:after="0"/>
              <w:rPr>
                <w:sz w:val="20"/>
                <w:szCs w:val="20"/>
                <w:color w:val="auto"/>
              </w:rPr>
            </w:pPr>
            <w:r>
              <w:rPr>
                <w:rFonts w:ascii="Arial" w:cs="Arial" w:eastAsia="Arial" w:hAnsi="Arial"/>
                <w:sz w:val="11"/>
                <w:szCs w:val="11"/>
                <w:color w:val="auto"/>
                <w:w w:val="87"/>
              </w:rPr>
              <w:t>October 31, 2020</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July 31, 2020</w:t>
            </w:r>
          </w:p>
        </w:tc>
      </w:tr>
      <w:tr>
        <w:trPr>
          <w:trHeight w:val="133"/>
        </w:trPr>
        <w:tc>
          <w:tcPr>
            <w:tcW w:w="3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1"/>
                <w:szCs w:val="11"/>
                <w:color w:val="auto"/>
                <w:w w:val="90"/>
              </w:rPr>
              <w:t>(Unaudited)</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26"/>
        </w:trPr>
        <w:tc>
          <w:tcPr>
            <w:tcW w:w="30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40" w:type="dxa"/>
            <w:vAlign w:val="bottom"/>
            <w:gridSpan w:val="3"/>
            <w:shd w:val="clear" w:color="auto" w:fill="CCEEFF"/>
          </w:tcPr>
          <w:p>
            <w:pPr>
              <w:jc w:val="center"/>
              <w:ind w:right="4040"/>
              <w:spacing w:after="0" w:line="119" w:lineRule="exact"/>
              <w:rPr>
                <w:sz w:val="20"/>
                <w:szCs w:val="20"/>
                <w:color w:val="auto"/>
              </w:rPr>
            </w:pPr>
            <w:r>
              <w:rPr>
                <w:rFonts w:ascii="Arial" w:cs="Arial" w:eastAsia="Arial" w:hAnsi="Arial"/>
                <w:sz w:val="11"/>
                <w:szCs w:val="11"/>
                <w:b w:val="1"/>
                <w:bCs w:val="1"/>
                <w:color w:val="auto"/>
                <w:w w:val="90"/>
              </w:rPr>
              <w:t>ASSETS</w:t>
            </w: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42"/>
        </w:trPr>
        <w:tc>
          <w:tcPr>
            <w:tcW w:w="4040" w:type="dxa"/>
            <w:vAlign w:val="bottom"/>
            <w:tcBorders>
              <w:top w:val="single" w:sz="8" w:color="CCEEFF"/>
            </w:tcBorders>
            <w:gridSpan w:val="2"/>
          </w:tcPr>
          <w:p>
            <w:pPr>
              <w:spacing w:after="0"/>
              <w:rPr>
                <w:sz w:val="20"/>
                <w:szCs w:val="20"/>
                <w:color w:val="auto"/>
              </w:rPr>
            </w:pPr>
            <w:r>
              <w:rPr>
                <w:rFonts w:ascii="Arial" w:cs="Arial" w:eastAsia="Arial" w:hAnsi="Arial"/>
                <w:sz w:val="11"/>
                <w:szCs w:val="11"/>
                <w:color w:val="auto"/>
              </w:rPr>
              <w:t>Current assets:</w:t>
            </w:r>
          </w:p>
        </w:tc>
        <w:tc>
          <w:tcPr>
            <w:tcW w:w="400" w:type="dxa"/>
            <w:vAlign w:val="bottom"/>
            <w:tcBorders>
              <w:top w:val="single" w:sz="8" w:color="auto"/>
            </w:tcBorders>
          </w:tcPr>
          <w:p>
            <w:pPr>
              <w:spacing w:after="0"/>
              <w:rPr>
                <w:sz w:val="12"/>
                <w:szCs w:val="12"/>
                <w:color w:val="auto"/>
              </w:rPr>
            </w:pPr>
          </w:p>
        </w:tc>
        <w:tc>
          <w:tcPr>
            <w:tcW w:w="4040" w:type="dxa"/>
            <w:vAlign w:val="bottom"/>
            <w:tcBorders>
              <w:top w:val="single" w:sz="8" w:color="CCEEFF"/>
            </w:tcBorders>
            <w:gridSpan w:val="2"/>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Cash and cash equivalents</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256,333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217,643</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Accounts receivable, net of allowance for credit losses of $7,704 and $7,157, respectively</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156,735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146,181</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Inventories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120,220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135,662</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Arial" w:cs="Arial" w:eastAsia="Arial" w:hAnsi="Arial"/>
                <w:sz w:val="11"/>
                <w:szCs w:val="11"/>
                <w:color w:val="auto"/>
              </w:rPr>
              <w:t>Prepaid expenses and other current assets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11,489</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9,962</w:t>
            </w:r>
          </w:p>
        </w:tc>
      </w:tr>
      <w:tr>
        <w:trPr>
          <w:trHeight w:val="135"/>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Total current assets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544,777</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509,448</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Property, plant and equipment—net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119,960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115,068</w:t>
            </w:r>
          </w:p>
        </w:tc>
      </w:tr>
      <w:tr>
        <w:trPr>
          <w:trHeight w:val="146"/>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Goodwill</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412,718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416,034</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Other intangible assets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20,910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22,334</w:t>
            </w:r>
          </w:p>
        </w:tc>
      </w:tr>
      <w:tr>
        <w:trPr>
          <w:trHeight w:val="146"/>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Deferred income taxes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8,976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8,845</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Operating lease assets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41,013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41,899</w:t>
            </w:r>
          </w:p>
        </w:tc>
      </w:tr>
      <w:tr>
        <w:trPr>
          <w:trHeight w:val="144"/>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Other assets</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27,353</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28,838</w:t>
            </w:r>
          </w:p>
        </w:tc>
      </w:tr>
      <w:tr>
        <w:trPr>
          <w:trHeight w:val="151"/>
        </w:trPr>
        <w:tc>
          <w:tcPr>
            <w:tcW w:w="8480" w:type="dxa"/>
            <w:vAlign w:val="bottom"/>
            <w:tcBorders>
              <w:bottom w:val="single" w:sz="8" w:color="CCEEFF"/>
            </w:tcBorders>
            <w:gridSpan w:val="5"/>
          </w:tcPr>
          <w:p>
            <w:pPr>
              <w:spacing w:after="0"/>
              <w:rPr>
                <w:sz w:val="20"/>
                <w:szCs w:val="20"/>
                <w:color w:val="auto"/>
              </w:rPr>
            </w:pPr>
            <w:r>
              <w:rPr>
                <w:rFonts w:ascii="Arial" w:cs="Arial" w:eastAsia="Arial" w:hAnsi="Arial"/>
                <w:sz w:val="11"/>
                <w:szCs w:val="11"/>
                <w:color w:val="auto"/>
              </w:rPr>
              <w:t>Total</w:t>
            </w: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1,175,707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1,142,466</w:t>
            </w:r>
          </w:p>
        </w:tc>
      </w:tr>
      <w:tr>
        <w:trPr>
          <w:trHeight w:val="106"/>
        </w:trPr>
        <w:tc>
          <w:tcPr>
            <w:tcW w:w="3060" w:type="dxa"/>
            <w:vAlign w:val="bottom"/>
            <w:tcBorders>
              <w:bottom w:val="single" w:sz="8" w:color="CCEEFF"/>
            </w:tcBorders>
            <w:shd w:val="clear" w:color="auto" w:fill="CCEEFF"/>
          </w:tcPr>
          <w:p>
            <w:pPr>
              <w:spacing w:after="0"/>
              <w:rPr>
                <w:sz w:val="9"/>
                <w:szCs w:val="9"/>
                <w:color w:val="auto"/>
              </w:rPr>
            </w:pPr>
          </w:p>
        </w:tc>
        <w:tc>
          <w:tcPr>
            <w:tcW w:w="2360" w:type="dxa"/>
            <w:vAlign w:val="bottom"/>
            <w:tcBorders>
              <w:bottom w:val="single" w:sz="8" w:color="auto"/>
            </w:tcBorders>
            <w:gridSpan w:val="3"/>
            <w:shd w:val="clear" w:color="auto" w:fill="CCEEFF"/>
          </w:tcPr>
          <w:p>
            <w:pPr>
              <w:jc w:val="center"/>
              <w:spacing w:after="0" w:line="99" w:lineRule="exact"/>
              <w:rPr>
                <w:sz w:val="20"/>
                <w:szCs w:val="20"/>
                <w:color w:val="auto"/>
              </w:rPr>
            </w:pPr>
            <w:r>
              <w:rPr>
                <w:rFonts w:ascii="Arial" w:cs="Arial" w:eastAsia="Arial" w:hAnsi="Arial"/>
                <w:sz w:val="11"/>
                <w:szCs w:val="11"/>
                <w:b w:val="1"/>
                <w:bCs w:val="1"/>
                <w:color w:val="auto"/>
              </w:rPr>
              <w:t>LIABILITIES AND STOCKHOLDERS’ EQUITY</w:t>
            </w:r>
          </w:p>
        </w:tc>
        <w:tc>
          <w:tcPr>
            <w:tcW w:w="306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Current liabilities:</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Accounts payable</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62,907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62,547</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Accrued compensation and benefits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55,410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41,546</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Taxes, other than income taxes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8,497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8,057</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Accrued income taxes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10,707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8,652</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Current operating lease liabilities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16,097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15,304</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Arial" w:cs="Arial" w:eastAsia="Arial" w:hAnsi="Arial"/>
                <w:sz w:val="11"/>
                <w:szCs w:val="11"/>
                <w:color w:val="auto"/>
              </w:rPr>
              <w:t>Other current liabilities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51,343</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49,782</w:t>
            </w:r>
          </w:p>
        </w:tc>
      </w:tr>
      <w:tr>
        <w:trPr>
          <w:trHeight w:val="135"/>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Total current liabilities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204,961</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185,888</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Long-term operating lease liabilities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29,951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31,982</w:t>
            </w:r>
          </w:p>
        </w:tc>
      </w:tr>
      <w:tr>
        <w:trPr>
          <w:trHeight w:val="146"/>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Other liabilities</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60,394</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61,524</w:t>
            </w:r>
          </w:p>
        </w:tc>
      </w:tr>
      <w:tr>
        <w:trPr>
          <w:trHeight w:val="131"/>
        </w:trPr>
        <w:tc>
          <w:tcPr>
            <w:tcW w:w="8480" w:type="dxa"/>
            <w:vAlign w:val="bottom"/>
            <w:gridSpan w:val="5"/>
          </w:tcPr>
          <w:p>
            <w:pPr>
              <w:ind w:left="360"/>
              <w:spacing w:after="0"/>
              <w:rPr>
                <w:sz w:val="20"/>
                <w:szCs w:val="20"/>
                <w:color w:val="auto"/>
              </w:rPr>
            </w:pPr>
            <w:r>
              <w:rPr>
                <w:rFonts w:ascii="Arial" w:cs="Arial" w:eastAsia="Arial" w:hAnsi="Arial"/>
                <w:sz w:val="11"/>
                <w:szCs w:val="11"/>
                <w:color w:val="auto"/>
              </w:rPr>
              <w:t>Total liabilities</w:t>
            </w:r>
          </w:p>
        </w:tc>
        <w:tc>
          <w:tcPr>
            <w:tcW w:w="2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295,306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279,394</w:t>
            </w:r>
          </w:p>
        </w:tc>
      </w:tr>
      <w:tr>
        <w:trPr>
          <w:trHeight w:val="146"/>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Stockholders’ equity:</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Common stock:</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Class A nonvoting common stock—Issued 51,261,487 shares, and outstanding 48,497,649 and 48,456,954 shares, respectively</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513</w:t>
            </w:r>
          </w:p>
        </w:tc>
      </w:tr>
      <w:tr>
        <w:trPr>
          <w:trHeight w:val="142"/>
        </w:trPr>
        <w:tc>
          <w:tcPr>
            <w:tcW w:w="8480" w:type="dxa"/>
            <w:vAlign w:val="bottom"/>
            <w:gridSpan w:val="5"/>
          </w:tcPr>
          <w:p>
            <w:pPr>
              <w:ind w:left="360"/>
              <w:spacing w:after="0"/>
              <w:rPr>
                <w:sz w:val="20"/>
                <w:szCs w:val="20"/>
                <w:color w:val="auto"/>
              </w:rPr>
            </w:pPr>
            <w:r>
              <w:rPr>
                <w:rFonts w:ascii="Arial" w:cs="Arial" w:eastAsia="Arial" w:hAnsi="Arial"/>
                <w:sz w:val="11"/>
                <w:szCs w:val="11"/>
                <w:color w:val="auto"/>
              </w:rPr>
              <w:t>Class B voting common stock—Issued and outstanding, 3,538,628 shares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35</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Additional paid-in capital</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332,121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331,761</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Retained earnings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726,546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704,456</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Treasury stock—2,763,838 and 2,804,533 shares, respectively of Class A nonvoting common stock, at cost</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(109,146)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(107,216)</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Arial" w:cs="Arial" w:eastAsia="Arial" w:hAnsi="Arial"/>
                <w:sz w:val="11"/>
                <w:szCs w:val="11"/>
                <w:color w:val="auto"/>
              </w:rPr>
              <w:t>Accumulated other comprehensive loss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(69,668)</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(66,477)</w:t>
            </w:r>
          </w:p>
        </w:tc>
      </w:tr>
      <w:tr>
        <w:trPr>
          <w:trHeight w:val="133"/>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Total stockholders’ equity</w:t>
            </w:r>
          </w:p>
        </w:tc>
        <w:tc>
          <w:tcPr>
            <w:tcW w:w="20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880,401</w:t>
            </w: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863,072</w:t>
            </w:r>
          </w:p>
        </w:tc>
      </w:tr>
      <w:tr>
        <w:trPr>
          <w:trHeight w:val="135"/>
        </w:trPr>
        <w:tc>
          <w:tcPr>
            <w:tcW w:w="8480" w:type="dxa"/>
            <w:vAlign w:val="bottom"/>
            <w:gridSpan w:val="5"/>
          </w:tcPr>
          <w:p>
            <w:pPr>
              <w:spacing w:after="0"/>
              <w:rPr>
                <w:sz w:val="20"/>
                <w:szCs w:val="20"/>
                <w:color w:val="auto"/>
              </w:rPr>
            </w:pPr>
            <w:r>
              <w:rPr>
                <w:rFonts w:ascii="Arial" w:cs="Arial" w:eastAsia="Arial" w:hAnsi="Arial"/>
                <w:sz w:val="11"/>
                <w:szCs w:val="11"/>
                <w:color w:val="auto"/>
              </w:rPr>
              <w:t>Total</w:t>
            </w: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1,175,707</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1,142,466</w:t>
            </w:r>
          </w:p>
        </w:tc>
      </w:tr>
      <w:tr>
        <w:trPr>
          <w:trHeight w:val="20"/>
        </w:trPr>
        <w:tc>
          <w:tcPr>
            <w:tcW w:w="3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2" w:right="299" w:bottom="1440" w:gutter="0" w:footer="0" w:header="0"/>
        </w:sectPr>
      </w:pPr>
    </w:p>
    <w:bookmarkStart w:id="8" w:name="page9"/>
    <w:bookmarkEnd w:id="8"/>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CASH FLOWS</w:t>
      </w: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1"/>
                <w:szCs w:val="11"/>
                <w:color w:val="auto"/>
              </w:rPr>
              <w:t>Three months ended October 31,</w:t>
            </w:r>
          </w:p>
        </w:tc>
        <w:tc>
          <w:tcPr>
            <w:tcW w:w="48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2020</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1"/>
                <w:szCs w:val="11"/>
                <w:color w:val="auto"/>
              </w:rPr>
              <w:t>2019</w:t>
            </w:r>
          </w:p>
        </w:tc>
        <w:tc>
          <w:tcPr>
            <w:tcW w:w="480" w:type="dxa"/>
            <w:vAlign w:val="bottom"/>
            <w:tcBorders>
              <w:bottom w:val="single" w:sz="8" w:color="auto"/>
            </w:tcBorders>
          </w:tcPr>
          <w:p>
            <w:pPr>
              <w:spacing w:after="0"/>
              <w:rPr>
                <w:sz w:val="11"/>
                <w:szCs w:val="11"/>
                <w:color w:val="auto"/>
              </w:rPr>
            </w:pPr>
          </w:p>
        </w:tc>
      </w:tr>
      <w:tr>
        <w:trPr>
          <w:trHeight w:val="126"/>
        </w:trPr>
        <w:tc>
          <w:tcPr>
            <w:tcW w:w="8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Operating activities:</w:t>
            </w: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142"/>
        </w:trPr>
        <w:tc>
          <w:tcPr>
            <w:tcW w:w="8480" w:type="dxa"/>
            <w:vAlign w:val="bottom"/>
          </w:tcPr>
          <w:p>
            <w:pPr>
              <w:ind w:left="220"/>
              <w:spacing w:after="0"/>
              <w:rPr>
                <w:sz w:val="20"/>
                <w:szCs w:val="20"/>
                <w:color w:val="auto"/>
              </w:rPr>
            </w:pPr>
            <w:r>
              <w:rPr>
                <w:rFonts w:ascii="Arial" w:cs="Arial" w:eastAsia="Arial" w:hAnsi="Arial"/>
                <w:sz w:val="11"/>
                <w:szCs w:val="11"/>
                <w:color w:val="auto"/>
              </w:rPr>
              <w:t>Net income</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33,481</w:t>
            </w:r>
          </w:p>
        </w:tc>
        <w:tc>
          <w:tcPr>
            <w:tcW w:w="100" w:type="dxa"/>
            <w:vAlign w:val="bottom"/>
          </w:tcPr>
          <w:p>
            <w:pPr>
              <w:spacing w:after="0"/>
              <w:rPr>
                <w:sz w:val="12"/>
                <w:szCs w:val="12"/>
                <w:color w:val="auto"/>
              </w:rPr>
            </w:pPr>
          </w:p>
        </w:tc>
        <w:tc>
          <w:tcPr>
            <w:tcW w:w="88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37,498</w:t>
            </w:r>
          </w:p>
        </w:tc>
      </w:tr>
      <w:tr>
        <w:trPr>
          <w:trHeight w:val="146"/>
        </w:trPr>
        <w:tc>
          <w:tcPr>
            <w:tcW w:w="84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Depreciation and amortization</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5,635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5,634</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Stock-based compensation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3,574</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3,618</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Deferred income taxes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(1,175)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1,009</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Equity in losses of unconsolidated affiliate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Other</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(266)</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1,533</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Changes in operating assets and liabilities: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740"/>
              <w:spacing w:after="0"/>
              <w:rPr>
                <w:sz w:val="20"/>
                <w:szCs w:val="20"/>
                <w:color w:val="auto"/>
              </w:rPr>
            </w:pPr>
            <w:r>
              <w:rPr>
                <w:rFonts w:ascii="Arial" w:cs="Arial" w:eastAsia="Arial" w:hAnsi="Arial"/>
                <w:sz w:val="11"/>
                <w:szCs w:val="11"/>
                <w:color w:val="auto"/>
              </w:rPr>
              <w:t>Accounts receivable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(11,371)</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(4,362)</w:t>
            </w:r>
          </w:p>
        </w:tc>
      </w:tr>
      <w:tr>
        <w:trPr>
          <w:trHeight w:val="146"/>
        </w:trPr>
        <w:tc>
          <w:tcPr>
            <w:tcW w:w="8480" w:type="dxa"/>
            <w:vAlign w:val="bottom"/>
            <w:shd w:val="clear" w:color="auto" w:fill="CCEEFF"/>
          </w:tcPr>
          <w:p>
            <w:pPr>
              <w:ind w:left="740"/>
              <w:spacing w:after="0"/>
              <w:rPr>
                <w:sz w:val="20"/>
                <w:szCs w:val="20"/>
                <w:color w:val="auto"/>
              </w:rPr>
            </w:pPr>
            <w:r>
              <w:rPr>
                <w:rFonts w:ascii="Arial" w:cs="Arial" w:eastAsia="Arial" w:hAnsi="Arial"/>
                <w:sz w:val="11"/>
                <w:szCs w:val="11"/>
                <w:color w:val="auto"/>
              </w:rPr>
              <w:t>Inventories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14,758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w:t>
            </w:r>
          </w:p>
        </w:tc>
      </w:tr>
      <w:tr>
        <w:trPr>
          <w:trHeight w:val="142"/>
        </w:trPr>
        <w:tc>
          <w:tcPr>
            <w:tcW w:w="8480" w:type="dxa"/>
            <w:vAlign w:val="bottom"/>
          </w:tcPr>
          <w:p>
            <w:pPr>
              <w:ind w:left="740"/>
              <w:spacing w:after="0"/>
              <w:rPr>
                <w:sz w:val="20"/>
                <w:szCs w:val="20"/>
                <w:color w:val="auto"/>
              </w:rPr>
            </w:pPr>
            <w:r>
              <w:rPr>
                <w:rFonts w:ascii="Arial" w:cs="Arial" w:eastAsia="Arial" w:hAnsi="Arial"/>
                <w:sz w:val="11"/>
                <w:szCs w:val="11"/>
                <w:color w:val="auto"/>
              </w:rPr>
              <w:t>Prepaid expenses and other assets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(1,398)</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(1,404)</w:t>
            </w:r>
          </w:p>
        </w:tc>
      </w:tr>
      <w:tr>
        <w:trPr>
          <w:trHeight w:val="146"/>
        </w:trPr>
        <w:tc>
          <w:tcPr>
            <w:tcW w:w="8480" w:type="dxa"/>
            <w:vAlign w:val="bottom"/>
            <w:shd w:val="clear" w:color="auto" w:fill="CCEEFF"/>
          </w:tcPr>
          <w:p>
            <w:pPr>
              <w:ind w:left="740"/>
              <w:spacing w:after="0"/>
              <w:rPr>
                <w:sz w:val="20"/>
                <w:szCs w:val="20"/>
                <w:color w:val="auto"/>
              </w:rPr>
            </w:pPr>
            <w:r>
              <w:rPr>
                <w:rFonts w:ascii="Arial" w:cs="Arial" w:eastAsia="Arial" w:hAnsi="Arial"/>
                <w:sz w:val="11"/>
                <w:szCs w:val="11"/>
                <w:color w:val="auto"/>
              </w:rPr>
              <w:t>Accounts payable and accrued liabilities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17,363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(5,193)</w:t>
            </w:r>
          </w:p>
        </w:tc>
      </w:tr>
      <w:tr>
        <w:trPr>
          <w:trHeight w:val="142"/>
        </w:trPr>
        <w:tc>
          <w:tcPr>
            <w:tcW w:w="8480" w:type="dxa"/>
            <w:vAlign w:val="bottom"/>
            <w:tcBorders>
              <w:bottom w:val="single" w:sz="8" w:color="CCEEFF"/>
            </w:tcBorders>
          </w:tcPr>
          <w:p>
            <w:pPr>
              <w:ind w:left="740"/>
              <w:spacing w:after="0"/>
              <w:rPr>
                <w:sz w:val="20"/>
                <w:szCs w:val="20"/>
                <w:color w:val="auto"/>
              </w:rPr>
            </w:pPr>
            <w:r>
              <w:rPr>
                <w:rFonts w:ascii="Arial" w:cs="Arial" w:eastAsia="Arial" w:hAnsi="Arial"/>
                <w:sz w:val="11"/>
                <w:szCs w:val="11"/>
                <w:color w:val="auto"/>
              </w:rPr>
              <w:t>Income taxes</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2,063</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266</w:t>
            </w:r>
          </w:p>
        </w:tc>
      </w:tr>
      <w:tr>
        <w:trPr>
          <w:trHeight w:val="135"/>
        </w:trPr>
        <w:tc>
          <w:tcPr>
            <w:tcW w:w="8480" w:type="dxa"/>
            <w:vAlign w:val="bottom"/>
            <w:shd w:val="clear" w:color="auto" w:fill="CCEEFF"/>
          </w:tcPr>
          <w:p>
            <w:pPr>
              <w:ind w:left="1000"/>
              <w:spacing w:after="0" w:line="122" w:lineRule="exact"/>
              <w:rPr>
                <w:sz w:val="20"/>
                <w:szCs w:val="20"/>
                <w:color w:val="auto"/>
              </w:rPr>
            </w:pPr>
            <w:r>
              <w:rPr>
                <w:rFonts w:ascii="Arial" w:cs="Arial" w:eastAsia="Arial" w:hAnsi="Arial"/>
                <w:sz w:val="11"/>
                <w:szCs w:val="11"/>
                <w:color w:val="auto"/>
              </w:rPr>
              <w:t>Net cash provided by operating activities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62,838</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38,848</w:t>
            </w:r>
          </w:p>
        </w:tc>
      </w:tr>
      <w:tr>
        <w:trPr>
          <w:trHeight w:val="144"/>
        </w:trPr>
        <w:tc>
          <w:tcPr>
            <w:tcW w:w="8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Investing activities: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Purchases of property, plant and equipment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(9,321)</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(7,724)</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119</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527</w:t>
            </w:r>
          </w:p>
        </w:tc>
      </w:tr>
      <w:tr>
        <w:trPr>
          <w:trHeight w:val="131"/>
        </w:trPr>
        <w:tc>
          <w:tcPr>
            <w:tcW w:w="8480" w:type="dxa"/>
            <w:vAlign w:val="bottom"/>
          </w:tcPr>
          <w:p>
            <w:pPr>
              <w:ind w:left="1000"/>
              <w:spacing w:after="0" w:line="120" w:lineRule="exact"/>
              <w:rPr>
                <w:sz w:val="20"/>
                <w:szCs w:val="20"/>
                <w:color w:val="auto"/>
              </w:rPr>
            </w:pPr>
            <w:r>
              <w:rPr>
                <w:rFonts w:ascii="Arial" w:cs="Arial" w:eastAsia="Arial" w:hAnsi="Arial"/>
                <w:sz w:val="11"/>
                <w:szCs w:val="11"/>
                <w:color w:val="auto"/>
              </w:rPr>
              <w:t>Net cash used in investing activities</w:t>
            </w: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(9,202)</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(7,197)</w:t>
            </w:r>
          </w:p>
        </w:tc>
      </w:tr>
      <w:tr>
        <w:trPr>
          <w:trHeight w:val="173"/>
        </w:trPr>
        <w:tc>
          <w:tcPr>
            <w:tcW w:w="8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42"/>
        </w:trPr>
        <w:tc>
          <w:tcPr>
            <w:tcW w:w="8480" w:type="dxa"/>
            <w:vAlign w:val="bottom"/>
          </w:tcPr>
          <w:p>
            <w:pPr>
              <w:spacing w:after="0"/>
              <w:rPr>
                <w:sz w:val="20"/>
                <w:szCs w:val="20"/>
                <w:color w:val="auto"/>
              </w:rPr>
            </w:pPr>
            <w:r>
              <w:rPr>
                <w:rFonts w:ascii="Arial" w:cs="Arial" w:eastAsia="Arial" w:hAnsi="Arial"/>
                <w:sz w:val="11"/>
                <w:szCs w:val="11"/>
                <w:color w:val="auto"/>
              </w:rPr>
              <w:t>Financing activities: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Payment of dividends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(11,391)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(11,533)</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Proceeds from exercise of stock options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3,411</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Payments for employee taxes withheld from stock-based awards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(2,617)</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(7,269)</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Purchase of treasury stock</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(2,720)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w:t>
            </w:r>
          </w:p>
        </w:tc>
      </w:tr>
      <w:tr>
        <w:trPr>
          <w:trHeight w:val="131"/>
        </w:trPr>
        <w:tc>
          <w:tcPr>
            <w:tcW w:w="8480" w:type="dxa"/>
            <w:vAlign w:val="bottom"/>
          </w:tcPr>
          <w:p>
            <w:pPr>
              <w:ind w:left="1000"/>
              <w:spacing w:after="0" w:line="120" w:lineRule="exact"/>
              <w:rPr>
                <w:sz w:val="20"/>
                <w:szCs w:val="20"/>
                <w:color w:val="auto"/>
              </w:rPr>
            </w:pPr>
            <w:r>
              <w:rPr>
                <w:rFonts w:ascii="Arial" w:cs="Arial" w:eastAsia="Arial" w:hAnsi="Arial"/>
                <w:sz w:val="11"/>
                <w:szCs w:val="11"/>
                <w:color w:val="auto"/>
              </w:rPr>
              <w:t>Net cash used in financing activities</w:t>
            </w: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(16,551)</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(15,326)</w:t>
            </w:r>
          </w:p>
        </w:tc>
      </w:tr>
      <w:tr>
        <w:trPr>
          <w:trHeight w:val="173"/>
        </w:trPr>
        <w:tc>
          <w:tcPr>
            <w:tcW w:w="8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42"/>
        </w:trPr>
        <w:tc>
          <w:tcPr>
            <w:tcW w:w="84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Effect of exchange rate changes on cash</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1,605</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(304)</w:t>
            </w:r>
          </w:p>
        </w:tc>
      </w:tr>
      <w:tr>
        <w:trPr>
          <w:trHeight w:val="153"/>
        </w:trPr>
        <w:tc>
          <w:tcPr>
            <w:tcW w:w="8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r>
      <w:tr>
        <w:trPr>
          <w:trHeight w:val="142"/>
        </w:trPr>
        <w:tc>
          <w:tcPr>
            <w:tcW w:w="8480" w:type="dxa"/>
            <w:vAlign w:val="bottom"/>
          </w:tcPr>
          <w:p>
            <w:pPr>
              <w:spacing w:after="0"/>
              <w:rPr>
                <w:sz w:val="20"/>
                <w:szCs w:val="20"/>
                <w:color w:val="auto"/>
              </w:rPr>
            </w:pPr>
            <w:r>
              <w:rPr>
                <w:rFonts w:ascii="Arial" w:cs="Arial" w:eastAsia="Arial" w:hAnsi="Arial"/>
                <w:sz w:val="11"/>
                <w:szCs w:val="11"/>
                <w:color w:val="auto"/>
              </w:rPr>
              <w:t>Net increase in cash and cash equivalents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38,690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16,021</w:t>
            </w: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 beginning of period</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217,643</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279,072</w:t>
            </w:r>
          </w:p>
        </w:tc>
      </w:tr>
      <w:tr>
        <w:trPr>
          <w:trHeight w:val="153"/>
        </w:trPr>
        <w:tc>
          <w:tcPr>
            <w:tcW w:w="8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60"/>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Cash and cash equivalents, end of period</w:t>
            </w:r>
          </w:p>
        </w:tc>
        <w:tc>
          <w:tcPr>
            <w:tcW w:w="880" w:type="dxa"/>
            <w:vAlign w:val="bottom"/>
            <w:tcBorders>
              <w:bottom w:val="single" w:sz="8" w:color="auto"/>
            </w:tcBorders>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256,333</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295,093</w:t>
            </w:r>
          </w:p>
        </w:tc>
      </w:tr>
    </w:tbl>
    <w:p>
      <w:pPr>
        <w:sectPr>
          <w:pgSz w:w="11900" w:h="16838" w:orient="portrait"/>
          <w:cols w:equalWidth="0" w:num="1">
            <w:col w:w="11300"/>
          </w:cols>
          <w:pgMar w:left="300" w:top="562" w:right="299" w:bottom="1440" w:gutter="0" w:footer="0" w:header="0"/>
        </w:sectPr>
      </w:pPr>
    </w:p>
    <w:bookmarkStart w:id="9" w:name="page10"/>
    <w:bookmarkEnd w:id="9"/>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SEGMENT INFORMATION</w:t>
      </w: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46" w:lineRule="exact"/>
        <w:rPr>
          <w:sz w:val="20"/>
          <w:szCs w:val="20"/>
          <w:color w:val="auto"/>
        </w:rPr>
      </w:pPr>
    </w:p>
    <w:p>
      <w:pPr>
        <w:jc w:val="right"/>
        <w:ind w:right="780"/>
        <w:spacing w:after="0"/>
        <w:rPr>
          <w:sz w:val="20"/>
          <w:szCs w:val="20"/>
          <w:color w:val="auto"/>
        </w:rPr>
      </w:pPr>
      <w:r>
        <w:rPr>
          <w:rFonts w:ascii="Arial" w:cs="Arial" w:eastAsia="Arial" w:hAnsi="Arial"/>
          <w:sz w:val="11"/>
          <w:szCs w:val="1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5287010</wp:posOffset>
            </wp:positionH>
            <wp:positionV relativeFrom="paragraph">
              <wp:posOffset>8890</wp:posOffset>
            </wp:positionV>
            <wp:extent cx="188595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0" cy="5715"/>
                    </a:xfrm>
                    <a:prstGeom prst="rect">
                      <a:avLst/>
                    </a:prstGeom>
                    <a:noFill/>
                  </pic:spPr>
                </pic:pic>
              </a:graphicData>
            </a:graphic>
          </wp:anchor>
        </w:drawing>
      </w:r>
    </w:p>
    <w:p>
      <w:pPr>
        <w:sectPr>
          <w:pgSz w:w="11900" w:h="16838" w:orient="portrait"/>
          <w:cols w:equalWidth="0" w:num="1">
            <w:col w:w="11300"/>
          </w:cols>
          <w:pgMar w:left="300" w:top="562" w:right="29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NET SALES</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1"/>
          <w:szCs w:val="11"/>
          <w:color w:val="auto"/>
        </w:rPr>
        <w:t>ID Solutions</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Workplace Safety</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Total</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SALES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ID Solutions</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Organic</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Currency</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Total</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Workplace Safety</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Organic</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Currency</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Total</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Total Company</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Organic</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Currency</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Total</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SEGMENT PROFIT</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1"/>
          <w:szCs w:val="11"/>
          <w:color w:val="auto"/>
        </w:rPr>
        <w:t>ID Solutions</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Workplace Safety</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Total</w:t>
      </w:r>
    </w:p>
    <w:p>
      <w:pPr>
        <w:spacing w:after="0" w:line="1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SEGMENT PROFIT AS A PERCENT OF NET SALES</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1"/>
          <w:szCs w:val="11"/>
          <w:color w:val="auto"/>
        </w:rPr>
        <w:t>ID Solutions</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Workplace Safety</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Total</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rPr>
              <w:t>2020</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color w:val="auto"/>
              </w:rPr>
              <w:t>2019</w:t>
            </w:r>
          </w:p>
        </w:tc>
      </w:tr>
      <w:tr>
        <w:trPr>
          <w:trHeight w:val="266"/>
        </w:trPr>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198,192</w:t>
            </w:r>
          </w:p>
        </w:tc>
        <w:tc>
          <w:tcPr>
            <w:tcW w:w="100" w:type="dxa"/>
            <w:vAlign w:val="bottom"/>
          </w:tcPr>
          <w:p>
            <w:pPr>
              <w:spacing w:after="0"/>
              <w:rPr>
                <w:sz w:val="23"/>
                <w:szCs w:val="23"/>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86"/>
              <w:spacing w:after="0"/>
              <w:rPr>
                <w:sz w:val="20"/>
                <w:szCs w:val="20"/>
                <w:color w:val="auto"/>
              </w:rPr>
            </w:pPr>
            <w:r>
              <w:rPr>
                <w:rFonts w:ascii="Arial" w:cs="Arial" w:eastAsia="Arial" w:hAnsi="Arial"/>
                <w:sz w:val="11"/>
                <w:szCs w:val="11"/>
                <w:color w:val="auto"/>
              </w:rPr>
              <w:t>214,987</w:t>
            </w:r>
          </w:p>
        </w:tc>
      </w:tr>
      <w:tr>
        <w:trPr>
          <w:trHeight w:val="146"/>
        </w:trPr>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79,035</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71,960</w:t>
            </w:r>
          </w:p>
        </w:tc>
      </w:tr>
      <w:tr>
        <w:trPr>
          <w:trHeight w:val="133"/>
        </w:trPr>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277,227</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286,947</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-393700</wp:posOffset>
            </wp:positionV>
            <wp:extent cx="7178040" cy="91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-210820</wp:posOffset>
            </wp:positionV>
            <wp:extent cx="7178040" cy="91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-10795</wp:posOffset>
            </wp:positionV>
            <wp:extent cx="7178040" cy="1085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188595</wp:posOffset>
            </wp:positionV>
            <wp:extent cx="7178040" cy="91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(8.4)%</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(0.2)%</w:t>
            </w:r>
          </w:p>
        </w:tc>
      </w:tr>
      <w:tr>
        <w:trPr>
          <w:trHeight w:val="146"/>
        </w:trPr>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0.6 %</w:t>
            </w: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w:t>
            </w:r>
          </w:p>
        </w:tc>
      </w:tr>
      <w:tr>
        <w:trPr>
          <w:trHeight w:val="133"/>
        </w:trPr>
        <w:tc>
          <w:tcPr>
            <w:tcW w:w="5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5.5 %</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(0.8)%</w:t>
            </w:r>
          </w:p>
        </w:tc>
      </w:tr>
      <w:tr>
        <w:trPr>
          <w:trHeight w:val="146"/>
        </w:trPr>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4.3 %</w:t>
            </w: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w:t>
            </w:r>
          </w:p>
        </w:tc>
      </w:tr>
      <w:tr>
        <w:trPr>
          <w:trHeight w:val="133"/>
        </w:trPr>
        <w:tc>
          <w:tcPr>
            <w:tcW w:w="5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9.8 %</w:t>
            </w:r>
          </w:p>
        </w:tc>
        <w:tc>
          <w:tcPr>
            <w:tcW w:w="1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(0.4)%</w:t>
            </w:r>
          </w:p>
        </w:tc>
      </w:tr>
      <w:tr>
        <w:trPr>
          <w:trHeight w:val="146"/>
        </w:trPr>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1.5 %</w:t>
            </w: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w:t>
            </w:r>
          </w:p>
        </w:tc>
      </w:tr>
      <w:tr>
        <w:trPr>
          <w:trHeight w:val="133"/>
        </w:trPr>
        <w:tc>
          <w:tcPr>
            <w:tcW w:w="5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15"/>
        </w:trPr>
        <w:tc>
          <w:tcPr>
            <w:tcW w:w="540" w:type="dxa"/>
            <w:vAlign w:val="bottom"/>
          </w:tcPr>
          <w:p>
            <w:pPr>
              <w:jc w:val="right"/>
              <w:ind w:right="406"/>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40,279</w:t>
            </w:r>
          </w:p>
        </w:tc>
        <w:tc>
          <w:tcPr>
            <w:tcW w:w="100" w:type="dxa"/>
            <w:vAlign w:val="bottom"/>
          </w:tcPr>
          <w:p>
            <w:pPr>
              <w:spacing w:after="0"/>
              <w:rPr>
                <w:sz w:val="24"/>
                <w:szCs w:val="24"/>
                <w:color w:val="auto"/>
              </w:rPr>
            </w:pPr>
          </w:p>
        </w:tc>
        <w:tc>
          <w:tcPr>
            <w:tcW w:w="540" w:type="dxa"/>
            <w:vAlign w:val="bottom"/>
          </w:tcPr>
          <w:p>
            <w:pPr>
              <w:jc w:val="right"/>
              <w:ind w:right="43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86"/>
              <w:spacing w:after="0"/>
              <w:rPr>
                <w:sz w:val="20"/>
                <w:szCs w:val="20"/>
                <w:color w:val="auto"/>
              </w:rPr>
            </w:pPr>
            <w:r>
              <w:rPr>
                <w:rFonts w:ascii="Arial" w:cs="Arial" w:eastAsia="Arial" w:hAnsi="Arial"/>
                <w:sz w:val="11"/>
                <w:szCs w:val="11"/>
                <w:color w:val="auto"/>
              </w:rPr>
              <w:t>42,443</w:t>
            </w:r>
          </w:p>
        </w:tc>
      </w:tr>
      <w:tr>
        <w:trPr>
          <w:trHeight w:val="146"/>
        </w:trPr>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7,988</w:t>
            </w: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5,157</w:t>
            </w:r>
          </w:p>
        </w:tc>
      </w:tr>
      <w:tr>
        <w:trPr>
          <w:trHeight w:val="133"/>
        </w:trPr>
        <w:tc>
          <w:tcPr>
            <w:tcW w:w="54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48,267</w:t>
            </w:r>
          </w:p>
        </w:tc>
        <w:tc>
          <w:tcPr>
            <w:tcW w:w="100" w:type="dxa"/>
            <w:vAlign w:val="bottom"/>
          </w:tcPr>
          <w:p>
            <w:pPr>
              <w:spacing w:after="0"/>
              <w:rPr>
                <w:sz w:val="11"/>
                <w:szCs w:val="11"/>
                <w:color w:val="auto"/>
              </w:rPr>
            </w:pPr>
          </w:p>
        </w:tc>
        <w:tc>
          <w:tcPr>
            <w:tcW w:w="540" w:type="dxa"/>
            <w:vAlign w:val="bottom"/>
            <w:tcBorders>
              <w:bottom w:val="single" w:sz="8" w:color="auto"/>
            </w:tcBorders>
          </w:tcPr>
          <w:p>
            <w:pPr>
              <w:jc w:val="right"/>
              <w:ind w:right="43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47,600</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20.3 %</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19.7 %</w:t>
            </w:r>
          </w:p>
        </w:tc>
      </w:tr>
      <w:tr>
        <w:trPr>
          <w:trHeight w:val="146"/>
        </w:trPr>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10.1 %</w:t>
            </w: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7.2 %</w:t>
            </w:r>
          </w:p>
        </w:tc>
      </w:tr>
      <w:tr>
        <w:trPr>
          <w:trHeight w:val="133"/>
        </w:trPr>
        <w:tc>
          <w:tcPr>
            <w:tcW w:w="5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17.4 %</w:t>
            </w:r>
          </w:p>
        </w:tc>
        <w:tc>
          <w:tcPr>
            <w:tcW w:w="1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16.6 %</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-1851025</wp:posOffset>
            </wp:positionV>
            <wp:extent cx="7178040" cy="91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-1651000</wp:posOffset>
            </wp:positionV>
            <wp:extent cx="7178040" cy="91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-1468120</wp:posOffset>
            </wp:positionV>
            <wp:extent cx="7178040" cy="91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-1268095</wp:posOffset>
            </wp:positionV>
            <wp:extent cx="7178040" cy="91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-1085215</wp:posOffset>
            </wp:positionV>
            <wp:extent cx="7178040" cy="914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-885190</wp:posOffset>
            </wp:positionV>
            <wp:extent cx="7178040" cy="1085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-685165</wp:posOffset>
            </wp:positionV>
            <wp:extent cx="7178040" cy="91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-502285</wp:posOffset>
            </wp:positionV>
            <wp:extent cx="7178040" cy="108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-302260</wp:posOffset>
            </wp:positionV>
            <wp:extent cx="7178040" cy="91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-119380</wp:posOffset>
            </wp:positionV>
            <wp:extent cx="7178040" cy="1085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1"/>
          <w:szCs w:val="1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8890</wp:posOffset>
            </wp:positionV>
            <wp:extent cx="17830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5715"/>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7600" w:space="720"/>
            <w:col w:w="2980"/>
          </w:cols>
          <w:pgMar w:left="300" w:top="562" w:right="29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84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2020</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2019</w:t>
            </w:r>
          </w:p>
        </w:tc>
      </w:tr>
      <w:tr>
        <w:trPr>
          <w:trHeight w:val="135"/>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Total segment profit</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48,267</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47,600</w:t>
            </w:r>
          </w:p>
        </w:tc>
      </w:tr>
      <w:tr>
        <w:trPr>
          <w:trHeight w:val="142"/>
        </w:trPr>
        <w:tc>
          <w:tcPr>
            <w:tcW w:w="8480" w:type="dxa"/>
            <w:vAlign w:val="bottom"/>
          </w:tcPr>
          <w:p>
            <w:pPr>
              <w:spacing w:after="0"/>
              <w:rPr>
                <w:sz w:val="20"/>
                <w:szCs w:val="20"/>
                <w:color w:val="auto"/>
              </w:rPr>
            </w:pPr>
            <w:r>
              <w:rPr>
                <w:rFonts w:ascii="Arial" w:cs="Arial" w:eastAsia="Arial" w:hAnsi="Arial"/>
                <w:sz w:val="11"/>
                <w:szCs w:val="11"/>
                <w:color w:val="auto"/>
              </w:rPr>
              <w:t>Unallocated amounts:</w:t>
            </w: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84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Administrative costs</w:t>
            </w: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(6,079)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(6,709)</w:t>
            </w:r>
          </w:p>
        </w:tc>
      </w:tr>
      <w:tr>
        <w:trPr>
          <w:trHeight w:val="142"/>
        </w:trPr>
        <w:tc>
          <w:tcPr>
            <w:tcW w:w="8480" w:type="dxa"/>
            <w:vAlign w:val="bottom"/>
          </w:tcPr>
          <w:p>
            <w:pPr>
              <w:ind w:left="220"/>
              <w:spacing w:after="0"/>
              <w:rPr>
                <w:sz w:val="20"/>
                <w:szCs w:val="20"/>
                <w:color w:val="auto"/>
              </w:rPr>
            </w:pPr>
            <w:r>
              <w:rPr>
                <w:rFonts w:ascii="Arial" w:cs="Arial" w:eastAsia="Arial" w:hAnsi="Arial"/>
                <w:sz w:val="11"/>
                <w:szCs w:val="11"/>
                <w:color w:val="auto"/>
              </w:rPr>
              <w:t>Investment and other income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155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1,380</w:t>
            </w:r>
          </w:p>
        </w:tc>
      </w:tr>
      <w:tr>
        <w:trPr>
          <w:trHeight w:val="144"/>
        </w:trPr>
        <w:tc>
          <w:tcPr>
            <w:tcW w:w="84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Interest expense</w:t>
            </w:r>
          </w:p>
        </w:tc>
        <w:tc>
          <w:tcPr>
            <w:tcW w:w="9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(701)</w:t>
            </w:r>
          </w:p>
        </w:tc>
      </w:tr>
      <w:tr>
        <w:trPr>
          <w:trHeight w:val="135"/>
        </w:trPr>
        <w:tc>
          <w:tcPr>
            <w:tcW w:w="8480" w:type="dxa"/>
            <w:vAlign w:val="bottom"/>
          </w:tcPr>
          <w:p>
            <w:pPr>
              <w:spacing w:after="0"/>
              <w:rPr>
                <w:sz w:val="20"/>
                <w:szCs w:val="20"/>
                <w:color w:val="auto"/>
              </w:rPr>
            </w:pPr>
            <w:r>
              <w:rPr>
                <w:rFonts w:ascii="Arial" w:cs="Arial" w:eastAsia="Arial" w:hAnsi="Arial"/>
                <w:sz w:val="11"/>
                <w:szCs w:val="11"/>
                <w:color w:val="auto"/>
              </w:rPr>
              <w:t>Income before income taxes and losses of unconsolidated affiliate</w:t>
            </w:r>
          </w:p>
        </w:tc>
        <w:tc>
          <w:tcPr>
            <w:tcW w:w="920" w:type="dxa"/>
            <w:vAlign w:val="bottom"/>
            <w:tcBorders>
              <w:bottom w:val="single" w:sz="8" w:color="auto"/>
            </w:tcBorders>
          </w:tcPr>
          <w:p>
            <w:pPr>
              <w:jc w:val="right"/>
              <w:ind w:right="786"/>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42,237</w:t>
            </w:r>
          </w:p>
        </w:tc>
        <w:tc>
          <w:tcPr>
            <w:tcW w:w="100" w:type="dxa"/>
            <w:vAlign w:val="bottom"/>
          </w:tcPr>
          <w:p>
            <w:pPr>
              <w:spacing w:after="0"/>
              <w:rPr>
                <w:sz w:val="11"/>
                <w:szCs w:val="11"/>
                <w:color w:val="auto"/>
              </w:rPr>
            </w:pPr>
          </w:p>
        </w:tc>
        <w:tc>
          <w:tcPr>
            <w:tcW w:w="32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41,570</w:t>
            </w:r>
          </w:p>
        </w:tc>
      </w:tr>
      <w:tr>
        <w:trPr>
          <w:trHeight w:val="20"/>
        </w:trPr>
        <w:tc>
          <w:tcPr>
            <w:tcW w:w="8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2" w:right="299" w:bottom="1440" w:gutter="0" w:footer="0" w:header="0"/>
          <w:type w:val="continuous"/>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9645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70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5970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6320790</wp:posOffset>
            </wp:positionV>
            <wp:extent cx="713041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2020-11-19T06:08:23Z</dcterms:created>
  <dcterms:modified xsi:type="dcterms:W3CDTF">2020-11-19T06:08:23Z</dcterms:modified>
</cp:coreProperties>
</file>