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right"/>
        <w:ind w:right="4899"/>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October 31, 2011</w:t>
      </w:r>
    </w:p>
    <w:p>
      <w:pPr>
        <w:spacing w:after="0" w:line="185" w:lineRule="exact"/>
        <w:rPr>
          <w:sz w:val="20"/>
          <w:szCs w:val="20"/>
          <w:color w:val="auto"/>
        </w:rPr>
      </w:pPr>
    </w:p>
    <w:p>
      <w:pPr>
        <w:jc w:val="right"/>
        <w:ind w:right="48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500"/>
        <w:spacing w:after="0"/>
        <w:tabs>
          <w:tab w:leader="none" w:pos="4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1-14959</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Pr>
          <w:p>
            <w:pPr>
              <w:ind w:left="1900"/>
              <w:spacing w:after="0"/>
              <w:rPr>
                <w:sz w:val="20"/>
                <w:szCs w:val="20"/>
                <w:color w:val="auto"/>
              </w:rPr>
            </w:pPr>
            <w:r>
              <w:rPr>
                <w:rFonts w:ascii="Arial" w:cs="Arial" w:eastAsia="Arial" w:hAnsi="Arial"/>
                <w:sz w:val="18"/>
                <w:szCs w:val="18"/>
                <w:b w:val="1"/>
                <w:bCs w:val="1"/>
                <w:color w:val="auto"/>
              </w:rPr>
              <w:t>Wisconsin</w:t>
            </w:r>
          </w:p>
        </w:tc>
        <w:tc>
          <w:tcPr>
            <w:tcW w:w="512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1"/>
              </w:rPr>
              <w:t>39-0178960</w:t>
            </w:r>
          </w:p>
        </w:tc>
      </w:tr>
      <w:tr>
        <w:trPr>
          <w:trHeight w:val="209"/>
        </w:trPr>
        <w:tc>
          <w:tcPr>
            <w:tcW w:w="46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rPr>
              <w:t>(State or other jurisdiction of</w:t>
            </w:r>
          </w:p>
        </w:tc>
        <w:tc>
          <w:tcPr>
            <w:tcW w:w="48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tcPr>
          <w:p>
            <w:pPr>
              <w:ind w:left="1220"/>
              <w:spacing w:after="0"/>
              <w:rPr>
                <w:sz w:val="20"/>
                <w:szCs w:val="20"/>
                <w:color w:val="auto"/>
              </w:rPr>
            </w:pPr>
            <w:r>
              <w:rPr>
                <w:rFonts w:ascii="Arial" w:cs="Arial" w:eastAsia="Arial" w:hAnsi="Arial"/>
                <w:sz w:val="18"/>
                <w:szCs w:val="18"/>
                <w:color w:val="auto"/>
              </w:rPr>
              <w:t>incorporation or organization)</w:t>
            </w:r>
          </w:p>
        </w:tc>
        <w:tc>
          <w:tcPr>
            <w:tcW w:w="4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4"/>
              </w:rPr>
              <w:t>Identification No.)</w:t>
            </w:r>
          </w:p>
        </w:tc>
      </w:tr>
    </w:tbl>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(Zip Code)</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jc w:val="both"/>
        <w:ind w:left="340" w:right="159"/>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9" w:lineRule="exact"/>
        <w:rPr>
          <w:sz w:val="20"/>
          <w:szCs w:val="20"/>
          <w:color w:val="auto"/>
        </w:rPr>
      </w:pPr>
    </w:p>
    <w:p>
      <w:pPr>
        <w:ind w:left="520"/>
        <w:spacing w:after="0" w:line="207" w:lineRule="exact"/>
        <w:tabs>
          <w:tab w:leader="none" w:pos="3240" w:val="left"/>
          <w:tab w:leader="none" w:pos="5580" w:val="left"/>
          <w:tab w:leader="none" w:pos="7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0"/>
          <w:szCs w:val="20"/>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4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APPLICABLE ONLY TO CORPORATE ISSUERS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96"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As of December 2, 2011, there were 48,892,686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115570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132715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791210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40" w:type="dxa"/>
            <w:vAlign w:val="bottom"/>
            <w:gridSpan w:val="5"/>
          </w:tcPr>
          <w:p>
            <w:pPr>
              <w:jc w:val="center"/>
              <w:ind w:right="3060"/>
              <w:spacing w:after="0"/>
              <w:rPr>
                <w:sz w:val="20"/>
                <w:szCs w:val="20"/>
                <w:color w:val="auto"/>
              </w:rPr>
            </w:pPr>
            <w:r>
              <w:rPr>
                <w:rFonts w:ascii="Arial" w:cs="Arial" w:eastAsia="Arial" w:hAnsi="Arial"/>
                <w:sz w:val="18"/>
                <w:szCs w:val="18"/>
                <w:color w:val="auto"/>
                <w:w w:val="93"/>
              </w:rPr>
              <w:t>FORM 10-Q</w:t>
            </w:r>
          </w:p>
        </w:tc>
        <w:tc>
          <w:tcPr>
            <w:tcW w:w="9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6"/>
          </w:tcPr>
          <w:p>
            <w:pPr>
              <w:jc w:val="center"/>
              <w:ind w:right="2780"/>
              <w:spacing w:after="0"/>
              <w:rPr>
                <w:sz w:val="20"/>
                <w:szCs w:val="20"/>
                <w:color w:val="auto"/>
              </w:rPr>
            </w:pPr>
            <w:r>
              <w:rPr>
                <w:rFonts w:ascii="Arial" w:cs="Arial" w:eastAsia="Arial" w:hAnsi="Arial"/>
                <w:sz w:val="18"/>
                <w:szCs w:val="18"/>
                <w:color w:val="auto"/>
                <w:w w:val="96"/>
              </w:rPr>
              <w:t>BRADY CORPORATION</w:t>
            </w:r>
          </w:p>
        </w:tc>
        <w:tc>
          <w:tcPr>
            <w:tcW w:w="9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60" w:type="dxa"/>
            <w:vAlign w:val="bottom"/>
            <w:gridSpan w:val="4"/>
          </w:tcPr>
          <w:p>
            <w:pPr>
              <w:jc w:val="center"/>
              <w:ind w:right="3340"/>
              <w:spacing w:after="0"/>
              <w:rPr>
                <w:sz w:val="20"/>
                <w:szCs w:val="20"/>
                <w:color w:val="auto"/>
              </w:rPr>
            </w:pPr>
            <w:r>
              <w:rPr>
                <w:rFonts w:ascii="Arial" w:cs="Arial" w:eastAsia="Arial" w:hAnsi="Arial"/>
                <w:sz w:val="18"/>
                <w:szCs w:val="18"/>
                <w:color w:val="auto"/>
              </w:rPr>
              <w:t>INDEX</w:t>
            </w:r>
          </w:p>
        </w:tc>
        <w:tc>
          <w:tcPr>
            <w:tcW w:w="9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Page</w:t>
            </w:r>
          </w:p>
        </w:tc>
      </w:tr>
      <w:tr>
        <w:trPr>
          <w:trHeight w:val="385"/>
        </w:trPr>
        <w:tc>
          <w:tcPr>
            <w:tcW w:w="22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Financial Information</w:t>
              </w:r>
            </w:hyperlink>
          </w:p>
        </w:tc>
        <w:tc>
          <w:tcPr>
            <w:tcW w:w="646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32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54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26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 Management’s Discussions and Analysis of Financial Condition and Results of Operations</w:t>
              </w:r>
            </w:hyperlink>
          </w:p>
        </w:tc>
        <w:tc>
          <w:tcPr>
            <w:tcW w:w="1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Disclosures About Market Risk</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8"/>
          </w:tcPr>
          <w:p>
            <w:pPr>
              <w:spacing w:after="0"/>
              <w:rPr>
                <w:sz w:val="24"/>
                <w:szCs w:val="24"/>
                <w:color w:val="auto"/>
              </w:rPr>
            </w:pPr>
          </w:p>
        </w:tc>
        <w:tc>
          <w:tcPr>
            <w:tcW w:w="356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20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PART II. Other Information</w:t>
              </w:r>
            </w:hyperlink>
          </w:p>
        </w:tc>
        <w:tc>
          <w:tcPr>
            <w:tcW w:w="666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4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Item 2. Unregistered Sales of Equity Securities and Use of Proceeds</w:t>
              </w:r>
            </w:hyperlink>
          </w:p>
        </w:tc>
        <w:tc>
          <w:tcPr>
            <w:tcW w:w="37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6. 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Signatures</w:t>
              </w:r>
            </w:hyperlink>
          </w:p>
        </w:tc>
        <w:tc>
          <w:tcPr>
            <w:tcW w:w="380" w:type="dxa"/>
            <w:vAlign w:val="bottom"/>
            <w:tcBorders>
              <w:top w:val="single" w:sz="8" w:color="0000EE"/>
            </w:tcBorders>
          </w:tcPr>
          <w:p>
            <w:pPr>
              <w:spacing w:after="0"/>
              <w:rPr>
                <w:sz w:val="24"/>
                <w:szCs w:val="24"/>
                <w:color w:val="auto"/>
              </w:rPr>
            </w:pPr>
          </w:p>
        </w:tc>
        <w:tc>
          <w:tcPr>
            <w:tcW w:w="7320" w:type="dxa"/>
            <w:vAlign w:val="bottom"/>
            <w:gridSpan w:val="1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40" w:type="dxa"/>
            <w:vAlign w:val="bottom"/>
          </w:tcPr>
          <w:p>
            <w:pPr>
              <w:spacing w:after="0"/>
              <w:rPr>
                <w:sz w:val="24"/>
                <w:szCs w:val="24"/>
                <w:color w:val="auto"/>
              </w:rPr>
            </w:pPr>
          </w:p>
        </w:tc>
        <w:tc>
          <w:tcPr>
            <w:tcW w:w="8620" w:type="dxa"/>
            <w:vAlign w:val="bottom"/>
            <w:gridSpan w:val="19"/>
          </w:tcPr>
          <w:p>
            <w:pPr>
              <w:spacing w:after="0"/>
              <w:rPr>
                <w:sz w:val="20"/>
                <w:szCs w:val="20"/>
                <w:color w:val="auto"/>
              </w:rPr>
            </w:pPr>
            <w:r>
              <w:rPr>
                <w:rFonts w:ascii="Arial" w:cs="Arial" w:eastAsia="Arial" w:hAnsi="Arial"/>
                <w:sz w:val="18"/>
                <w:szCs w:val="18"/>
                <w:color w:val="0000EE"/>
              </w:rPr>
              <w:t>Exhibit 10.1</w:t>
            </w:r>
          </w:p>
        </w:tc>
        <w:tc>
          <w:tcPr>
            <w:tcW w:w="9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31.1</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31.2</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EE"/>
              </w:rPr>
              <w:t>Exhibit 32.1</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EE"/>
              </w:rPr>
              <w:t>Exhibit 32.2</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EE"/>
              </w:rPr>
              <w:t>EX-101 INSTANCE DOCUMENT</w:t>
            </w:r>
          </w:p>
        </w:tc>
        <w:tc>
          <w:tcPr>
            <w:tcW w:w="9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48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7"/>
              </w:rPr>
              <w:t>EX-101 SCHEMA DOCUMENT</w:t>
            </w:r>
          </w:p>
        </w:tc>
        <w:tc>
          <w:tcPr>
            <w:tcW w:w="614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7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EX-101 CALCULATION LINKBASE DOCUMENT</w:t>
            </w:r>
          </w:p>
        </w:tc>
        <w:tc>
          <w:tcPr>
            <w:tcW w:w="484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9"/>
        </w:trPr>
        <w:tc>
          <w:tcPr>
            <w:tcW w:w="3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3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BRADY CORPORATION AND SUBSIDIARIES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rPr>
              <w:t>October 31, 2011</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5"/>
              </w:rPr>
              <w:t>July 31, 2011</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(Unaudited)</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60" w:type="dxa"/>
            <w:vAlign w:val="bottom"/>
            <w:shd w:val="clear" w:color="auto" w:fill="CCEEFF"/>
          </w:tcPr>
          <w:p>
            <w:pPr>
              <w:jc w:val="center"/>
              <w:ind w:right="1230"/>
              <w:spacing w:after="0"/>
              <w:rPr>
                <w:sz w:val="20"/>
                <w:szCs w:val="20"/>
                <w:color w:val="auto"/>
              </w:rPr>
            </w:pPr>
            <w:r>
              <w:rPr>
                <w:rFonts w:ascii="Arial" w:cs="Arial" w:eastAsia="Arial" w:hAnsi="Arial"/>
                <w:sz w:val="18"/>
                <w:szCs w:val="18"/>
                <w:b w:val="1"/>
                <w:bCs w:val="1"/>
                <w:color w:val="auto"/>
                <w:w w:val="94"/>
              </w:rPr>
              <w:t>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371,594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389,971</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Accounts receivable — net</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232,837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228,483</w:t>
            </w: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tcPr>
          <w:p>
            <w:pPr>
              <w:ind w:left="600"/>
              <w:spacing w:after="0"/>
              <w:rPr>
                <w:sz w:val="20"/>
                <w:szCs w:val="20"/>
                <w:color w:val="auto"/>
              </w:rPr>
            </w:pPr>
            <w:r>
              <w:rPr>
                <w:rFonts w:ascii="Arial" w:cs="Arial" w:eastAsia="Arial" w:hAnsi="Arial"/>
                <w:sz w:val="18"/>
                <w:szCs w:val="18"/>
                <w:color w:val="auto"/>
              </w:rPr>
              <w:t>Finished products</w:t>
            </w:r>
          </w:p>
        </w:tc>
        <w:tc>
          <w:tcPr>
            <w:tcW w:w="120" w:type="dxa"/>
            <w:vAlign w:val="bottom"/>
          </w:tcPr>
          <w:p>
            <w:pPr>
              <w:spacing w:after="0"/>
              <w:rPr>
                <w:sz w:val="18"/>
                <w:szCs w:val="18"/>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64,652</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62,152</w:t>
            </w: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Work-in-process</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16,259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600"/>
              <w:spacing w:after="0"/>
              <w:rPr>
                <w:sz w:val="20"/>
                <w:szCs w:val="20"/>
                <w:color w:val="auto"/>
              </w:rPr>
            </w:pPr>
            <w:r>
              <w:rPr>
                <w:rFonts w:ascii="Arial" w:cs="Arial" w:eastAsia="Arial" w:hAnsi="Arial"/>
                <w:sz w:val="18"/>
                <w:szCs w:val="18"/>
                <w:color w:val="auto"/>
              </w:rPr>
              <w:t>Raw materials and supplies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28,752</w:t>
            </w:r>
          </w:p>
        </w:tc>
        <w:tc>
          <w:tcPr>
            <w:tcW w:w="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27,484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inventories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104,186</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42,120</w:t>
            </w:r>
          </w:p>
        </w:tc>
        <w:tc>
          <w:tcPr>
            <w:tcW w:w="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35,647</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756,214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758,287</w:t>
            </w:r>
          </w:p>
        </w:tc>
      </w:tr>
      <w:tr>
        <w:trPr>
          <w:trHeight w:val="216"/>
        </w:trPr>
        <w:tc>
          <w:tcPr>
            <w:tcW w:w="3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792,303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800,343</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84,461</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89,961</w:t>
            </w: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50,676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53,755</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19,444</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19,244</w:t>
            </w: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6,406</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103,683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104,644</w:t>
            </w: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303,493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305,557</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13,431</w:t>
            </w:r>
          </w:p>
        </w:tc>
        <w:tc>
          <w:tcPr>
            <w:tcW w:w="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11,226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427,833</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290,704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287,918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Property, plant and equipment — net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139,915</w:t>
            </w:r>
          </w:p>
        </w:tc>
      </w:tr>
      <w:tr>
        <w:trPr>
          <w:trHeight w:val="223"/>
        </w:trPr>
        <w:tc>
          <w:tcPr>
            <w:tcW w:w="34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1,839,361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1,861,505</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60" w:type="dxa"/>
            <w:vAlign w:val="bottom"/>
            <w:shd w:val="clear" w:color="auto" w:fill="CCEEFF"/>
          </w:tcPr>
          <w:p>
            <w:pPr>
              <w:jc w:val="center"/>
              <w:ind w:right="123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96,237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98,847</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tcPr>
          <w:p>
            <w:pPr>
              <w:spacing w:after="0"/>
              <w:rPr>
                <w:sz w:val="18"/>
                <w:szCs w:val="18"/>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46,221</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69,798</w:t>
            </w: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16,170</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9,954</w:t>
            </w: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57,717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54,406</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Current maturities on long-term debt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61,264</w:t>
            </w:r>
          </w:p>
        </w:tc>
        <w:tc>
          <w:tcPr>
            <w:tcW w:w="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286,572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301,881</w:t>
            </w:r>
          </w:p>
        </w:tc>
      </w:tr>
      <w:tr>
        <w:trPr>
          <w:trHeight w:val="216"/>
        </w:trPr>
        <w:tc>
          <w:tcPr>
            <w:tcW w:w="3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330,054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331,914</w:t>
            </w: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68,200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71,518</w:t>
            </w:r>
          </w:p>
        </w:tc>
      </w:tr>
      <w:tr>
        <w:trPr>
          <w:trHeight w:val="223"/>
        </w:trPr>
        <w:tc>
          <w:tcPr>
            <w:tcW w:w="340" w:type="dxa"/>
            <w:vAlign w:val="bottom"/>
          </w:tcPr>
          <w:p>
            <w:pPr>
              <w:spacing w:after="0"/>
              <w:rPr>
                <w:sz w:val="19"/>
                <w:szCs w:val="19"/>
                <w:color w:val="auto"/>
              </w:rPr>
            </w:pPr>
          </w:p>
        </w:tc>
        <w:tc>
          <w:tcPr>
            <w:tcW w:w="698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684,826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705,313</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9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Class A nonvoting common stock — Issued 51,261,487 and 51,261,487 shares,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980" w:type="dxa"/>
            <w:vAlign w:val="bottom"/>
            <w:gridSpan w:val="2"/>
          </w:tcPr>
          <w:p>
            <w:pPr>
              <w:ind w:left="400"/>
              <w:spacing w:after="0"/>
              <w:rPr>
                <w:sz w:val="20"/>
                <w:szCs w:val="20"/>
                <w:color w:val="auto"/>
              </w:rPr>
            </w:pPr>
            <w:r>
              <w:rPr>
                <w:rFonts w:ascii="Arial" w:cs="Arial" w:eastAsia="Arial" w:hAnsi="Arial"/>
                <w:sz w:val="18"/>
                <w:szCs w:val="18"/>
                <w:color w:val="auto"/>
              </w:rPr>
              <w:t>respectively and outstanding 48,862,485 and 49,284,252 shares, respectively</w:t>
            </w: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310,602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307,527</w:t>
            </w: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retained in the business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812,142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789,100</w:t>
            </w:r>
          </w:p>
        </w:tc>
      </w:tr>
      <w:tr>
        <w:trPr>
          <w:trHeight w:val="202"/>
        </w:trPr>
        <w:tc>
          <w:tcPr>
            <w:tcW w:w="340" w:type="dxa"/>
            <w:vAlign w:val="bottom"/>
          </w:tcPr>
          <w:p>
            <w:pPr>
              <w:spacing w:after="0"/>
              <w:rPr>
                <w:sz w:val="17"/>
                <w:szCs w:val="17"/>
                <w:color w:val="auto"/>
              </w:rPr>
            </w:pPr>
          </w:p>
        </w:tc>
        <w:tc>
          <w:tcPr>
            <w:tcW w:w="698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Treasury stock — 2,082,801 and 1,667,235 shares, respectively of Class A nonvoting</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980" w:type="dxa"/>
            <w:vAlign w:val="bottom"/>
            <w:gridSpan w:val="2"/>
          </w:tcPr>
          <w:p>
            <w:pPr>
              <w:ind w:left="400"/>
              <w:spacing w:after="0"/>
              <w:rPr>
                <w:sz w:val="20"/>
                <w:szCs w:val="20"/>
                <w:color w:val="auto"/>
              </w:rPr>
            </w:pPr>
            <w:r>
              <w:rPr>
                <w:rFonts w:ascii="Arial" w:cs="Arial" w:eastAsia="Arial" w:hAnsi="Arial"/>
                <w:sz w:val="18"/>
                <w:szCs w:val="18"/>
                <w:color w:val="auto"/>
              </w:rPr>
              <w:t>common stock, at cost</w:t>
            </w:r>
          </w:p>
        </w:tc>
        <w:tc>
          <w:tcPr>
            <w:tcW w:w="120" w:type="dxa"/>
            <w:vAlign w:val="bottom"/>
          </w:tcPr>
          <w:p>
            <w:pPr>
              <w:spacing w:after="0"/>
              <w:rPr>
                <w:sz w:val="20"/>
                <w:szCs w:val="20"/>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(61,015)</w:t>
            </w:r>
          </w:p>
        </w:tc>
        <w:tc>
          <w:tcPr>
            <w:tcW w:w="1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(50,017)</w:t>
            </w: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96,778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113,898</w:t>
            </w:r>
          </w:p>
        </w:tc>
      </w:tr>
      <w:tr>
        <w:trPr>
          <w:trHeight w:val="216"/>
        </w:trPr>
        <w:tc>
          <w:tcPr>
            <w:tcW w:w="34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(4,520)</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(4,864)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8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1,154,535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1,156,192</w:t>
            </w:r>
          </w:p>
        </w:tc>
      </w:tr>
      <w:tr>
        <w:trPr>
          <w:trHeight w:val="223"/>
        </w:trPr>
        <w:tc>
          <w:tcPr>
            <w:tcW w:w="34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1,839,361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1,861,505</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1084"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84"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6"/>
          </w:tcPr>
          <w:p>
            <w:pPr>
              <w:jc w:val="right"/>
              <w:ind w:right="550"/>
              <w:spacing w:after="0"/>
              <w:rPr>
                <w:sz w:val="20"/>
                <w:szCs w:val="20"/>
                <w:color w:val="auto"/>
              </w:rPr>
            </w:pPr>
            <w:r>
              <w:rPr>
                <w:rFonts w:ascii="Arial" w:cs="Arial" w:eastAsia="Arial" w:hAnsi="Arial"/>
                <w:sz w:val="18"/>
                <w:szCs w:val="18"/>
                <w:b w:val="1"/>
                <w:bCs w:val="1"/>
                <w:color w:val="auto"/>
              </w:rPr>
              <w:t>Three Months Ended October 31,</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1"/>
              </w:rPr>
              <w:t>(Unaudited)</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349,508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329,588</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181,677</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165,076</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164,512</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108,932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109,324</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118,741</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122,909</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49,090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41,603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income and (expense):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(5,047)</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(5,687)</w:t>
            </w: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43,841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36,206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26,281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0.50</w:t>
            </w:r>
          </w:p>
        </w:tc>
        <w:tc>
          <w:tcPr>
            <w:tcW w:w="118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0.48</w:t>
            </w: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52,657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52,448</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52,954</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52,810</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BRADY CORPORATION AND SUBSIDIARIES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8"/>
              </w:rPr>
              <w:t>October 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91"/>
              </w:rPr>
              <w:t>(Unaudited)</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32,732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26,281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11,241</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3,591</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Non-cash portion of restructuring charges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66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Changes in operating assets and liabilities (net of effects of business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660" w:type="dxa"/>
            <w:vAlign w:val="bottom"/>
            <w:gridSpan w:val="2"/>
          </w:tcPr>
          <w:p>
            <w:pPr>
              <w:ind w:left="600"/>
              <w:spacing w:after="0"/>
              <w:rPr>
                <w:sz w:val="20"/>
                <w:szCs w:val="20"/>
                <w:color w:val="auto"/>
              </w:rPr>
            </w:pPr>
            <w:r>
              <w:rPr>
                <w:rFonts w:ascii="Arial" w:cs="Arial" w:eastAsia="Arial" w:hAnsi="Arial"/>
                <w:sz w:val="18"/>
                <w:szCs w:val="18"/>
                <w:color w:val="auto"/>
              </w:rPr>
              <w:t>acquisitions/divestitures):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(7,798)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600"/>
              <w:spacing w:after="0"/>
              <w:rPr>
                <w:sz w:val="20"/>
                <w:szCs w:val="20"/>
                <w:color w:val="auto"/>
              </w:rPr>
            </w:pPr>
            <w:r>
              <w:rPr>
                <w:rFonts w:ascii="Arial" w:cs="Arial" w:eastAsia="Arial" w:hAnsi="Arial"/>
                <w:sz w:val="18"/>
                <w:szCs w:val="18"/>
                <w:color w:val="auto"/>
              </w:rPr>
              <w:t>Inventories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(7,156)</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(7,384)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(21,814)</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(16,909)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7,470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gridSpan w:val="2"/>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15,281</w:t>
            </w:r>
          </w:p>
        </w:tc>
        <w:tc>
          <w:tcPr>
            <w:tcW w:w="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(5,817)</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Settlement of net investment hedges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(9,690)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(12,309)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6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Income tax benefit from the exercise of stock options and deferred compensation</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660" w:type="dxa"/>
            <w:vAlign w:val="bottom"/>
            <w:gridSpan w:val="2"/>
          </w:tcPr>
          <w:p>
            <w:pPr>
              <w:ind w:left="400"/>
              <w:spacing w:after="0"/>
              <w:rPr>
                <w:sz w:val="20"/>
                <w:szCs w:val="20"/>
                <w:color w:val="auto"/>
              </w:rPr>
            </w:pPr>
            <w:r>
              <w:rPr>
                <w:rFonts w:ascii="Arial" w:cs="Arial" w:eastAsia="Arial" w:hAnsi="Arial"/>
                <w:sz w:val="18"/>
                <w:szCs w:val="18"/>
                <w:color w:val="auto"/>
              </w:rPr>
              <w:t>distributions, and other</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456</w:t>
            </w:r>
          </w:p>
        </w:tc>
        <w:tc>
          <w:tcPr>
            <w:tcW w:w="2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(20,860)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(5,790)</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6,286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(18,377)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389,971</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314,840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371,594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6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400"/>
              <w:spacing w:after="0"/>
              <w:rPr>
                <w:sz w:val="20"/>
                <w:szCs w:val="20"/>
                <w:color w:val="auto"/>
              </w:rPr>
            </w:pPr>
            <w:r>
              <w:rPr>
                <w:rFonts w:ascii="Arial" w:cs="Arial" w:eastAsia="Arial" w:hAnsi="Arial"/>
                <w:sz w:val="18"/>
                <w:szCs w:val="18"/>
                <w:color w:val="auto"/>
              </w:rPr>
              <w:t>Interest, net of capitalized interest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6,082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5,825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Three Months Ended October 31, 2011</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thousands, except share and per share amounts)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 — Basis of Presentation</w:t>
      </w:r>
    </w:p>
    <w:p>
      <w:pPr>
        <w:spacing w:after="0" w:line="18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2011 and July 3l, 2011, and its results of operations and cash flows for the three months ended October 31, 2011 and 2010. The condensed consolidated balance sheet as of July 31, 2011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4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B — Goodwill and Intangible Assets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Changes in the carrying amount of goodwill for the quarter ended October 31, 2011,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Americas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Europe</w:t>
            </w:r>
          </w:p>
        </w:tc>
        <w:tc>
          <w:tcPr>
            <w:tcW w:w="380" w:type="dxa"/>
            <w:vAlign w:val="bottom"/>
          </w:tcPr>
          <w:p>
            <w:pPr>
              <w:spacing w:after="0"/>
              <w:rPr>
                <w:sz w:val="20"/>
                <w:szCs w:val="20"/>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Asia-Pacific</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2011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425,578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171,238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203,527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800,343</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0"/>
              <w:spacing w:after="0"/>
              <w:rPr>
                <w:sz w:val="20"/>
                <w:szCs w:val="20"/>
                <w:color w:val="auto"/>
              </w:rPr>
            </w:pPr>
            <w:r>
              <w:rPr>
                <w:rFonts w:ascii="Arial" w:cs="Arial" w:eastAsia="Arial" w:hAnsi="Arial"/>
                <w:sz w:val="18"/>
                <w:szCs w:val="18"/>
                <w:color w:val="auto"/>
              </w:rPr>
              <w:t>Translation adjustments</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31, 2011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422,533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168,190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201,580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792,303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Goodwill decreased $8,040 during the three months ended October 31, 2011 due to the negative effects of foreign currency translation. Goodwill at October 31, 2011 and July 31, 2011 did not include any accumulated impairment losses.</w:t>
      </w:r>
    </w:p>
    <w:p>
      <w:pPr>
        <w:spacing w:after="0" w:line="143"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net book value of these assets was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October 31, 2011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July 31, 2011</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1500" w:type="dxa"/>
            <w:vAlign w:val="bottom"/>
          </w:tcPr>
          <w:p>
            <w:pPr>
              <w:spacing w:after="0"/>
              <w:rPr>
                <w:sz w:val="16"/>
                <w:szCs w:val="16"/>
                <w:color w:val="auto"/>
              </w:rPr>
            </w:pPr>
          </w:p>
        </w:tc>
        <w:tc>
          <w:tcPr>
            <w:tcW w:w="12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5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Period</w:t>
            </w:r>
          </w:p>
        </w:tc>
        <w:tc>
          <w:tcPr>
            <w:tcW w:w="860" w:type="dxa"/>
            <w:vAlign w:val="bottom"/>
            <w:gridSpan w:val="5"/>
          </w:tcPr>
          <w:p>
            <w:pPr>
              <w:spacing w:after="0"/>
              <w:rPr>
                <w:sz w:val="20"/>
                <w:szCs w:val="20"/>
                <w:color w:val="auto"/>
              </w:rPr>
            </w:pPr>
            <w:r>
              <w:rPr>
                <w:rFonts w:ascii="Arial" w:cs="Arial" w:eastAsia="Arial" w:hAnsi="Arial"/>
                <w:sz w:val="18"/>
                <w:szCs w:val="18"/>
                <w:b w:val="1"/>
                <w:bCs w:val="1"/>
                <w:color w:val="auto"/>
              </w:rPr>
              <w:t>Carrying</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9"/>
              </w:rPr>
              <w:t>Accumulated</w:t>
            </w:r>
          </w:p>
        </w:tc>
        <w:tc>
          <w:tcPr>
            <w:tcW w:w="8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Net Book</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8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Accumulated</w:t>
            </w: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96"/>
              </w:rPr>
              <w:t>Net Book</w:t>
            </w:r>
          </w:p>
        </w:tc>
      </w:tr>
      <w:tr>
        <w:trPr>
          <w:trHeight w:val="234"/>
        </w:trPr>
        <w:tc>
          <w:tcPr>
            <w:tcW w:w="150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(Years)</w:t>
            </w:r>
          </w:p>
        </w:tc>
        <w:tc>
          <w:tcPr>
            <w:tcW w:w="20" w:type="dxa"/>
            <w:vAlign w:val="bottom"/>
          </w:tcPr>
          <w:p>
            <w:pPr>
              <w:spacing w:after="0"/>
              <w:rPr>
                <w:sz w:val="20"/>
                <w:szCs w:val="20"/>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Amount</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9"/>
              </w:rPr>
              <w:t>Amortization</w:t>
            </w:r>
          </w:p>
        </w:tc>
        <w:tc>
          <w:tcPr>
            <w:tcW w:w="12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Value</w:t>
            </w:r>
          </w:p>
        </w:tc>
      </w:tr>
      <w:tr>
        <w:trPr>
          <w:trHeight w:val="195"/>
        </w:trPr>
        <w:tc>
          <w:tcPr>
            <w:tcW w:w="1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w:t>
            </w: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1500" w:type="dxa"/>
            <w:vAlign w:val="bottom"/>
          </w:tcPr>
          <w:p>
            <w:pPr>
              <w:ind w:left="200"/>
              <w:spacing w:after="0"/>
              <w:rPr>
                <w:sz w:val="20"/>
                <w:szCs w:val="20"/>
                <w:color w:val="auto"/>
              </w:rPr>
            </w:pPr>
            <w:r>
              <w:rPr>
                <w:rFonts w:ascii="Arial" w:cs="Arial" w:eastAsia="Arial" w:hAnsi="Arial"/>
                <w:sz w:val="18"/>
                <w:szCs w:val="18"/>
                <w:color w:val="auto"/>
              </w:rPr>
              <w:t>Patents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9,939</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1,335</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9,784</w:t>
            </w:r>
          </w:p>
        </w:tc>
        <w:tc>
          <w:tcPr>
            <w:tcW w:w="32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18"/>
                <w:szCs w:val="18"/>
                <w:color w:val="auto"/>
              </w:rPr>
            </w:pPr>
          </w:p>
        </w:tc>
      </w:tr>
      <w:tr>
        <w:trPr>
          <w:trHeight w:val="202"/>
        </w:trPr>
        <w:tc>
          <w:tcPr>
            <w:tcW w:w="1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Trademarks and</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2,267</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80" w:type="dxa"/>
            <w:vAlign w:val="bottom"/>
            <w:shd w:val="clear" w:color="auto" w:fill="CCEEFF"/>
          </w:tcPr>
          <w:p>
            <w:pPr>
              <w:spacing w:after="0"/>
              <w:rPr>
                <w:sz w:val="20"/>
                <w:szCs w:val="20"/>
                <w:color w:val="auto"/>
              </w:rPr>
            </w:pPr>
          </w:p>
        </w:tc>
      </w:tr>
      <w:tr>
        <w:trPr>
          <w:trHeight w:val="202"/>
        </w:trPr>
        <w:tc>
          <w:tcPr>
            <w:tcW w:w="1500" w:type="dxa"/>
            <w:vAlign w:val="bottom"/>
          </w:tcPr>
          <w:p>
            <w:pPr>
              <w:ind w:left="200"/>
              <w:spacing w:after="0" w:line="201" w:lineRule="exact"/>
              <w:rPr>
                <w:sz w:val="20"/>
                <w:szCs w:val="20"/>
                <w:color w:val="auto"/>
              </w:rPr>
            </w:pPr>
            <w:r>
              <w:rPr>
                <w:rFonts w:ascii="Arial" w:cs="Arial" w:eastAsia="Arial" w:hAnsi="Arial"/>
                <w:sz w:val="18"/>
                <w:szCs w:val="18"/>
                <w:color w:val="auto"/>
              </w:rPr>
              <w:t>Customer</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500" w:type="dxa"/>
            <w:vAlign w:val="bottom"/>
          </w:tcPr>
          <w:p>
            <w:pPr>
              <w:ind w:left="400"/>
              <w:spacing w:after="0"/>
              <w:rPr>
                <w:sz w:val="20"/>
                <w:szCs w:val="20"/>
                <w:color w:val="auto"/>
              </w:rPr>
            </w:pPr>
            <w:r>
              <w:rPr>
                <w:rFonts w:ascii="Arial" w:cs="Arial" w:eastAsia="Arial" w:hAnsi="Arial"/>
                <w:sz w:val="18"/>
                <w:szCs w:val="18"/>
                <w:color w:val="auto"/>
              </w:rPr>
              <w:t>relationships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162,659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(121,832)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40,827</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165,566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(119,977)</w:t>
            </w: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45,589</w:t>
            </w:r>
          </w:p>
        </w:tc>
      </w:tr>
      <w:tr>
        <w:trPr>
          <w:trHeight w:val="202"/>
        </w:trPr>
        <w:tc>
          <w:tcPr>
            <w:tcW w:w="1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Non-compete</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agreements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other</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(15,760)</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r>
      <w:tr>
        <w:trPr>
          <w:trHeight w:val="202"/>
        </w:trPr>
        <w:tc>
          <w:tcPr>
            <w:tcW w:w="1500" w:type="dxa"/>
            <w:vAlign w:val="bottom"/>
          </w:tcPr>
          <w:p>
            <w:pPr>
              <w:spacing w:after="0" w:line="201" w:lineRule="exact"/>
              <w:rPr>
                <w:sz w:val="20"/>
                <w:szCs w:val="20"/>
                <w:color w:val="auto"/>
              </w:rPr>
            </w:pPr>
            <w:r>
              <w:rPr>
                <w:rFonts w:ascii="Arial" w:cs="Arial" w:eastAsia="Arial" w:hAnsi="Arial"/>
                <w:sz w:val="18"/>
                <w:szCs w:val="18"/>
                <w:color w:val="auto"/>
                <w:w w:val="99"/>
              </w:rPr>
              <w:t>Unamortized other</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00" w:type="dxa"/>
            <w:vAlign w:val="bottom"/>
          </w:tcPr>
          <w:p>
            <w:pPr>
              <w:ind w:left="200"/>
              <w:spacing w:after="0"/>
              <w:rPr>
                <w:sz w:val="20"/>
                <w:szCs w:val="20"/>
                <w:color w:val="auto"/>
              </w:rPr>
            </w:pPr>
            <w:r>
              <w:rPr>
                <w:rFonts w:ascii="Arial" w:cs="Arial" w:eastAsia="Arial" w:hAnsi="Arial"/>
                <w:sz w:val="18"/>
                <w:szCs w:val="18"/>
                <w:color w:val="auto"/>
              </w:rPr>
              <w:t>intangible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5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39,480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39,480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39,623</w:t>
            </w:r>
          </w:p>
        </w:tc>
      </w:tr>
      <w:tr>
        <w:trPr>
          <w:trHeight w:val="223"/>
        </w:trPr>
        <w:tc>
          <w:tcPr>
            <w:tcW w:w="150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237,484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240,853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(150,892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89,961</w:t>
            </w:r>
          </w:p>
        </w:tc>
        <w:tc>
          <w:tcPr>
            <w:tcW w:w="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948"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48"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The value of goodwill and other intangible assets in the condensed consolidated financial statements at October 31, 2011 differs from the value assigned to them in the original allocation of purchase price due to the effect of fluctuations in the exchange rates used to translate the financial statements into the United States Dollar between the date of acquisition and October 31, 2011.</w:t>
      </w:r>
    </w:p>
    <w:p>
      <w:pPr>
        <w:spacing w:after="0" w:line="12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Amortization expense on intangible assets was $4,080 and $5,147 for the three-month periods ended October 31, 2011 and 2010, respectively. The amortization over each of the next five fiscal years is projected to be $16,436, $10,578, $5,617, $5,263 and $4,163 for the fiscal years ending July 31, 2012, 2013, 2014, 2015 and 2016, respectively.</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NOTE C — Comprehensive Income</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320" w:type="dxa"/>
            <w:vAlign w:val="bottom"/>
          </w:tcPr>
          <w:p>
            <w:pPr>
              <w:ind w:left="380"/>
              <w:spacing w:after="0"/>
              <w:rPr>
                <w:sz w:val="20"/>
                <w:szCs w:val="20"/>
                <w:color w:val="auto"/>
              </w:rPr>
            </w:pPr>
            <w:r>
              <w:rPr>
                <w:rFonts w:ascii="Arial" w:cs="Arial" w:eastAsia="Arial" w:hAnsi="Arial"/>
                <w:sz w:val="18"/>
                <w:szCs w:val="18"/>
                <w:color w:val="auto"/>
              </w:rPr>
              <w:t>Total comprehensive income for the periods presented was as follows:</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w w:val="94"/>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October 31, 2011</w:t>
            </w:r>
          </w:p>
        </w:tc>
        <w:tc>
          <w:tcPr>
            <w:tcW w:w="1440" w:type="dxa"/>
            <w:vAlign w:val="bottom"/>
            <w:gridSpan w:val="3"/>
          </w:tcPr>
          <w:p>
            <w:pPr>
              <w:ind w:left="140"/>
              <w:spacing w:after="0"/>
              <w:rPr>
                <w:sz w:val="20"/>
                <w:szCs w:val="20"/>
                <w:color w:val="auto"/>
              </w:rPr>
            </w:pPr>
            <w:r>
              <w:rPr>
                <w:rFonts w:ascii="Arial" w:cs="Arial" w:eastAsia="Arial" w:hAnsi="Arial"/>
                <w:sz w:val="18"/>
                <w:szCs w:val="18"/>
                <w:b w:val="1"/>
                <w:bCs w:val="1"/>
                <w:color w:val="auto"/>
                <w:w w:val="88"/>
              </w:rPr>
              <w:t>October 31, 2010</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32,732</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26,281</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Unrealized gain (loss) on cash flow hedges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1,330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6"/>
              </w:rPr>
              <w:t>Prior service credit and amortization of (gain) loss on post-retirement medical plan</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Foreign currency translation adjustments (1)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(19,118)</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30,095</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15,612</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55,588</w:t>
            </w:r>
          </w:p>
        </w:tc>
      </w:tr>
      <w:tr>
        <w:trPr>
          <w:trHeight w:val="20"/>
        </w:trPr>
        <w:tc>
          <w:tcPr>
            <w:tcW w:w="6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79" w:hanging="388"/>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translation adjustment in the table above includes the settlement of net investment hedges for the three months ended October 31, 2011 of ($584), net of tax.</w:t>
      </w:r>
    </w:p>
    <w:p>
      <w:pPr>
        <w:spacing w:after="0" w:line="143"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decrease in total comprehensive income for the quarter ended October 31, 2011 as compared to the quarter ended October 31, 2010 was primarily due to the appreciation of the U.S. dollar against other currencies.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D — Net Income per Common Share</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October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Numerator: (in thousands)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32,732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26,281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00"/>
              <w:spacing w:after="0"/>
              <w:rPr>
                <w:sz w:val="20"/>
                <w:szCs w:val="20"/>
                <w:color w:val="auto"/>
              </w:rPr>
            </w:pPr>
            <w:r>
              <w:rPr>
                <w:rFonts w:ascii="Arial" w:cs="Arial" w:eastAsia="Arial" w:hAnsi="Arial"/>
                <w:sz w:val="18"/>
                <w:szCs w:val="18"/>
                <w:color w:val="auto"/>
              </w:rPr>
              <w:t>Restricted stock dividends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Numerator for basic and diluted Class A net income per share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32,675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26,225</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200"/>
              <w:spacing w:after="0"/>
              <w:rPr>
                <w:sz w:val="20"/>
                <w:szCs w:val="20"/>
                <w:color w:val="auto"/>
              </w:rPr>
            </w:pPr>
            <w:r>
              <w:rPr>
                <w:rFonts w:ascii="Arial" w:cs="Arial" w:eastAsia="Arial" w:hAnsi="Arial"/>
                <w:sz w:val="18"/>
                <w:szCs w:val="18"/>
                <w:color w:val="auto"/>
              </w:rPr>
              <w:t>Less:</w:t>
            </w: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6460" w:type="dxa"/>
            <w:vAlign w:val="bottom"/>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31,852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25,399</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Denominator: (in thousands)</w:t>
            </w: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basic net income per share for both Class A and Class B</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52,657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52,448</w:t>
            </w: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Arial" w:cs="Arial" w:eastAsia="Arial" w:hAnsi="Arial"/>
                <w:sz w:val="18"/>
                <w:szCs w:val="18"/>
                <w:color w:val="auto"/>
              </w:rPr>
              <w:t>Plus: Effect of dilutive stock options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diluted net income per share for both Class A and Class B</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52,954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52,810</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Class A Nonvoting Common Stock net income per share:</w:t>
            </w: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646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0.62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Class B Voting Common Stock net income per share: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00"/>
              <w:spacing w:after="0"/>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0.60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Options to purchase approximately 4,915,000 and 3,636,000 shares of Class A Nonvoting Common Stock were not included in the computation of diluted net income per share for the quarters ended October 31, 2011 and 2010, respectively, because the option exercise price was greater than the average market price of the common shares and, therefore, the effect would be anti-dilutive.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E — Segment Information</w:t>
      </w:r>
    </w:p>
    <w:p>
      <w:pPr>
        <w:spacing w:after="0" w:line="198" w:lineRule="exact"/>
        <w:rPr>
          <w:sz w:val="20"/>
          <w:szCs w:val="20"/>
          <w:color w:val="auto"/>
        </w:rPr>
      </w:pPr>
    </w:p>
    <w:p>
      <w:pPr>
        <w:jc w:val="both"/>
        <w:ind w:left="340" w:right="1360" w:firstLine="389"/>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(expense) and income taxes are also excluded when evaluating performance.</w:t>
      </w:r>
    </w:p>
    <w:p>
      <w:pPr>
        <w:spacing w:after="0" w:line="153" w:lineRule="exact"/>
        <w:rPr>
          <w:sz w:val="20"/>
          <w:szCs w:val="20"/>
          <w:color w:val="auto"/>
        </w:rPr>
      </w:pPr>
    </w:p>
    <w:p>
      <w:pPr>
        <w:jc w:val="both"/>
        <w:ind w:left="340" w:right="1360" w:firstLine="389"/>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jc w:val="both"/>
        <w:ind w:left="340" w:right="1380" w:firstLine="389"/>
        <w:spacing w:after="0" w:line="342" w:lineRule="auto"/>
        <w:rPr>
          <w:sz w:val="20"/>
          <w:szCs w:val="20"/>
          <w:color w:val="auto"/>
        </w:rPr>
      </w:pPr>
      <w:r>
        <w:rPr>
          <w:rFonts w:ascii="Arial" w:cs="Arial" w:eastAsia="Arial" w:hAnsi="Arial"/>
          <w:sz w:val="16"/>
          <w:szCs w:val="16"/>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Following is a summary of segment information for the three months ended October 31, 2011 and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and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Europe</w:t>
            </w:r>
          </w:p>
        </w:tc>
        <w:tc>
          <w:tcPr>
            <w:tcW w:w="1440" w:type="dxa"/>
            <w:vAlign w:val="bottom"/>
            <w:gridSpan w:val="4"/>
          </w:tcPr>
          <w:p>
            <w:pPr>
              <w:ind w:left="180"/>
              <w:spacing w:after="0"/>
              <w:rPr>
                <w:sz w:val="20"/>
                <w:szCs w:val="20"/>
                <w:color w:val="auto"/>
              </w:rPr>
            </w:pPr>
            <w:r>
              <w:rPr>
                <w:rFonts w:ascii="Arial" w:cs="Arial" w:eastAsia="Arial" w:hAnsi="Arial"/>
                <w:sz w:val="18"/>
                <w:szCs w:val="18"/>
                <w:b w:val="1"/>
                <w:bCs w:val="1"/>
                <w:color w:val="auto"/>
              </w:rPr>
              <w:t>Asia-Pacific</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Total Region</w:t>
            </w:r>
          </w:p>
        </w:tc>
        <w:tc>
          <w:tcPr>
            <w:tcW w:w="1500" w:type="dxa"/>
            <w:vAlign w:val="bottom"/>
            <w:gridSpan w:val="4"/>
          </w:tcPr>
          <w:p>
            <w:pPr>
              <w:ind w:left="160"/>
              <w:spacing w:after="0"/>
              <w:rPr>
                <w:sz w:val="20"/>
                <w:szCs w:val="20"/>
                <w:color w:val="auto"/>
              </w:rPr>
            </w:pPr>
            <w:r>
              <w:rPr>
                <w:rFonts w:ascii="Arial" w:cs="Arial" w:eastAsia="Arial" w:hAnsi="Arial"/>
                <w:sz w:val="18"/>
                <w:szCs w:val="18"/>
                <w:b w:val="1"/>
                <w:bCs w:val="1"/>
                <w:color w:val="auto"/>
              </w:rPr>
              <w:t>Eliminations</w:t>
            </w:r>
          </w:p>
        </w:tc>
        <w:tc>
          <w:tcPr>
            <w:tcW w:w="12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Totals</w:t>
            </w:r>
          </w:p>
        </w:tc>
      </w:tr>
      <w:tr>
        <w:trPr>
          <w:trHeight w:val="195"/>
        </w:trPr>
        <w:tc>
          <w:tcPr>
            <w:tcW w:w="25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Three months ended October 31,</w:t>
            </w: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540" w:type="dxa"/>
            <w:vAlign w:val="bottom"/>
          </w:tcPr>
          <w:p>
            <w:pPr>
              <w:ind w:left="200"/>
              <w:spacing w:after="0" w:line="201" w:lineRule="exact"/>
              <w:rPr>
                <w:sz w:val="20"/>
                <w:szCs w:val="20"/>
                <w:color w:val="auto"/>
              </w:rPr>
            </w:pPr>
            <w:r>
              <w:rPr>
                <w:rFonts w:ascii="Arial" w:cs="Arial" w:eastAsia="Arial" w:hAnsi="Arial"/>
                <w:sz w:val="18"/>
                <w:szCs w:val="18"/>
                <w:color w:val="auto"/>
              </w:rPr>
              <w:t>Revenues from external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40" w:type="dxa"/>
            <w:vAlign w:val="bottom"/>
          </w:tcPr>
          <w:p>
            <w:pPr>
              <w:ind w:left="400"/>
              <w:spacing w:after="0"/>
              <w:rPr>
                <w:sz w:val="20"/>
                <w:szCs w:val="20"/>
                <w:color w:val="auto"/>
              </w:rPr>
            </w:pPr>
            <w:r>
              <w:rPr>
                <w:rFonts w:ascii="Arial" w:cs="Arial" w:eastAsia="Arial" w:hAnsi="Arial"/>
                <w:sz w:val="18"/>
                <w:szCs w:val="18"/>
                <w:color w:val="auto"/>
              </w:rPr>
              <w:t>customers</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153,863</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97,356</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98,289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349,508</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349,508</w:t>
            </w:r>
          </w:p>
        </w:tc>
      </w:tr>
      <w:tr>
        <w:trPr>
          <w:trHeight w:val="216"/>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7,442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(18,429)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ind w:left="200"/>
              <w:spacing w:after="0"/>
              <w:rPr>
                <w:sz w:val="20"/>
                <w:szCs w:val="20"/>
                <w:color w:val="auto"/>
              </w:rPr>
            </w:pPr>
            <w:r>
              <w:rPr>
                <w:rFonts w:ascii="Arial" w:cs="Arial" w:eastAsia="Arial" w:hAnsi="Arial"/>
                <w:sz w:val="18"/>
                <w:szCs w:val="18"/>
                <w:color w:val="auto"/>
              </w:rPr>
              <w:t>Segment profit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43,230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26,299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13,304</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82,833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79,570</w:t>
            </w: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Three months ended October 31,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540" w:type="dxa"/>
            <w:vAlign w:val="bottom"/>
          </w:tcPr>
          <w:p>
            <w:pPr>
              <w:ind w:left="200"/>
              <w:spacing w:after="0" w:line="201" w:lineRule="exact"/>
              <w:rPr>
                <w:sz w:val="20"/>
                <w:szCs w:val="20"/>
                <w:color w:val="auto"/>
              </w:rPr>
            </w:pPr>
            <w:r>
              <w:rPr>
                <w:rFonts w:ascii="Arial" w:cs="Arial" w:eastAsia="Arial" w:hAnsi="Arial"/>
                <w:sz w:val="18"/>
                <w:szCs w:val="18"/>
                <w:color w:val="auto"/>
              </w:rPr>
              <w:t>Revenues from external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40" w:type="dxa"/>
            <w:vAlign w:val="bottom"/>
          </w:tcPr>
          <w:p>
            <w:pPr>
              <w:ind w:left="400"/>
              <w:spacing w:after="0"/>
              <w:rPr>
                <w:sz w:val="20"/>
                <w:szCs w:val="20"/>
                <w:color w:val="auto"/>
              </w:rPr>
            </w:pPr>
            <w:r>
              <w:rPr>
                <w:rFonts w:ascii="Arial" w:cs="Arial" w:eastAsia="Arial" w:hAnsi="Arial"/>
                <w:sz w:val="18"/>
                <w:szCs w:val="18"/>
                <w:color w:val="auto"/>
              </w:rPr>
              <w:t>customers</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145,988</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92,050</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91,550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329,588</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329,588</w:t>
            </w:r>
          </w:p>
        </w:tc>
      </w:tr>
      <w:tr>
        <w:trPr>
          <w:trHeight w:val="216"/>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5,946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(16,587)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540" w:type="dxa"/>
            <w:vAlign w:val="bottom"/>
          </w:tcPr>
          <w:p>
            <w:pPr>
              <w:ind w:left="200"/>
              <w:spacing w:after="0"/>
              <w:rPr>
                <w:sz w:val="20"/>
                <w:szCs w:val="20"/>
                <w:color w:val="auto"/>
              </w:rPr>
            </w:pPr>
            <w:r>
              <w:rPr>
                <w:rFonts w:ascii="Arial" w:cs="Arial" w:eastAsia="Arial" w:hAnsi="Arial"/>
                <w:sz w:val="18"/>
                <w:szCs w:val="18"/>
                <w:color w:val="auto"/>
              </w:rPr>
              <w:t>Segment profit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39,359</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24,061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16,829</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80,249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(3,436)</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76,813</w:t>
            </w:r>
          </w:p>
        </w:tc>
      </w:tr>
    </w:tbl>
    <w:p>
      <w:pPr>
        <w:spacing w:after="0" w:line="14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Following is a reconciliation of segment profit to net income for the three months ended October 31, 2011 and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6"/>
              </w:rPr>
              <w:t>Three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October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35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82,833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(3,263)</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(30,480)</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(31,569)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Investment and other income (expense)</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43,841</w:t>
            </w:r>
          </w:p>
        </w:tc>
        <w:tc>
          <w:tcPr>
            <w:tcW w:w="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(11,109)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32,732</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380" w:type="dxa"/>
            <w:vAlign w:val="bottom"/>
            <w:vMerge w:val="restart"/>
          </w:tcPr>
          <w:p>
            <w:pPr>
              <w:jc w:val="right"/>
              <w:ind w:right="231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F — Stock-Based Compensation</w:t>
      </w:r>
    </w:p>
    <w:p>
      <w:pPr>
        <w:spacing w:after="0" w:line="198"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Company has incentive stock plans under which the Board of Directors may grant unrestricted stock, nonqualified stock options, incentive stock options, shares of restricted stock and restricted stock units to eligible employees and Directors of the Company and its affiliates. The stock options granted under the Company’s active incentive stock plans have an exercise price equal to the fair market value of the underlying stock at the date of grant and generally vest ratably over a three-year period, with one-third becoming exercisable one year after the grant date and one-third additional in each of the succeeding two years. Stock options issued under these plans, referred to herein as “service-based” stock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stock options. Performance-based stock options expire 10 years from the date of grant. The Company granted restricted shares in fiscal 2008 and fiscal 2011 that have an issuance price equal to the fair market value of the underlying stock at the date of grant. The restricted shares granted in fiscal 2008 were amended in fiscal 2011 to allow for vesting after a seven-year period upon meeting both performance and service conditions. The restricted shares granted in fiscal 2011 vest ratably at the end of years three, four and five upon meeting certain performance and service conditions. The restricted shares granted in fiscal 2008 and 2011 are referred to herein as “performance-based restricted shares.”</w:t>
      </w:r>
    </w:p>
    <w:p>
      <w:pPr>
        <w:spacing w:after="0" w:line="145"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As of October 31, 2011, the Company has reserved 6,885,999 shares of Class A Nonvoting Common Stock for outstanding stock options and restricted shares and 5,020,700 shares of Class A Nonvoting Common Stock remain for future issuance of stock options and restricted shares under the active plans. The Company uses treasury stock or will issue new Class A Nonvoting Common Stock to deliver shares under these plans.</w:t>
      </w:r>
    </w:p>
    <w:p>
      <w:pPr>
        <w:spacing w:after="0" w:line="14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recognizes the compensation cost of all share-based awards on a straight-line basis over the vesting period of the award. Total stock compensation expense recognized by the Company during the three months ended October 31, 2011 and 2010 was $3,591 ($2,190 net of taxes) and $4,069 ($2,482 net of taxes), respectively. As of October 31, 2011, total unrecognized compensation cost related to share-based compensation awards was $22,882 pre-tax, net of estimated forfeitures, which the Company expects to recognize over a weighted-average period of 2.3 years.</w:t>
      </w:r>
    </w:p>
    <w:p>
      <w:pPr>
        <w:spacing w:after="0" w:line="16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stock option awards granted during the three months ended October 31, 2011 and 2010 using the Black-Scholes option valuation model. The weighted-average assumptions used in the Black-Scholes valuation model are reflected in the following table:</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0"/>
              </w:rPr>
              <w:t>Three Months Ended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0"/>
              </w:rPr>
              <w:t>October 31, 2011</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70"/>
              <w:spacing w:after="0"/>
              <w:rPr>
                <w:sz w:val="20"/>
                <w:szCs w:val="20"/>
                <w:color w:val="auto"/>
              </w:rPr>
            </w:pPr>
            <w:r>
              <w:rPr>
                <w:rFonts w:ascii="Arial" w:cs="Arial" w:eastAsia="Arial" w:hAnsi="Arial"/>
                <w:sz w:val="18"/>
                <w:szCs w:val="18"/>
                <w:b w:val="1"/>
                <w:bCs w:val="1"/>
                <w:color w:val="auto"/>
                <w:w w:val="90"/>
              </w:rPr>
              <w:t>October 31, 2010</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9"/>
              </w:rPr>
              <w:t>Performance-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3"/>
          </w:tcPr>
          <w:p>
            <w:pPr>
              <w:ind w:left="100"/>
              <w:spacing w:after="0" w:line="191" w:lineRule="exact"/>
              <w:rPr>
                <w:sz w:val="20"/>
                <w:szCs w:val="20"/>
                <w:color w:val="auto"/>
              </w:rPr>
            </w:pPr>
            <w:r>
              <w:rPr>
                <w:rFonts w:ascii="Arial" w:cs="Arial" w:eastAsia="Arial" w:hAnsi="Arial"/>
                <w:sz w:val="18"/>
                <w:szCs w:val="18"/>
                <w:b w:val="1"/>
                <w:bCs w:val="1"/>
                <w:color w:val="auto"/>
                <w:w w:val="89"/>
              </w:rPr>
              <w:t>Performance-</w:t>
            </w:r>
          </w:p>
        </w:tc>
        <w:tc>
          <w:tcPr>
            <w:tcW w:w="160" w:type="dxa"/>
            <w:vAlign w:val="bottom"/>
          </w:tcPr>
          <w:p>
            <w:pPr>
              <w:spacing w:after="0"/>
              <w:rPr>
                <w:sz w:val="16"/>
                <w:szCs w:val="16"/>
                <w:color w:val="auto"/>
              </w:rPr>
            </w:pP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8"/>
              </w:rPr>
              <w:t>Service-Based</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Based Option</w:t>
            </w:r>
          </w:p>
        </w:tc>
        <w:tc>
          <w:tcPr>
            <w:tcW w:w="10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8"/>
              </w:rPr>
              <w:t>Service-Based</w:t>
            </w:r>
          </w:p>
        </w:tc>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Based Option</w:t>
            </w:r>
          </w:p>
        </w:tc>
      </w:t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w w:val="98"/>
              </w:rPr>
              <w:t>Black-Scholes Option Valuation Assumptions</w:t>
            </w:r>
          </w:p>
        </w:tc>
        <w:tc>
          <w:tcPr>
            <w:tcW w:w="2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Option Awards</w:t>
            </w:r>
          </w:p>
        </w:tc>
        <w:tc>
          <w:tcPr>
            <w:tcW w:w="1300" w:type="dxa"/>
            <w:vAlign w:val="bottom"/>
            <w:gridSpan w:val="3"/>
          </w:tcPr>
          <w:p>
            <w:pPr>
              <w:ind w:left="240"/>
              <w:spacing w:after="0"/>
              <w:rPr>
                <w:sz w:val="20"/>
                <w:szCs w:val="20"/>
                <w:color w:val="auto"/>
              </w:rPr>
            </w:pPr>
            <w:r>
              <w:rPr>
                <w:rFonts w:ascii="Arial" w:cs="Arial" w:eastAsia="Arial" w:hAnsi="Arial"/>
                <w:sz w:val="18"/>
                <w:szCs w:val="18"/>
                <w:b w:val="1"/>
                <w:bCs w:val="1"/>
                <w:color w:val="auto"/>
              </w:rPr>
              <w:t>Awards</w:t>
            </w:r>
          </w:p>
        </w:tc>
        <w:tc>
          <w:tcPr>
            <w:tcW w:w="1520" w:type="dxa"/>
            <w:vAlign w:val="bottom"/>
            <w:gridSpan w:val="4"/>
          </w:tcPr>
          <w:p>
            <w:pPr>
              <w:ind w:left="100"/>
              <w:spacing w:after="0"/>
              <w:rPr>
                <w:sz w:val="20"/>
                <w:szCs w:val="20"/>
                <w:color w:val="auto"/>
              </w:rPr>
            </w:pPr>
            <w:r>
              <w:rPr>
                <w:rFonts w:ascii="Arial" w:cs="Arial" w:eastAsia="Arial" w:hAnsi="Arial"/>
                <w:sz w:val="18"/>
                <w:szCs w:val="18"/>
                <w:b w:val="1"/>
                <w:bCs w:val="1"/>
                <w:color w:val="auto"/>
              </w:rPr>
              <w:t>Option Awards</w:t>
            </w:r>
          </w:p>
        </w:tc>
        <w:tc>
          <w:tcPr>
            <w:tcW w:w="100" w:type="dxa"/>
            <w:vAlign w:val="bottom"/>
          </w:tcPr>
          <w:p>
            <w:pPr>
              <w:spacing w:after="0"/>
              <w:rPr>
                <w:sz w:val="20"/>
                <w:szCs w:val="20"/>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Awards</w:t>
            </w:r>
          </w:p>
        </w:tc>
      </w:tr>
      <w:tr>
        <w:trPr>
          <w:trHeight w:val="20"/>
        </w:trPr>
        <w:tc>
          <w:tcPr>
            <w:tcW w:w="3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39.40%</w:t>
            </w:r>
          </w:p>
        </w:tc>
        <w:tc>
          <w:tcPr>
            <w:tcW w:w="6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39.21%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39.39%</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6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market value of underlying stock</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 grant date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29.55</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29.09</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28.35</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27.00</w:t>
            </w:r>
          </w:p>
        </w:tc>
        <w:tc>
          <w:tcPr>
            <w:tcW w:w="6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29.55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28.35</w:t>
            </w: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 value of options granted</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during the period</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8.37</w:t>
            </w:r>
          </w:p>
        </w:tc>
        <w:tc>
          <w:tcPr>
            <w:tcW w:w="6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w:t>
            </w:r>
          </w:p>
        </w:tc>
      </w:tr>
    </w:tbl>
    <w:p>
      <w:pPr>
        <w:spacing w:after="0" w:line="16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5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granted 100,000 shares of performance-based restricted stock to Frank M. Jaehnert, the Company’s President and Chief Executive Officer, in August of 2010, with a grant price and fair value of $28.35. The Company also granted 210,000 shares of performance-based restricted stock during fiscal 2008, with a grant price and fair value of $32.83. As of October 31, 2011, 310,000 performance-based restricted shares were outstanding.</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granted 415,000 performance-based stock options during the three months ended October 31, 2011, with a weighted average exercise price of $29.55 and a weighted average fair value of $10.01. The Company also granted 791,150 service-based stock options during the three months ended October 31, 2011, with a weighted average exercise price of $27.00 and a weighted average fair value of $8.37.</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 summary of stock option activity under the Company’s share-based compensation plans for the three months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October 31, 2011 is presented below:</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Weighted</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8"/>
              </w:rPr>
              <w:t>Average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0"/>
                <w:szCs w:val="20"/>
                <w:color w:val="auto"/>
              </w:rPr>
            </w:pPr>
          </w:p>
        </w:tc>
        <w:tc>
          <w:tcPr>
            <w:tcW w:w="960" w:type="dxa"/>
            <w:vAlign w:val="bottom"/>
          </w:tcPr>
          <w:p>
            <w:pPr>
              <w:ind w:left="240"/>
              <w:spacing w:after="0"/>
              <w:rPr>
                <w:sz w:val="20"/>
                <w:szCs w:val="20"/>
                <w:color w:val="auto"/>
              </w:rPr>
            </w:pPr>
            <w:r>
              <w:rPr>
                <w:rFonts w:ascii="Arial" w:cs="Arial" w:eastAsia="Arial" w:hAnsi="Arial"/>
                <w:sz w:val="18"/>
                <w:szCs w:val="18"/>
                <w:b w:val="1"/>
                <w:bCs w:val="1"/>
                <w:color w:val="auto"/>
              </w:rPr>
              <w:t>Shares</w:t>
            </w:r>
          </w:p>
        </w:tc>
        <w:tc>
          <w:tcPr>
            <w:tcW w:w="380" w:type="dxa"/>
            <w:vAlign w:val="bottom"/>
            <w:gridSpan w:val="2"/>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
        </w:trPr>
        <w:tc>
          <w:tcPr>
            <w:tcW w:w="4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2011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7"/>
              </w:rPr>
              <w:t>5,726,017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29.24</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New grants</w:t>
            </w:r>
          </w:p>
        </w:tc>
        <w:tc>
          <w:tcPr>
            <w:tcW w:w="1260" w:type="dxa"/>
            <w:vAlign w:val="bottom"/>
            <w:gridSpan w:val="3"/>
          </w:tcPr>
          <w:p>
            <w:pPr>
              <w:ind w:left="520"/>
              <w:spacing w:after="0"/>
              <w:rPr>
                <w:sz w:val="20"/>
                <w:szCs w:val="20"/>
                <w:color w:val="auto"/>
              </w:rPr>
            </w:pPr>
            <w:r>
              <w:rPr>
                <w:rFonts w:ascii="Arial" w:cs="Arial" w:eastAsia="Arial" w:hAnsi="Arial"/>
                <w:sz w:val="18"/>
                <w:szCs w:val="18"/>
                <w:color w:val="auto"/>
                <w:w w:val="89"/>
              </w:rPr>
              <w:t>1,206,150</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27.88</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(69,803)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20.49</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Forfeited or expired</w:t>
            </w:r>
          </w:p>
        </w:tc>
        <w:tc>
          <w:tcPr>
            <w:tcW w:w="280" w:type="dxa"/>
            <w:vAlign w:val="bottom"/>
          </w:tcPr>
          <w:p>
            <w:pPr>
              <w:spacing w:after="0"/>
              <w:rPr>
                <w:sz w:val="19"/>
                <w:szCs w:val="19"/>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(49,365)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28.58</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2011</w:t>
            </w:r>
          </w:p>
        </w:tc>
        <w:tc>
          <w:tcPr>
            <w:tcW w:w="2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7"/>
              </w:rPr>
              <w:t>6,812,999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29.09</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Exercisable at October 31, 2011</w:t>
            </w: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29.83</w:t>
            </w: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7"/>
              </w:rPr>
              <w:t>3,975,963</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There were 3,975,963 and 3,301,195 options exercisable with a weighted average exercise price of $29.83 and $29.10 at October 31, 2011 and 2010, respectively. The cash received from the exercise of options during the quarters ended October 31, 2011 and 2010 was $683 and $2,105, respectively. The tax benefit on stock options exercised during the quarters ended October 31, 2011 and 2010 was $469 and $440, respectively.</w:t>
      </w:r>
    </w:p>
    <w:p>
      <w:pPr>
        <w:spacing w:after="0" w:line="14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total intrinsic value of options exercised during the three months ended October 31, 2011 and 2010, based upon the average market price at the time of exercise during the period, was $642 and $1,320, respectively. The total fair value of stock options vested during the three months ended October 31, 2011 and 2010, was $6,935 and $3,685, respectively.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G — Stockholders’ Equity</w:t>
      </w:r>
    </w:p>
    <w:p>
      <w:pPr>
        <w:spacing w:after="0" w:line="19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fiscal 2009, the Company’s Board of Directors authorized a share repurchase plan for the Company’s Class A Nonvoting Common Stock. The plan was implemented by purchasing shares in the open market or in privately negotiated transactions, with repurchased shares available for use in connection with the Company’s stock-based plans and for other corporate purposes. The Company did not repurchase shares during fiscal 2011. As of July 31, 2011, there remained 204,133 shares to purchase in connection with this share repurchase plan.</w:t>
      </w:r>
    </w:p>
    <w:p>
      <w:pPr>
        <w:spacing w:after="0" w:line="14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On September 9, 2011, the Company’s Board of Directors authorized an additional share repurchase program for up to two million additional shares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During the three months ended October 31, 2011, the Company purchased 457,360 shares of its Class A Nonvoting Common Stock under this plan for $12,309. As of October 31, 2011, there remained 1,746,773 shares to purchase in connection with this share repurchase plan.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H — Employee Benefit Plans</w:t>
      </w:r>
    </w:p>
    <w:p>
      <w:pPr>
        <w:spacing w:after="0" w:line="19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provides postretirement medical benefits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3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funds benefit costs on a pay-as-you-go basis. There have been no changes to the components of net periodic benefit cost or the amount that the Company expects to fund in fiscal 2012 from those reported in Note 3 to the consolidated financial statements included in the Company’s latest annual report on Form 10-K for the year ended July 31, 2011.</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I — Fair Value Measurements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130" w:lineRule="exact"/>
        <w:rPr>
          <w:sz w:val="20"/>
          <w:szCs w:val="20"/>
          <w:color w:val="auto"/>
        </w:rPr>
      </w:pPr>
    </w:p>
    <w:p>
      <w:pPr>
        <w:ind w:left="720" w:right="179"/>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quoted market prices in active markets for identical instruments as of the reporting date.</w:t>
      </w:r>
    </w:p>
    <w:p>
      <w:pPr>
        <w:spacing w:after="0" w:line="130"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Assets or liabilities for which fair value is based on valuation models for which pricing inputs were either directly or indirectly observable.</w:t>
      </w:r>
    </w:p>
    <w:p>
      <w:pPr>
        <w:spacing w:after="0" w:line="143" w:lineRule="exact"/>
        <w:rPr>
          <w:sz w:val="20"/>
          <w:szCs w:val="20"/>
          <w:color w:val="auto"/>
        </w:rPr>
      </w:pPr>
    </w:p>
    <w:p>
      <w:pPr>
        <w:ind w:left="720" w:right="179"/>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w:t>
      </w:r>
    </w:p>
    <w:p>
      <w:pPr>
        <w:spacing w:after="0" w:line="13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following tables set forth by level within the fair value hierarchy, our financial assets and liabilities that were accounted for at fair value on a recurring basis at October 31, 2011, and July 31, 2011, according to the valuation techniques the Company used to determine their fair values.</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Fair Value Measurements Using Inputs</w:t>
      </w:r>
    </w:p>
    <w:p>
      <w:pPr>
        <w:jc w:val="center"/>
        <w:ind w:right="479"/>
        <w:spacing w:after="0" w:line="223" w:lineRule="auto"/>
        <w:rPr>
          <w:sz w:val="20"/>
          <w:szCs w:val="20"/>
          <w:color w:val="auto"/>
        </w:rPr>
      </w:pPr>
      <w:r>
        <w:rPr>
          <w:rFonts w:ascii="Arial" w:cs="Arial" w:eastAsia="Arial" w:hAnsi="Arial"/>
          <w:sz w:val="13"/>
          <w:szCs w:val="13"/>
          <w:b w:val="1"/>
          <w:bCs w:val="1"/>
          <w:color w:val="auto"/>
        </w:rPr>
        <w:t>Considered As</w:t>
      </w:r>
    </w:p>
    <w:tbl>
      <w:tblPr>
        <w:tblLayout w:type="fixed"/>
        <w:tblInd w:w="340" w:type="dxa"/>
        <w:tblCellMar>
          <w:top w:w="0" w:type="dxa"/>
          <w:left w:w="0" w:type="dxa"/>
          <w:bottom w:w="0" w:type="dxa"/>
          <w:right w:w="0" w:type="dxa"/>
        </w:tblCellMar>
      </w:tblPr>
      <w:tr>
        <w:trPr>
          <w:trHeight w:val="110"/>
        </w:trPr>
        <w:tc>
          <w:tcPr>
            <w:tcW w:w="30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jc w:val="center"/>
              <w:ind w:right="260"/>
              <w:spacing w:after="0" w:line="110" w:lineRule="exact"/>
              <w:rPr>
                <w:sz w:val="20"/>
                <w:szCs w:val="20"/>
                <w:color w:val="auto"/>
              </w:rPr>
            </w:pPr>
            <w:r>
              <w:rPr>
                <w:rFonts w:ascii="Arial" w:cs="Arial" w:eastAsia="Arial" w:hAnsi="Arial"/>
                <w:sz w:val="12"/>
                <w:szCs w:val="12"/>
                <w:b w:val="1"/>
                <w:bCs w:val="1"/>
                <w:color w:val="auto"/>
                <w:w w:val="93"/>
              </w:rPr>
              <w:t>Quoted Prices</w:t>
            </w: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40" w:type="dxa"/>
            <w:vAlign w:val="bottom"/>
          </w:tcPr>
          <w:p>
            <w:pPr>
              <w:spacing w:after="0"/>
              <w:rPr>
                <w:sz w:val="9"/>
                <w:szCs w:val="9"/>
                <w:color w:val="auto"/>
              </w:rPr>
            </w:pPr>
          </w:p>
        </w:tc>
      </w:tr>
      <w:tr>
        <w:trPr>
          <w:trHeight w:val="135"/>
        </w:trPr>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in Active</w:t>
            </w:r>
          </w:p>
        </w:tc>
        <w:tc>
          <w:tcPr>
            <w:tcW w:w="1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Markets for</w:t>
            </w:r>
          </w:p>
        </w:tc>
        <w:tc>
          <w:tcPr>
            <w:tcW w:w="10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Observable</w:t>
            </w:r>
          </w:p>
        </w:tc>
        <w:tc>
          <w:tcPr>
            <w:tcW w:w="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Inputs</w:t>
            </w:r>
          </w:p>
        </w:tc>
        <w:tc>
          <w:tcPr>
            <w:tcW w:w="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Inputs</w:t>
            </w:r>
          </w:p>
        </w:tc>
        <w:tc>
          <w:tcPr>
            <w:tcW w:w="16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rPr>
              <w:t>Fair</w:t>
            </w:r>
          </w:p>
        </w:tc>
        <w:tc>
          <w:tcPr>
            <w:tcW w:w="2440" w:type="dxa"/>
            <w:vAlign w:val="bottom"/>
          </w:tcPr>
          <w:p>
            <w:pPr>
              <w:ind w:left="840"/>
              <w:spacing w:after="0" w:line="135" w:lineRule="exact"/>
              <w:rPr>
                <w:sz w:val="20"/>
                <w:szCs w:val="20"/>
                <w:color w:val="auto"/>
              </w:rPr>
            </w:pPr>
            <w:r>
              <w:rPr>
                <w:rFonts w:ascii="Arial" w:cs="Arial" w:eastAsia="Arial" w:hAnsi="Arial"/>
                <w:sz w:val="13"/>
                <w:szCs w:val="13"/>
                <w:b w:val="1"/>
                <w:bCs w:val="1"/>
                <w:color w:val="auto"/>
              </w:rPr>
              <w:t>Balance Sheet</w:t>
            </w:r>
          </w:p>
        </w:tc>
      </w:tr>
      <w:tr>
        <w:trPr>
          <w:trHeight w:val="153"/>
        </w:trPr>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0"/>
              </w:rPr>
              <w:t>(Level 1)</w:t>
            </w:r>
          </w:p>
        </w:tc>
        <w:tc>
          <w:tcPr>
            <w:tcW w:w="10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(Level 2)</w:t>
            </w:r>
          </w:p>
        </w:tc>
        <w:tc>
          <w:tcPr>
            <w:tcW w:w="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(Level 3)</w:t>
            </w:r>
          </w:p>
        </w:tc>
        <w:tc>
          <w:tcPr>
            <w:tcW w:w="16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Values</w:t>
            </w:r>
          </w:p>
        </w:tc>
        <w:tc>
          <w:tcPr>
            <w:tcW w:w="2440" w:type="dxa"/>
            <w:vAlign w:val="bottom"/>
          </w:tcPr>
          <w:p>
            <w:pPr>
              <w:ind w:left="840"/>
              <w:spacing w:after="0"/>
              <w:rPr>
                <w:sz w:val="20"/>
                <w:szCs w:val="20"/>
                <w:color w:val="auto"/>
              </w:rPr>
            </w:pPr>
            <w:r>
              <w:rPr>
                <w:rFonts w:ascii="Arial" w:cs="Arial" w:eastAsia="Arial" w:hAnsi="Arial"/>
                <w:sz w:val="13"/>
                <w:szCs w:val="13"/>
                <w:b w:val="1"/>
                <w:bCs w:val="1"/>
                <w:color w:val="auto"/>
              </w:rPr>
              <w:t>Classifications</w:t>
            </w: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October 31, 2011:</w:t>
            </w:r>
          </w:p>
        </w:tc>
        <w:tc>
          <w:tcPr>
            <w:tcW w:w="2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40" w:type="dxa"/>
            <w:vAlign w:val="bottom"/>
            <w:tcBorders>
              <w:top w:val="single" w:sz="8" w:color="auto"/>
            </w:tcBorders>
            <w:shd w:val="clear" w:color="auto" w:fill="CCEEFF"/>
          </w:tcPr>
          <w:p>
            <w:pPr>
              <w:spacing w:after="0"/>
              <w:rPr>
                <w:sz w:val="11"/>
                <w:szCs w:val="11"/>
                <w:color w:val="auto"/>
              </w:rPr>
            </w:pPr>
          </w:p>
        </w:tc>
      </w:tr>
      <w:tr>
        <w:trPr>
          <w:trHeight w:val="135"/>
        </w:trPr>
        <w:tc>
          <w:tcPr>
            <w:tcW w:w="3040" w:type="dxa"/>
            <w:vAlign w:val="bottom"/>
          </w:tcPr>
          <w:p>
            <w:pPr>
              <w:spacing w:after="0" w:line="135" w:lineRule="exact"/>
              <w:rPr>
                <w:sz w:val="20"/>
                <w:szCs w:val="20"/>
                <w:color w:val="auto"/>
              </w:rPr>
            </w:pPr>
            <w:r>
              <w:rPr>
                <w:rFonts w:ascii="Arial" w:cs="Arial" w:eastAsia="Arial" w:hAnsi="Arial"/>
                <w:sz w:val="13"/>
                <w:szCs w:val="13"/>
                <w:color w:val="auto"/>
              </w:rPr>
              <w:t>Trading Securities</w:t>
            </w:r>
          </w:p>
        </w:tc>
        <w:tc>
          <w:tcPr>
            <w:tcW w:w="6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11,207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11,207</w:t>
            </w: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Other assets</w:t>
            </w:r>
          </w:p>
        </w:tc>
      </w:tr>
      <w:tr>
        <w:trPr>
          <w:trHeight w:val="135"/>
        </w:trPr>
        <w:tc>
          <w:tcPr>
            <w:tcW w:w="3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exchange contracts — cash flow hedges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296</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296</w:t>
            </w: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Prepaid expenses and other current assets</w:t>
            </w:r>
          </w:p>
        </w:tc>
      </w:tr>
      <w:tr>
        <w:trPr>
          <w:trHeight w:val="135"/>
        </w:trPr>
        <w:tc>
          <w:tcPr>
            <w:tcW w:w="3040" w:type="dxa"/>
            <w:vAlign w:val="bottom"/>
          </w:tcPr>
          <w:p>
            <w:pPr>
              <w:spacing w:after="0" w:line="135" w:lineRule="exact"/>
              <w:rPr>
                <w:sz w:val="20"/>
                <w:szCs w:val="20"/>
                <w:color w:val="auto"/>
              </w:rPr>
            </w:pPr>
            <w:r>
              <w:rPr>
                <w:rFonts w:ascii="Arial" w:cs="Arial" w:eastAsia="Arial" w:hAnsi="Arial"/>
                <w:sz w:val="13"/>
                <w:szCs w:val="13"/>
                <w:color w:val="auto"/>
              </w:rPr>
              <w:t>Foreign exchange contracts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w:t>
            </w:r>
          </w:p>
        </w:tc>
        <w:tc>
          <w:tcPr>
            <w:tcW w:w="60" w:type="dxa"/>
            <w:vAlign w:val="bottom"/>
          </w:tcPr>
          <w:p>
            <w:pPr>
              <w:spacing w:after="0"/>
              <w:rPr>
                <w:sz w:val="11"/>
                <w:szCs w:val="11"/>
                <w:color w:val="auto"/>
              </w:rPr>
            </w:pPr>
          </w:p>
        </w:tc>
        <w:tc>
          <w:tcPr>
            <w:tcW w:w="100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w:t>
            </w:r>
          </w:p>
        </w:tc>
        <w:tc>
          <w:tcPr>
            <w:tcW w:w="2440" w:type="dxa"/>
            <w:vAlign w:val="bottom"/>
          </w:tcPr>
          <w:p>
            <w:pPr>
              <w:spacing w:after="0" w:line="135" w:lineRule="exact"/>
              <w:rPr>
                <w:sz w:val="20"/>
                <w:szCs w:val="20"/>
                <w:color w:val="auto"/>
              </w:rPr>
            </w:pPr>
            <w:r>
              <w:rPr>
                <w:rFonts w:ascii="Arial" w:cs="Arial" w:eastAsia="Arial" w:hAnsi="Arial"/>
                <w:sz w:val="13"/>
                <w:szCs w:val="13"/>
                <w:color w:val="auto"/>
                <w:w w:val="97"/>
              </w:rPr>
              <w:t>Prepaid expenses and other current assets</w:t>
            </w:r>
          </w:p>
        </w:tc>
      </w:tr>
      <w:tr>
        <w:trPr>
          <w:trHeight w:val="27"/>
        </w:trPr>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35"/>
        </w:trPr>
        <w:tc>
          <w:tcPr>
            <w:tcW w:w="30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Total Assets</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11,207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317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11,524</w:t>
            </w:r>
          </w:p>
        </w:tc>
        <w:tc>
          <w:tcPr>
            <w:tcW w:w="2440" w:type="dxa"/>
            <w:vAlign w:val="bottom"/>
            <w:shd w:val="clear" w:color="auto" w:fill="CCEEFF"/>
          </w:tcPr>
          <w:p>
            <w:pPr>
              <w:spacing w:after="0"/>
              <w:rPr>
                <w:sz w:val="11"/>
                <w:szCs w:val="11"/>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64"/>
        </w:trPr>
        <w:tc>
          <w:tcPr>
            <w:tcW w:w="3040" w:type="dxa"/>
            <w:vAlign w:val="bottom"/>
          </w:tcPr>
          <w:p>
            <w:pPr>
              <w:spacing w:after="0"/>
              <w:rPr>
                <w:sz w:val="20"/>
                <w:szCs w:val="20"/>
                <w:color w:val="auto"/>
              </w:rPr>
            </w:pPr>
            <w:r>
              <w:rPr>
                <w:rFonts w:ascii="Arial" w:cs="Arial" w:eastAsia="Arial" w:hAnsi="Arial"/>
                <w:sz w:val="13"/>
                <w:szCs w:val="13"/>
                <w:color w:val="auto"/>
              </w:rPr>
              <w:t>Foreign exchange contracts — cash flow hedges</w:t>
            </w:r>
          </w:p>
        </w:tc>
        <w:tc>
          <w:tcPr>
            <w:tcW w:w="6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188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188</w:t>
            </w:r>
          </w:p>
        </w:tc>
        <w:tc>
          <w:tcPr>
            <w:tcW w:w="2440" w:type="dxa"/>
            <w:vAlign w:val="bottom"/>
          </w:tcPr>
          <w:p>
            <w:pPr>
              <w:spacing w:after="0"/>
              <w:rPr>
                <w:sz w:val="20"/>
                <w:szCs w:val="20"/>
                <w:color w:val="auto"/>
              </w:rPr>
            </w:pPr>
            <w:r>
              <w:rPr>
                <w:rFonts w:ascii="Arial" w:cs="Arial" w:eastAsia="Arial" w:hAnsi="Arial"/>
                <w:sz w:val="13"/>
                <w:szCs w:val="13"/>
                <w:color w:val="auto"/>
              </w:rPr>
              <w:t>Other current liabilities</w:t>
            </w:r>
          </w:p>
        </w:tc>
      </w:tr>
      <w:tr>
        <w:trPr>
          <w:trHeight w:val="135"/>
        </w:trPr>
        <w:tc>
          <w:tcPr>
            <w:tcW w:w="3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Foreign exchange contracts — net investment hedges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2,656</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2,656</w:t>
            </w: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current liabilities</w:t>
            </w:r>
          </w:p>
        </w:tc>
      </w:tr>
      <w:tr>
        <w:trPr>
          <w:trHeight w:val="135"/>
        </w:trPr>
        <w:tc>
          <w:tcPr>
            <w:tcW w:w="3040" w:type="dxa"/>
            <w:vAlign w:val="bottom"/>
          </w:tcPr>
          <w:p>
            <w:pPr>
              <w:spacing w:after="0" w:line="135" w:lineRule="exact"/>
              <w:rPr>
                <w:sz w:val="20"/>
                <w:szCs w:val="20"/>
                <w:color w:val="auto"/>
              </w:rPr>
            </w:pPr>
            <w:r>
              <w:rPr>
                <w:rFonts w:ascii="Arial" w:cs="Arial" w:eastAsia="Arial" w:hAnsi="Arial"/>
                <w:sz w:val="13"/>
                <w:szCs w:val="13"/>
                <w:color w:val="auto"/>
              </w:rPr>
              <w:t>Foreign exchange contracts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100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Other current liabilities</w:t>
            </w:r>
          </w:p>
        </w:tc>
      </w:tr>
      <w:tr>
        <w:trPr>
          <w:trHeight w:val="121"/>
        </w:trPr>
        <w:tc>
          <w:tcPr>
            <w:tcW w:w="3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7"/>
              </w:rPr>
              <w:t>Foreign currency denominated debt — net investment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40" w:type="dxa"/>
            <w:vAlign w:val="bottom"/>
            <w:shd w:val="clear" w:color="auto" w:fill="CCEEFF"/>
          </w:tcPr>
          <w:p>
            <w:pPr>
              <w:spacing w:after="0"/>
              <w:rPr>
                <w:sz w:val="10"/>
                <w:szCs w:val="10"/>
                <w:color w:val="auto"/>
              </w:rPr>
            </w:pPr>
          </w:p>
        </w:tc>
      </w:tr>
      <w:tr>
        <w:trPr>
          <w:trHeight w:val="149"/>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hedge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106,125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106,125</w:t>
            </w:r>
          </w:p>
        </w:tc>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w w:val="93"/>
              </w:rPr>
              <w:t>Long term obligations, less current maturities</w:t>
            </w:r>
          </w:p>
        </w:tc>
      </w:tr>
      <w:tr>
        <w:trPr>
          <w:trHeight w:val="142"/>
        </w:trPr>
        <w:tc>
          <w:tcPr>
            <w:tcW w:w="3040" w:type="dxa"/>
            <w:vAlign w:val="bottom"/>
          </w:tcPr>
          <w:p>
            <w:pPr>
              <w:ind w:left="200"/>
              <w:spacing w:after="0" w:line="143" w:lineRule="exact"/>
              <w:rPr>
                <w:sz w:val="20"/>
                <w:szCs w:val="20"/>
                <w:color w:val="auto"/>
              </w:rPr>
            </w:pPr>
            <w:r>
              <w:rPr>
                <w:rFonts w:ascii="Arial" w:cs="Arial" w:eastAsia="Arial" w:hAnsi="Arial"/>
                <w:sz w:val="13"/>
                <w:szCs w:val="13"/>
                <w:color w:val="auto"/>
              </w:rPr>
              <w:t>Total Liabilities</w:t>
            </w: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108,970</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tcPr>
          <w:p>
            <w:pPr>
              <w:ind w:left="680"/>
              <w:spacing w:after="0" w:line="143" w:lineRule="exact"/>
              <w:rPr>
                <w:sz w:val="20"/>
                <w:szCs w:val="20"/>
                <w:color w:val="auto"/>
              </w:rPr>
            </w:pPr>
            <w:r>
              <w:rPr>
                <w:rFonts w:ascii="Arial" w:cs="Arial" w:eastAsia="Arial" w:hAnsi="Arial"/>
                <w:sz w:val="13"/>
                <w:szCs w:val="13"/>
                <w:color w:val="auto"/>
                <w:w w:val="76"/>
              </w:rPr>
              <w:t>—</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108,970</w:t>
            </w: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July 31, 2011: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r>
      <w:tr>
        <w:trPr>
          <w:trHeight w:val="135"/>
        </w:trPr>
        <w:tc>
          <w:tcPr>
            <w:tcW w:w="3040" w:type="dxa"/>
            <w:vAlign w:val="bottom"/>
          </w:tcPr>
          <w:p>
            <w:pPr>
              <w:spacing w:after="0" w:line="135" w:lineRule="exact"/>
              <w:rPr>
                <w:sz w:val="20"/>
                <w:szCs w:val="20"/>
                <w:color w:val="auto"/>
              </w:rPr>
            </w:pPr>
            <w:r>
              <w:rPr>
                <w:rFonts w:ascii="Arial" w:cs="Arial" w:eastAsia="Arial" w:hAnsi="Arial"/>
                <w:sz w:val="13"/>
                <w:szCs w:val="13"/>
                <w:color w:val="auto"/>
              </w:rPr>
              <w:t>Trading Securities</w:t>
            </w:r>
          </w:p>
        </w:tc>
        <w:tc>
          <w:tcPr>
            <w:tcW w:w="6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10,897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10,897</w:t>
            </w: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Other assets</w:t>
            </w:r>
          </w:p>
        </w:tc>
      </w:tr>
      <w:tr>
        <w:trPr>
          <w:trHeight w:val="135"/>
        </w:trPr>
        <w:tc>
          <w:tcPr>
            <w:tcW w:w="3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exchange contracts — cash flow hedges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w:t>
            </w: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Prepaid expenses and other current assets</w:t>
            </w:r>
          </w:p>
        </w:tc>
      </w:tr>
      <w:tr>
        <w:trPr>
          <w:trHeight w:val="135"/>
        </w:trPr>
        <w:tc>
          <w:tcPr>
            <w:tcW w:w="3040" w:type="dxa"/>
            <w:vAlign w:val="bottom"/>
          </w:tcPr>
          <w:p>
            <w:pPr>
              <w:spacing w:after="0" w:line="135" w:lineRule="exact"/>
              <w:rPr>
                <w:sz w:val="20"/>
                <w:szCs w:val="20"/>
                <w:color w:val="auto"/>
              </w:rPr>
            </w:pPr>
            <w:r>
              <w:rPr>
                <w:rFonts w:ascii="Arial" w:cs="Arial" w:eastAsia="Arial" w:hAnsi="Arial"/>
                <w:sz w:val="13"/>
                <w:szCs w:val="13"/>
                <w:color w:val="auto"/>
              </w:rPr>
              <w:t>Foreign exchange contracts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1"/>
                <w:szCs w:val="11"/>
                <w:color w:val="auto"/>
              </w:rPr>
            </w:pPr>
          </w:p>
        </w:tc>
        <w:tc>
          <w:tcPr>
            <w:tcW w:w="100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2440" w:type="dxa"/>
            <w:vAlign w:val="bottom"/>
          </w:tcPr>
          <w:p>
            <w:pPr>
              <w:spacing w:after="0" w:line="135" w:lineRule="exact"/>
              <w:rPr>
                <w:sz w:val="20"/>
                <w:szCs w:val="20"/>
                <w:color w:val="auto"/>
              </w:rPr>
            </w:pPr>
            <w:r>
              <w:rPr>
                <w:rFonts w:ascii="Arial" w:cs="Arial" w:eastAsia="Arial" w:hAnsi="Arial"/>
                <w:sz w:val="13"/>
                <w:szCs w:val="13"/>
                <w:color w:val="auto"/>
                <w:w w:val="97"/>
              </w:rPr>
              <w:t>Prepaid expenses and other current assets</w:t>
            </w:r>
          </w:p>
        </w:tc>
      </w:tr>
      <w:tr>
        <w:trPr>
          <w:trHeight w:val="27"/>
        </w:trPr>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35"/>
        </w:trPr>
        <w:tc>
          <w:tcPr>
            <w:tcW w:w="30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Total Assets</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10,897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10,916</w:t>
            </w:r>
          </w:p>
        </w:tc>
        <w:tc>
          <w:tcPr>
            <w:tcW w:w="2440" w:type="dxa"/>
            <w:vAlign w:val="bottom"/>
            <w:shd w:val="clear" w:color="auto" w:fill="CCEEFF"/>
          </w:tcPr>
          <w:p>
            <w:pPr>
              <w:spacing w:after="0"/>
              <w:rPr>
                <w:sz w:val="11"/>
                <w:szCs w:val="11"/>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64"/>
        </w:trPr>
        <w:tc>
          <w:tcPr>
            <w:tcW w:w="3040" w:type="dxa"/>
            <w:vAlign w:val="bottom"/>
          </w:tcPr>
          <w:p>
            <w:pPr>
              <w:spacing w:after="0"/>
              <w:rPr>
                <w:sz w:val="20"/>
                <w:szCs w:val="20"/>
                <w:color w:val="auto"/>
              </w:rPr>
            </w:pPr>
            <w:r>
              <w:rPr>
                <w:rFonts w:ascii="Arial" w:cs="Arial" w:eastAsia="Arial" w:hAnsi="Arial"/>
                <w:sz w:val="13"/>
                <w:szCs w:val="13"/>
                <w:color w:val="auto"/>
              </w:rPr>
              <w:t>Foreign exchange contracts — cash flow hedges</w:t>
            </w:r>
          </w:p>
        </w:tc>
        <w:tc>
          <w:tcPr>
            <w:tcW w:w="6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830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830</w:t>
            </w:r>
          </w:p>
        </w:tc>
        <w:tc>
          <w:tcPr>
            <w:tcW w:w="2440" w:type="dxa"/>
            <w:vAlign w:val="bottom"/>
          </w:tcPr>
          <w:p>
            <w:pPr>
              <w:spacing w:after="0"/>
              <w:rPr>
                <w:sz w:val="20"/>
                <w:szCs w:val="20"/>
                <w:color w:val="auto"/>
              </w:rPr>
            </w:pPr>
            <w:r>
              <w:rPr>
                <w:rFonts w:ascii="Arial" w:cs="Arial" w:eastAsia="Arial" w:hAnsi="Arial"/>
                <w:sz w:val="13"/>
                <w:szCs w:val="13"/>
                <w:color w:val="auto"/>
              </w:rPr>
              <w:t>Other current liabilities</w:t>
            </w:r>
          </w:p>
        </w:tc>
      </w:tr>
      <w:tr>
        <w:trPr>
          <w:trHeight w:val="135"/>
        </w:trPr>
        <w:tc>
          <w:tcPr>
            <w:tcW w:w="3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Foreign exchange contracts — net investment hedges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5,295</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5,295</w:t>
            </w: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current liabilities</w:t>
            </w:r>
          </w:p>
        </w:tc>
      </w:tr>
      <w:tr>
        <w:trPr>
          <w:trHeight w:val="135"/>
        </w:trPr>
        <w:tc>
          <w:tcPr>
            <w:tcW w:w="3040" w:type="dxa"/>
            <w:vAlign w:val="bottom"/>
          </w:tcPr>
          <w:p>
            <w:pPr>
              <w:spacing w:after="0" w:line="135" w:lineRule="exact"/>
              <w:rPr>
                <w:sz w:val="20"/>
                <w:szCs w:val="20"/>
                <w:color w:val="auto"/>
              </w:rPr>
            </w:pPr>
            <w:r>
              <w:rPr>
                <w:rFonts w:ascii="Arial" w:cs="Arial" w:eastAsia="Arial" w:hAnsi="Arial"/>
                <w:sz w:val="13"/>
                <w:szCs w:val="13"/>
                <w:color w:val="auto"/>
              </w:rPr>
              <w:t>Foreign exchange contracts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100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Other current liabilities</w:t>
            </w:r>
          </w:p>
        </w:tc>
      </w:tr>
      <w:tr>
        <w:trPr>
          <w:trHeight w:val="121"/>
        </w:trPr>
        <w:tc>
          <w:tcPr>
            <w:tcW w:w="3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7"/>
              </w:rPr>
              <w:t>Foreign currency denominated debt — net investment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40" w:type="dxa"/>
            <w:vAlign w:val="bottom"/>
            <w:shd w:val="clear" w:color="auto" w:fill="CCEEFF"/>
          </w:tcPr>
          <w:p>
            <w:pPr>
              <w:spacing w:after="0"/>
              <w:rPr>
                <w:sz w:val="10"/>
                <w:szCs w:val="10"/>
                <w:color w:val="auto"/>
              </w:rPr>
            </w:pPr>
          </w:p>
        </w:tc>
      </w:tr>
      <w:tr>
        <w:trPr>
          <w:trHeight w:val="149"/>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hedge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107,985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107,985</w:t>
            </w:r>
          </w:p>
        </w:tc>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w w:val="93"/>
              </w:rPr>
              <w:t>Long term obligations, less current maturities</w:t>
            </w:r>
          </w:p>
        </w:tc>
      </w:tr>
      <w:tr>
        <w:trPr>
          <w:trHeight w:val="142"/>
        </w:trPr>
        <w:tc>
          <w:tcPr>
            <w:tcW w:w="3040" w:type="dxa"/>
            <w:vAlign w:val="bottom"/>
          </w:tcPr>
          <w:p>
            <w:pPr>
              <w:ind w:left="200"/>
              <w:spacing w:after="0" w:line="143" w:lineRule="exact"/>
              <w:rPr>
                <w:sz w:val="20"/>
                <w:szCs w:val="20"/>
                <w:color w:val="auto"/>
              </w:rPr>
            </w:pPr>
            <w:r>
              <w:rPr>
                <w:rFonts w:ascii="Arial" w:cs="Arial" w:eastAsia="Arial" w:hAnsi="Arial"/>
                <w:sz w:val="13"/>
                <w:szCs w:val="13"/>
                <w:color w:val="auto"/>
              </w:rPr>
              <w:t>Total Liabilities</w:t>
            </w:r>
          </w:p>
        </w:tc>
        <w:tc>
          <w:tcPr>
            <w:tcW w:w="2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114,112</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tcPr>
          <w:p>
            <w:pPr>
              <w:ind w:left="680"/>
              <w:spacing w:after="0" w:line="143" w:lineRule="exact"/>
              <w:rPr>
                <w:sz w:val="20"/>
                <w:szCs w:val="20"/>
                <w:color w:val="auto"/>
              </w:rPr>
            </w:pPr>
            <w:r>
              <w:rPr>
                <w:rFonts w:ascii="Arial" w:cs="Arial" w:eastAsia="Arial" w:hAnsi="Arial"/>
                <w:sz w:val="13"/>
                <w:szCs w:val="13"/>
                <w:color w:val="auto"/>
                <w:w w:val="76"/>
              </w:rPr>
              <w:t>—</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114,112</w:t>
            </w: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98"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classified as Level 1 as the shares of these investments trade with sufficient frequency and volume to enable us to obtain pricing information on an ongoing basis.</w:t>
      </w:r>
    </w:p>
    <w:p>
      <w:pPr>
        <w:spacing w:after="0" w:line="141"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i w:val="1"/>
          <w:iCs w:val="1"/>
          <w:color w:val="auto"/>
        </w:rPr>
        <w:t xml:space="preserve">Foreign currency exchange contracts: </w:t>
      </w:r>
      <w:r>
        <w:rPr>
          <w:rFonts w:ascii="Arial" w:cs="Arial" w:eastAsia="Arial" w:hAnsi="Arial"/>
          <w:sz w:val="18"/>
          <w:szCs w:val="18"/>
          <w:color w:val="auto"/>
        </w:rPr>
        <w:t>The Company’s foreign currency exchange contracts were classified as Level 2, as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was based on the present value of the future cash flows using external models that use observable inputs, such as interest rates, yield curves and foreign currency exchange rates. See Note K, “Derivatives and Hedging Activities” for additional information.</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i w:val="1"/>
          <w:iCs w:val="1"/>
          <w:color w:val="auto"/>
        </w:rPr>
        <w:t xml:space="preserve">Foreign currency denominated debt — net investment hedge: </w:t>
      </w:r>
      <w:r>
        <w:rPr>
          <w:rFonts w:ascii="Arial" w:cs="Arial" w:eastAsia="Arial" w:hAnsi="Arial"/>
          <w:sz w:val="18"/>
          <w:szCs w:val="18"/>
          <w:color w:val="auto"/>
        </w:rPr>
        <w:t>The Company’s foreign currency denominated debt designated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net investment hedge was classified as Level 2, as the fair value was based on the present value of the future cash flows using external models that use observable inputs, such as interest rates, yield curves and foreign currency exchange rates. See Note K, “Derivatives and Hedging Activities” for additional information.</w:t>
      </w:r>
    </w:p>
    <w:p>
      <w:pPr>
        <w:spacing w:after="0" w:line="146"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months ended October 31, 2011.</w:t>
      </w:r>
    </w:p>
    <w:p>
      <w:pPr>
        <w:spacing w:after="0" w:line="13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and cash equivalents, accounts receivable, accounts payable, accrued liabilities and short-term and long-term debt. The fair values of cash and cash equivalents, accounts receivable, accounts payable, and accrued liabilities approximated carrying values because of the short-term nature of these instruments.</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estimated fair value of the Company’s short-term and long-term debt obligations, based on the quoted market prices for similar issues and on the current rates offered for debt of similar maturities, was $414,631 and $416,694 at October 31, 2011 and July 31, 2011, respectively, as compared to the carrying value of $391,318 and $393,178 at October 31, 2011 and July 31, 2011, respectively.</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Disclosures for nonfinancial assets and liabilities that are measured at fair value, but are recognized and disclosed at fair value on a nonrecurring basis, were required prospectively beginning August 1, 2009. During the three months ended October 31, 2011, the Company had no significant measurements of assets or liabilities at fair value on a nonrecurring basis subsequent to their initial recognition.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J — Restructuring</w:t>
      </w:r>
    </w:p>
    <w:p>
      <w:pPr>
        <w:spacing w:after="0" w:line="198"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In fiscal 2009, in response to the global economic downturn, the Company took several measures to address its cost structure. In addition to a company-wide salary freeze and decreased discretionary spending, the Company reduced its workforce by 25%. The Company reduced its workforce through voluntary and involuntary separation programs, voluntary retirement programs, and facility consolidations. The Company continued the execution of its restructuring actions during fiscal 2011. These actions included a reduction in its contract labor and decreased discretionary spending. As a result of these actions, the Company recorded restructuring charges of $3,641 during the three months ended October 31, 2010. The restructuring charges included $2,665 of employee separation costs, $951 of non-cash fixed asset write-offs, and $25 of other facility closure related costs and contract termination costs.</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reconciliation of the Company’s fiscal 2011 restructuring activity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Employee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Asset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Related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Write-offs</w:t>
            </w:r>
          </w:p>
        </w:tc>
        <w:tc>
          <w:tcPr>
            <w:tcW w:w="3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Other</w:t>
            </w:r>
          </w:p>
        </w:tc>
        <w:tc>
          <w:tcPr>
            <w:tcW w:w="2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2011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0"/>
              <w:spacing w:after="0"/>
              <w:rPr>
                <w:sz w:val="20"/>
                <w:szCs w:val="20"/>
                <w:color w:val="auto"/>
              </w:rPr>
            </w:pPr>
            <w:r>
              <w:rPr>
                <w:rFonts w:ascii="Arial" w:cs="Arial" w:eastAsia="Arial" w:hAnsi="Arial"/>
                <w:sz w:val="18"/>
                <w:szCs w:val="18"/>
                <w:color w:val="auto"/>
              </w:rPr>
              <w:t>Cash payments</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October 31, 2011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K — Derivatives and Hedging Activities</w:t>
      </w:r>
    </w:p>
    <w:p>
      <w:pPr>
        <w:spacing w:after="0" w:line="198"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October 31, 2011 and July 31, 2011, the notional amount of outstanding forward exchange contracts was $56,938 and $80,807, respectively.</w:t>
      </w:r>
    </w:p>
    <w:p>
      <w:pPr>
        <w:spacing w:after="0" w:line="14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quarters ended October 31, 2011 and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hedges a portion of known exposure using forward exchange contracts. Main exposures are related to transactions denominated in the British Pound, the Euro, Canadian Dollar, Australian Dollar, Japanese Yen, Swiss Franc and Singapore Dollar. Generally, these risk management transactions will involve the use of foreign currency derivatives to protect against exposure resulting from sales and identified inventory or other asset purchases.</w:t>
      </w:r>
    </w:p>
    <w:p>
      <w:pPr>
        <w:spacing w:after="0" w:line="160"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October 31, 2011, unrealized gains of $252 have been included in OCI. As of July 31, 2011, unrealized losses of $1,535 have been included in OCI. All balances are expected to be reclassified from OCI to earnings during the next twelve months when the hedged transactions impact earnings.</w:t>
      </w:r>
    </w:p>
    <w:p>
      <w:pPr>
        <w:spacing w:after="0" w:line="13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At October 31, 2011 and July 31, 2011, the Company had $296 and $16 of forward exchange contracts designated as cash flow hedges included in “Prepaid expenses and other current assets” on the accompanying Condensed Consolidated Balance Sheets. At October 31, 2011 and July 31, 2011, the Company had $188 and $830, respectively, of forward exchange contracts designated as hedge instruments included in “Other current liabilities” on the accompanying Condensed Consolidated Balance Sheets. At October 31, 2011 and July 31, 2011, the U.S. dollar equivalent of these outstanding forward foreign exchange contracts totaled $25,288 and $30,519, respectively, including contracts to sell Euros, Canadian Dollars, Australian Dollars, British Pounds, U.S. Dollars, and Swiss Franc.</w:t>
      </w:r>
    </w:p>
    <w:p>
      <w:pPr>
        <w:spacing w:after="0" w:line="14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has also designated intercompany and third party foreign currency denominated debt instruments as net investments hedges. During the three months ended October 31, 2011, the Company designated €4,581 of intercompany loans as net investment hedges to hedge portions of its net investment in European foreign operations. No intercompany loans were designated as net investment hedges as of July 31, 2011. On May 13, 2010, the Company completed the private placement of €75.0 million aggregate principal amount of senior unsecured notes to accredited institutional investors. This Euro-denominated debt obligation was designated as a net investment hedge to selectively hedge portions of its net investment in European foreign operations. As net investment hedges, the currency effects of the intercompany and third party debt obligations are reflected in the foreign currency translation adjustments component of accumulated other comprehensive income where they offset gains and losses recorded on the Company’s net investment in European operations. The Company’s foreign denominated debt obligations are valued under a market approach using publicized spot prices.</w:t>
      </w:r>
    </w:p>
    <w:p>
      <w:pPr>
        <w:spacing w:after="0" w:line="151"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Additionally, the Company utilizes forward foreign exchange currency contracts designated as hedge instruments to hedge portions of the Company’s net investments in foreign operations. For hedges that meet the effectiveness requirements, the net gains or losses attributable to changes in spot exchange rates are recorded in cumulative translation within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 At October 31, 2011 and July 31, 2011, the Company had $2,656 and $5,295, respectively, of forward foreign exchange currency contracts designated as net investment hedges included in “Other current liabilities” on the Condensed Consolidated Balance Sheet. At October 31, 2011 and July 31, 2011, the U.S dollar equivalent of these outstanding forward foreign exchange contracts totaled $31,650 and $50,000, respectively, including contracts to sell Euros and Singapore Dollars.</w:t>
      </w:r>
    </w:p>
    <w:p>
      <w:pPr>
        <w:spacing w:after="0" w:line="200" w:lineRule="exact"/>
        <w:rPr>
          <w:sz w:val="20"/>
          <w:szCs w:val="20"/>
          <w:color w:val="auto"/>
        </w:rPr>
      </w:pPr>
    </w:p>
    <w:p>
      <w:pPr>
        <w:spacing w:after="0" w:line="3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w:t>
            </w:r>
          </w:p>
        </w:tc>
        <w:tc>
          <w:tcPr>
            <w:tcW w:w="132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w w:val="92"/>
              </w:rPr>
              <w:t>October 31, 2011</w:t>
            </w:r>
          </w:p>
        </w:tc>
        <w:tc>
          <w:tcPr>
            <w:tcW w:w="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July 31, 2011</w:t>
            </w:r>
          </w:p>
        </w:tc>
        <w:tc>
          <w:tcPr>
            <w:tcW w:w="2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Borders>
              <w:bottom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rPr>
              <w:t>October 31, 2011</w:t>
            </w:r>
          </w:p>
        </w:tc>
        <w:tc>
          <w:tcPr>
            <w:tcW w:w="340" w:type="dxa"/>
            <w:vAlign w:val="bottom"/>
          </w:tcPr>
          <w:p>
            <w:pPr>
              <w:spacing w:after="0"/>
              <w:rPr>
                <w:sz w:val="12"/>
                <w:szCs w:val="12"/>
                <w:color w:val="auto"/>
              </w:rPr>
            </w:pPr>
          </w:p>
        </w:tc>
        <w:tc>
          <w:tcPr>
            <w:tcW w:w="1700" w:type="dxa"/>
            <w:vAlign w:val="bottom"/>
            <w:tcBorders>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rPr>
              <w:t>July 31, 2011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00" w:type="dxa"/>
            <w:vAlign w:val="bottom"/>
            <w:gridSpan w:val="2"/>
            <w:vMerge w:val="continue"/>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Balance</w:t>
            </w:r>
          </w:p>
        </w:tc>
        <w:tc>
          <w:tcPr>
            <w:tcW w:w="280" w:type="dxa"/>
            <w:vAlign w:val="bottom"/>
          </w:tcPr>
          <w:p>
            <w:pPr>
              <w:spacing w:after="0"/>
              <w:rPr>
                <w:sz w:val="10"/>
                <w:szCs w:val="10"/>
                <w:color w:val="auto"/>
              </w:rPr>
            </w:pPr>
          </w:p>
        </w:tc>
        <w:tc>
          <w:tcPr>
            <w:tcW w:w="5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Balance</w:t>
            </w:r>
          </w:p>
        </w:tc>
        <w:tc>
          <w:tcPr>
            <w:tcW w:w="240" w:type="dxa"/>
            <w:vAlign w:val="bottom"/>
          </w:tcPr>
          <w:p>
            <w:pPr>
              <w:spacing w:after="0"/>
              <w:rPr>
                <w:sz w:val="10"/>
                <w:szCs w:val="10"/>
                <w:color w:val="auto"/>
              </w:rPr>
            </w:pPr>
          </w:p>
        </w:tc>
        <w:tc>
          <w:tcPr>
            <w:tcW w:w="6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Fair</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Balance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designated as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2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hedging instruments</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4"/>
                <w:szCs w:val="14"/>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4"/>
                <w:szCs w:val="14"/>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Cash flow hedges</w:t>
            </w: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Foreign exchange contracts</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Prepaid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Prepaid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4"/>
                <w:szCs w:val="14"/>
                <w:color w:val="auto"/>
              </w:rPr>
              <w:t>Other current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expenses and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6"/>
              </w:rPr>
              <w:t>expenses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liabilities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assets</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296</w:t>
            </w:r>
          </w:p>
        </w:tc>
        <w:tc>
          <w:tcPr>
            <w:tcW w:w="1020" w:type="dxa"/>
            <w:vAlign w:val="bottom"/>
            <w:gridSpan w:val="2"/>
          </w:tcPr>
          <w:p>
            <w:pPr>
              <w:ind w:left="160"/>
              <w:spacing w:after="0"/>
              <w:rPr>
                <w:sz w:val="20"/>
                <w:szCs w:val="20"/>
                <w:color w:val="auto"/>
              </w:rPr>
            </w:pPr>
            <w:r>
              <w:rPr>
                <w:rFonts w:ascii="Arial" w:cs="Arial" w:eastAsia="Arial" w:hAnsi="Arial"/>
                <w:sz w:val="14"/>
                <w:szCs w:val="14"/>
                <w:color w:val="auto"/>
              </w:rPr>
              <w:t>assets</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188</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investment hedges</w:t>
            </w: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Foreign exchange contracts</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Prepaid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Prepaid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4"/>
                <w:szCs w:val="14"/>
                <w:color w:val="auto"/>
              </w:rPr>
              <w:t>Other current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expenses and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6"/>
              </w:rPr>
              <w:t>expenses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liabilities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assets</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160"/>
              <w:spacing w:after="0"/>
              <w:rPr>
                <w:sz w:val="20"/>
                <w:szCs w:val="20"/>
                <w:color w:val="auto"/>
              </w:rPr>
            </w:pPr>
            <w:r>
              <w:rPr>
                <w:rFonts w:ascii="Arial" w:cs="Arial" w:eastAsia="Arial" w:hAnsi="Arial"/>
                <w:sz w:val="14"/>
                <w:szCs w:val="14"/>
                <w:color w:val="auto"/>
              </w:rPr>
              <w:t>assets</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2,656</w:t>
            </w:r>
          </w:p>
        </w:tc>
        <w:tc>
          <w:tcPr>
            <w:tcW w:w="9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5,295</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w w:val="99"/>
              </w:rPr>
              <w:t>Foreign currency denominated</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w:t>
            </w:r>
          </w:p>
        </w:tc>
        <w:tc>
          <w:tcPr>
            <w:tcW w:w="2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Prepaid</w:t>
            </w: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Long term</w:t>
            </w: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debt</w:t>
            </w: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 and</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expenses and</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obligations,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current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current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assets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maturities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0"/>
              </w:rPr>
              <w:t>106,125</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maturities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0"/>
              </w:rPr>
              <w:t>107,985</w:t>
            </w:r>
          </w:p>
        </w:tc>
        <w:tc>
          <w:tcPr>
            <w:tcW w:w="0" w:type="dxa"/>
            <w:vAlign w:val="bottom"/>
          </w:tcPr>
          <w:p>
            <w:pPr>
              <w:spacing w:after="0"/>
              <w:rPr>
                <w:sz w:val="1"/>
                <w:szCs w:val="1"/>
                <w:color w:val="auto"/>
              </w:rPr>
            </w:pPr>
          </w:p>
        </w:tc>
      </w:tr>
      <w:tr>
        <w:trPr>
          <w:trHeight w:val="137"/>
        </w:trPr>
        <w:tc>
          <w:tcPr>
            <w:tcW w:w="2100" w:type="dxa"/>
            <w:vAlign w:val="bottom"/>
            <w:gridSpan w:val="2"/>
          </w:tcPr>
          <w:p>
            <w:pPr>
              <w:spacing w:after="0" w:line="137" w:lineRule="exact"/>
              <w:rPr>
                <w:sz w:val="20"/>
                <w:szCs w:val="20"/>
                <w:color w:val="auto"/>
              </w:rPr>
            </w:pPr>
            <w:r>
              <w:rPr>
                <w:rFonts w:ascii="Arial" w:cs="Arial" w:eastAsia="Arial" w:hAnsi="Arial"/>
                <w:sz w:val="14"/>
                <w:szCs w:val="14"/>
                <w:color w:val="auto"/>
              </w:rPr>
              <w:t>Total derivatives designated as</w:t>
            </w: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tcPr>
          <w:p>
            <w:pPr>
              <w:ind w:left="200"/>
              <w:spacing w:after="0"/>
              <w:rPr>
                <w:sz w:val="20"/>
                <w:szCs w:val="20"/>
                <w:color w:val="auto"/>
              </w:rPr>
            </w:pPr>
            <w:r>
              <w:rPr>
                <w:rFonts w:ascii="Arial" w:cs="Arial" w:eastAsia="Arial" w:hAnsi="Arial"/>
                <w:sz w:val="14"/>
                <w:szCs w:val="14"/>
                <w:color w:val="auto"/>
              </w:rPr>
              <w:t>hedging instruments</w:t>
            </w:r>
          </w:p>
        </w:tc>
        <w:tc>
          <w:tcPr>
            <w:tcW w:w="900" w:type="dxa"/>
            <w:vAlign w:val="bottom"/>
          </w:tcPr>
          <w:p>
            <w:pPr>
              <w:spacing w:after="0"/>
              <w:rPr>
                <w:sz w:val="14"/>
                <w:szCs w:val="14"/>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296</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w w:val="90"/>
              </w:rPr>
              <w:t>108,969</w:t>
            </w:r>
          </w:p>
        </w:tc>
        <w:tc>
          <w:tcPr>
            <w:tcW w:w="9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90"/>
              </w:rPr>
              <w:t>114,110</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Derivatives not designated as</w:t>
            </w: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hedging instruments</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100" w:type="dxa"/>
            <w:vAlign w:val="bottom"/>
            <w:gridSpan w:val="2"/>
          </w:tcPr>
          <w:p>
            <w:pPr>
              <w:ind w:left="200"/>
              <w:spacing w:after="0" w:line="123" w:lineRule="exact"/>
              <w:rPr>
                <w:sz w:val="20"/>
                <w:szCs w:val="20"/>
                <w:color w:val="auto"/>
              </w:rPr>
            </w:pPr>
            <w:r>
              <w:rPr>
                <w:rFonts w:ascii="Arial" w:cs="Arial" w:eastAsia="Arial" w:hAnsi="Arial"/>
                <w:sz w:val="14"/>
                <w:szCs w:val="14"/>
                <w:color w:val="auto"/>
              </w:rPr>
              <w:t>Foreign exchange contracts</w:t>
            </w:r>
          </w:p>
        </w:tc>
        <w:tc>
          <w:tcPr>
            <w:tcW w:w="900" w:type="dxa"/>
            <w:vAlign w:val="bottom"/>
          </w:tcPr>
          <w:p>
            <w:pPr>
              <w:spacing w:after="0" w:line="123" w:lineRule="exact"/>
              <w:rPr>
                <w:sz w:val="20"/>
                <w:szCs w:val="20"/>
                <w:color w:val="auto"/>
              </w:rPr>
            </w:pPr>
            <w:r>
              <w:rPr>
                <w:rFonts w:ascii="Arial" w:cs="Arial" w:eastAsia="Arial" w:hAnsi="Arial"/>
                <w:sz w:val="14"/>
                <w:szCs w:val="14"/>
                <w:color w:val="auto"/>
              </w:rPr>
              <w:t>Prepaid</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ind w:left="160"/>
              <w:spacing w:after="0" w:line="123" w:lineRule="exact"/>
              <w:rPr>
                <w:sz w:val="20"/>
                <w:szCs w:val="20"/>
                <w:color w:val="auto"/>
              </w:rPr>
            </w:pPr>
            <w:r>
              <w:rPr>
                <w:rFonts w:ascii="Arial" w:cs="Arial" w:eastAsia="Arial" w:hAnsi="Arial"/>
                <w:sz w:val="14"/>
                <w:szCs w:val="14"/>
                <w:color w:val="auto"/>
              </w:rPr>
              <w:t>Prepaid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line="123" w:lineRule="exact"/>
              <w:rPr>
                <w:sz w:val="20"/>
                <w:szCs w:val="20"/>
                <w:color w:val="auto"/>
              </w:rPr>
            </w:pPr>
            <w:r>
              <w:rPr>
                <w:rFonts w:ascii="Arial" w:cs="Arial" w:eastAsia="Arial" w:hAnsi="Arial"/>
                <w:sz w:val="14"/>
                <w:szCs w:val="14"/>
                <w:color w:val="auto"/>
              </w:rPr>
              <w:t>Other current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line="123"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expenses and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6"/>
              </w:rPr>
              <w:t>expenses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liabilities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assets</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1020" w:type="dxa"/>
            <w:vAlign w:val="bottom"/>
            <w:gridSpan w:val="2"/>
          </w:tcPr>
          <w:p>
            <w:pPr>
              <w:ind w:left="160"/>
              <w:spacing w:after="0"/>
              <w:rPr>
                <w:sz w:val="20"/>
                <w:szCs w:val="20"/>
                <w:color w:val="auto"/>
              </w:rPr>
            </w:pPr>
            <w:r>
              <w:rPr>
                <w:rFonts w:ascii="Arial" w:cs="Arial" w:eastAsia="Arial" w:hAnsi="Arial"/>
                <w:sz w:val="14"/>
                <w:szCs w:val="14"/>
                <w:color w:val="auto"/>
              </w:rPr>
              <w:t>assets</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Total derivatives not designated as</w:t>
            </w: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hedging instruments</w:t>
            </w:r>
          </w:p>
        </w:tc>
        <w:tc>
          <w:tcPr>
            <w:tcW w:w="9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pre-tax effects of derivative instruments designated as cash flow hedges on the Condensed Consolidated Statements of</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consisted of the following:</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vMerge w:val="restart"/>
          </w:tcPr>
          <w:p>
            <w:pPr>
              <w:jc w:val="center"/>
              <w:ind w:right="319"/>
              <w:spacing w:after="0"/>
              <w:rPr>
                <w:sz w:val="20"/>
                <w:szCs w:val="20"/>
                <w:color w:val="auto"/>
              </w:rPr>
            </w:pPr>
            <w:r>
              <w:rPr>
                <w:rFonts w:ascii="Arial" w:cs="Arial" w:eastAsia="Arial" w:hAnsi="Arial"/>
                <w:sz w:val="14"/>
                <w:szCs w:val="14"/>
                <w:b w:val="1"/>
                <w:bCs w:val="1"/>
                <w:color w:val="auto"/>
                <w:w w:val="95"/>
              </w:rPr>
              <w:t>Amount of Gain</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of Gain or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59"/>
              <w:spacing w:after="0"/>
              <w:rPr>
                <w:sz w:val="20"/>
                <w:szCs w:val="20"/>
                <w:color w:val="auto"/>
              </w:rPr>
            </w:pPr>
            <w:r>
              <w:rPr>
                <w:rFonts w:ascii="Arial" w:cs="Arial" w:eastAsia="Arial" w:hAnsi="Arial"/>
                <w:sz w:val="14"/>
                <w:szCs w:val="14"/>
                <w:b w:val="1"/>
                <w:bCs w:val="1"/>
                <w:color w:val="auto"/>
                <w:w w:val="95"/>
              </w:rPr>
              <w:t>Amount of Gain</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Location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6"/>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or (Loss)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Gain or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center"/>
              <w:ind w:left="249"/>
              <w:spacing w:after="0" w:line="149" w:lineRule="exact"/>
              <w:rPr>
                <w:sz w:val="20"/>
                <w:szCs w:val="20"/>
                <w:color w:val="auto"/>
              </w:rPr>
            </w:pPr>
            <w:r>
              <w:rPr>
                <w:rFonts w:ascii="Arial" w:cs="Arial" w:eastAsia="Arial" w:hAnsi="Arial"/>
                <w:sz w:val="14"/>
                <w:szCs w:val="14"/>
                <w:b w:val="1"/>
                <w:bCs w:val="1"/>
                <w:color w:val="auto"/>
                <w:w w:val="93"/>
              </w:rPr>
              <w:t>or (Loss)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39"/>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left="289"/>
              <w:spacing w:after="0" w:line="149" w:lineRule="exact"/>
              <w:rPr>
                <w:sz w:val="20"/>
                <w:szCs w:val="20"/>
                <w:color w:val="auto"/>
              </w:rPr>
            </w:pPr>
            <w:r>
              <w:rPr>
                <w:rFonts w:ascii="Arial" w:cs="Arial" w:eastAsia="Arial" w:hAnsi="Arial"/>
                <w:sz w:val="14"/>
                <w:szCs w:val="14"/>
                <w:b w:val="1"/>
                <w:bCs w:val="1"/>
                <w:color w:val="auto"/>
                <w:w w:val="93"/>
              </w:rPr>
              <w:t>or (Loss)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6"/>
          </w:tcPr>
          <w:p>
            <w:pPr>
              <w:jc w:val="center"/>
              <w:ind w:right="339"/>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59"/>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Income 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 Hedging</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6"/>
          </w:tcPr>
          <w:p>
            <w:pPr>
              <w:jc w:val="center"/>
              <w:ind w:right="339"/>
              <w:spacing w:after="0" w:line="149" w:lineRule="exact"/>
              <w:rPr>
                <w:sz w:val="20"/>
                <w:szCs w:val="20"/>
                <w:color w:val="auto"/>
              </w:rPr>
            </w:pPr>
            <w:r>
              <w:rPr>
                <w:rFonts w:ascii="Arial" w:cs="Arial" w:eastAsia="Arial" w:hAnsi="Arial"/>
                <w:sz w:val="14"/>
                <w:szCs w:val="14"/>
                <w:b w:val="1"/>
                <w:bCs w:val="1"/>
                <w:color w:val="auto"/>
                <w:w w:val="97"/>
              </w:rPr>
              <w:t>OCI on Derivative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39"/>
              <w:spacing w:after="0" w:line="149" w:lineRule="exact"/>
              <w:rPr>
                <w:sz w:val="20"/>
                <w:szCs w:val="20"/>
                <w:color w:val="auto"/>
              </w:rPr>
            </w:pPr>
            <w:r>
              <w:rPr>
                <w:rFonts w:ascii="Arial" w:cs="Arial" w:eastAsia="Arial" w:hAnsi="Arial"/>
                <w:sz w:val="14"/>
                <w:szCs w:val="14"/>
                <w:b w:val="1"/>
                <w:bCs w:val="1"/>
                <w:color w:val="auto"/>
                <w:w w:val="94"/>
              </w:rPr>
              <w:t>Into Income</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20"/>
                <w:szCs w:val="20"/>
                <w:color w:val="auto"/>
              </w:rPr>
            </w:pPr>
            <w:r>
              <w:rPr>
                <w:rFonts w:ascii="Arial" w:cs="Arial" w:eastAsia="Arial" w:hAnsi="Arial"/>
                <w:sz w:val="14"/>
                <w:szCs w:val="14"/>
                <w:b w:val="1"/>
                <w:bCs w:val="1"/>
                <w:color w:val="auto"/>
              </w:rPr>
              <w:t>Relationships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center"/>
              <w:ind w:right="339"/>
              <w:spacing w:after="0"/>
              <w:rPr>
                <w:sz w:val="20"/>
                <w:szCs w:val="20"/>
                <w:color w:val="auto"/>
              </w:rPr>
            </w:pPr>
            <w:r>
              <w:rPr>
                <w:rFonts w:ascii="Arial" w:cs="Arial" w:eastAsia="Arial" w:hAnsi="Arial"/>
                <w:sz w:val="14"/>
                <w:szCs w:val="14"/>
                <w:b w:val="1"/>
                <w:bCs w:val="1"/>
                <w:color w:val="auto"/>
                <w:w w:val="94"/>
              </w:rPr>
              <w:t>(Effective Portion)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39"/>
              <w:spacing w:after="0"/>
              <w:rPr>
                <w:sz w:val="20"/>
                <w:szCs w:val="20"/>
                <w:color w:val="auto"/>
              </w:rPr>
            </w:pPr>
            <w:r>
              <w:rPr>
                <w:rFonts w:ascii="Arial" w:cs="Arial" w:eastAsia="Arial" w:hAnsi="Arial"/>
                <w:sz w:val="14"/>
                <w:szCs w:val="14"/>
                <w:b w:val="1"/>
                <w:bCs w:val="1"/>
                <w:color w:val="auto"/>
                <w:w w:val="94"/>
              </w:rPr>
              <w:t>(Effective Portion)</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(Ineffective Portion)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19"/>
        </w:trPr>
        <w:tc>
          <w:tcPr>
            <w:tcW w:w="1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5"/>
          </w:tcPr>
          <w:p>
            <w:pPr>
              <w:jc w:val="center"/>
              <w:ind w:right="48"/>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2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4"/>
          </w:tcPr>
          <w:p>
            <w:pPr>
              <w:jc w:val="center"/>
              <w:ind w:right="28"/>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28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4"/>
          </w:tcPr>
          <w:p>
            <w:pPr>
              <w:jc w:val="center"/>
              <w:ind w:right="8"/>
              <w:spacing w:after="0" w:line="119" w:lineRule="exact"/>
              <w:rPr>
                <w:sz w:val="20"/>
                <w:szCs w:val="20"/>
                <w:color w:val="auto"/>
              </w:rPr>
            </w:pPr>
            <w:r>
              <w:rPr>
                <w:rFonts w:ascii="Arial" w:cs="Arial" w:eastAsia="Arial" w:hAnsi="Arial"/>
                <w:sz w:val="13"/>
                <w:szCs w:val="13"/>
                <w:b w:val="1"/>
                <w:bCs w:val="1"/>
                <w:color w:val="auto"/>
                <w:w w:val="97"/>
              </w:rPr>
              <w:t>Three months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center"/>
              <w:ind w:right="319"/>
              <w:spacing w:after="0"/>
              <w:rPr>
                <w:sz w:val="20"/>
                <w:szCs w:val="20"/>
                <w:color w:val="auto"/>
              </w:rPr>
            </w:pPr>
            <w:r>
              <w:rPr>
                <w:rFonts w:ascii="Arial" w:cs="Arial" w:eastAsia="Arial" w:hAnsi="Arial"/>
                <w:sz w:val="14"/>
                <w:szCs w:val="14"/>
                <w:b w:val="1"/>
                <w:bCs w:val="1"/>
                <w:color w:val="auto"/>
                <w:w w:val="91"/>
              </w:rPr>
              <w:t>ended October 31,</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59"/>
              <w:spacing w:after="0"/>
              <w:rPr>
                <w:sz w:val="20"/>
                <w:szCs w:val="20"/>
                <w:color w:val="auto"/>
              </w:rPr>
            </w:pPr>
            <w:r>
              <w:rPr>
                <w:rFonts w:ascii="Arial" w:cs="Arial" w:eastAsia="Arial" w:hAnsi="Arial"/>
                <w:sz w:val="14"/>
                <w:szCs w:val="14"/>
                <w:b w:val="1"/>
                <w:bCs w:val="1"/>
                <w:color w:val="auto"/>
                <w:w w:val="91"/>
              </w:rPr>
              <w:t>ended October 31,</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ended October 31,</w:t>
            </w: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2011</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1"/>
              </w:rPr>
              <w:t>Foreign exchange contracts</w:t>
            </w:r>
          </w:p>
        </w:tc>
        <w:tc>
          <w:tcPr>
            <w:tcW w:w="280" w:type="dxa"/>
            <w:vAlign w:val="bottom"/>
            <w:gridSpan w:val="3"/>
            <w:shd w:val="clear" w:color="auto" w:fill="CCEEFF"/>
          </w:tcPr>
          <w:p>
            <w:pPr>
              <w:jc w:val="right"/>
              <w:ind w:right="14"/>
              <w:spacing w:after="0" w:line="142"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230</w:t>
            </w:r>
          </w:p>
        </w:tc>
        <w:tc>
          <w:tcPr>
            <w:tcW w:w="4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79"/>
              <w:spacing w:after="0" w:line="142" w:lineRule="exact"/>
              <w:rPr>
                <w:sz w:val="20"/>
                <w:szCs w:val="20"/>
                <w:color w:val="auto"/>
              </w:rPr>
            </w:pPr>
            <w:r>
              <w:rPr>
                <w:rFonts w:ascii="Arial" w:cs="Arial" w:eastAsia="Arial" w:hAnsi="Arial"/>
                <w:sz w:val="14"/>
                <w:szCs w:val="14"/>
                <w:color w:val="auto"/>
              </w:rPr>
              <w:t>(185)</w:t>
            </w:r>
          </w:p>
        </w:tc>
        <w:tc>
          <w:tcPr>
            <w:tcW w:w="12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93"/>
              </w:rPr>
              <w:t>Cost of goods sold</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79"/>
              <w:spacing w:after="0" w:line="142" w:lineRule="exact"/>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99"/>
              <w:spacing w:after="0" w:line="142" w:lineRule="exact"/>
              <w:rPr>
                <w:sz w:val="20"/>
                <w:szCs w:val="20"/>
                <w:color w:val="auto"/>
              </w:rPr>
            </w:pPr>
            <w:r>
              <w:rPr>
                <w:rFonts w:ascii="Arial" w:cs="Arial" w:eastAsia="Arial" w:hAnsi="Arial"/>
                <w:sz w:val="14"/>
                <w:szCs w:val="14"/>
                <w:color w:val="auto"/>
              </w:rPr>
              <w:t>(100)</w:t>
            </w:r>
          </w:p>
        </w:tc>
        <w:tc>
          <w:tcPr>
            <w:tcW w:w="138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Cost of goods sold</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60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w:t>
            </w:r>
          </w:p>
        </w:tc>
        <w:tc>
          <w:tcPr>
            <w:tcW w:w="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w:t>
            </w:r>
          </w:p>
        </w:tc>
        <w:tc>
          <w:tcPr>
            <w:tcW w:w="260" w:type="dxa"/>
            <w:vAlign w:val="bottom"/>
          </w:tcPr>
          <w:p>
            <w:pPr>
              <w:jc w:val="right"/>
              <w:ind w:right="179"/>
              <w:spacing w:after="0"/>
              <w:rPr>
                <w:sz w:val="20"/>
                <w:szCs w:val="20"/>
                <w:color w:val="auto"/>
              </w:rPr>
            </w:pPr>
            <w:r>
              <w:rPr>
                <w:rFonts w:ascii="Arial" w:cs="Arial" w:eastAsia="Arial" w:hAnsi="Arial"/>
                <w:sz w:val="8"/>
                <w:szCs w:val="8"/>
                <w:color w:val="auto"/>
                <w:w w:val="73"/>
              </w:rPr>
              <w:t>)</w:t>
            </w: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w:t>
            </w:r>
          </w:p>
        </w:tc>
        <w:tc>
          <w:tcPr>
            <w:tcW w:w="360" w:type="dxa"/>
            <w:vAlign w:val="bottom"/>
          </w:tcPr>
          <w:p>
            <w:pPr>
              <w:jc w:val="right"/>
              <w:ind w:right="27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w:t>
            </w:r>
          </w:p>
        </w:tc>
        <w:tc>
          <w:tcPr>
            <w:tcW w:w="280" w:type="dxa"/>
            <w:vAlign w:val="bottom"/>
          </w:tcPr>
          <w:p>
            <w:pPr>
              <w:jc w:val="right"/>
              <w:ind w:right="199"/>
              <w:spacing w:after="0"/>
              <w:rPr>
                <w:sz w:val="20"/>
                <w:szCs w:val="20"/>
                <w:color w:val="auto"/>
              </w:rPr>
            </w:pPr>
            <w:r>
              <w:rPr>
                <w:rFonts w:ascii="Arial" w:cs="Arial" w:eastAsia="Arial" w:hAnsi="Arial"/>
                <w:sz w:val="8"/>
                <w:szCs w:val="8"/>
                <w:color w:val="auto"/>
                <w:w w:val="73"/>
              </w:rPr>
              <w:t>)</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ind w:left="340"/>
              <w:spacing w:after="0" w:line="155" w:lineRule="exact"/>
              <w:rPr>
                <w:sz w:val="20"/>
                <w:szCs w:val="20"/>
                <w:color w:val="auto"/>
              </w:rPr>
            </w:pPr>
            <w:r>
              <w:rPr>
                <w:rFonts w:ascii="Arial" w:cs="Arial" w:eastAsia="Arial" w:hAnsi="Arial"/>
                <w:sz w:val="14"/>
                <w:szCs w:val="14"/>
                <w:color w:val="auto"/>
                <w:w w:val="85"/>
              </w:rPr>
              <w:t>—</w:t>
            </w:r>
          </w:p>
        </w:tc>
        <w:tc>
          <w:tcPr>
            <w:tcW w:w="3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pre-tax effects of derivative instruments designated as net investment hedges on the Condensed Consolidated Balance Sheet consisted of the following:</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5"/>
              </w:rPr>
              <w:t>Amount of Gain</w:t>
            </w:r>
          </w:p>
        </w:tc>
        <w:tc>
          <w:tcPr>
            <w:tcW w:w="12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of Gain 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Amount of Gain</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or (Loss)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Gain or (Loss)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Derivatives in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or (Loss)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or (Loss)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b w:val="1"/>
                <w:bCs w:val="1"/>
                <w:color w:val="auto"/>
              </w:rPr>
              <w:t>Invesment Hedging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OCI on Derivative</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into Income</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20"/>
                <w:szCs w:val="20"/>
                <w:color w:val="auto"/>
              </w:rPr>
            </w:pPr>
            <w:r>
              <w:rPr>
                <w:rFonts w:ascii="Arial" w:cs="Arial" w:eastAsia="Arial" w:hAnsi="Arial"/>
                <w:sz w:val="14"/>
                <w:szCs w:val="14"/>
                <w:b w:val="1"/>
                <w:bCs w:val="1"/>
                <w:color w:val="auto"/>
              </w:rPr>
              <w:t>Relationships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(Effective Portion)</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19"/>
        </w:trPr>
        <w:tc>
          <w:tcPr>
            <w:tcW w:w="1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4"/>
          </w:tcPr>
          <w:p>
            <w:pPr>
              <w:jc w:val="center"/>
              <w:ind w:right="28"/>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5"/>
          </w:tcPr>
          <w:p>
            <w:pPr>
              <w:jc w:val="center"/>
              <w:ind w:right="28"/>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4"/>
          </w:tcPr>
          <w:p>
            <w:pPr>
              <w:jc w:val="center"/>
              <w:ind w:right="8"/>
              <w:spacing w:after="0" w:line="119" w:lineRule="exact"/>
              <w:rPr>
                <w:sz w:val="20"/>
                <w:szCs w:val="20"/>
                <w:color w:val="auto"/>
              </w:rPr>
            </w:pPr>
            <w:r>
              <w:rPr>
                <w:rFonts w:ascii="Arial" w:cs="Arial" w:eastAsia="Arial" w:hAnsi="Arial"/>
                <w:sz w:val="13"/>
                <w:szCs w:val="13"/>
                <w:b w:val="1"/>
                <w:bCs w:val="1"/>
                <w:color w:val="auto"/>
                <w:w w:val="97"/>
              </w:rPr>
              <w:t>Three months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ended October 31,</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ended October 31,</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ended October 31,</w:t>
            </w: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6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Foreign currency</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center"/>
              <w:ind w:left="48"/>
              <w:spacing w:after="0" w:line="123" w:lineRule="exact"/>
              <w:rPr>
                <w:sz w:val="20"/>
                <w:szCs w:val="20"/>
                <w:color w:val="auto"/>
              </w:rPr>
            </w:pPr>
            <w:r>
              <w:rPr>
                <w:rFonts w:ascii="Arial" w:cs="Arial" w:eastAsia="Arial" w:hAnsi="Arial"/>
                <w:sz w:val="14"/>
                <w:szCs w:val="14"/>
                <w:color w:val="auto"/>
                <w:w w:val="91"/>
              </w:rPr>
              <w:t>Investment and other</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140"/>
              <w:spacing w:after="0" w:line="123" w:lineRule="exact"/>
              <w:rPr>
                <w:sz w:val="20"/>
                <w:szCs w:val="20"/>
                <w:color w:val="auto"/>
              </w:rPr>
            </w:pPr>
            <w:r>
              <w:rPr>
                <w:rFonts w:ascii="Arial" w:cs="Arial" w:eastAsia="Arial" w:hAnsi="Arial"/>
                <w:sz w:val="14"/>
                <w:szCs w:val="14"/>
                <w:color w:val="auto"/>
                <w:w w:val="94"/>
              </w:rPr>
              <w:t>Investment and other</w:t>
            </w:r>
          </w:p>
        </w:tc>
        <w:tc>
          <w:tcPr>
            <w:tcW w:w="2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340"/>
              <w:spacing w:after="0" w:line="12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intercompany debt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 net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 net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left="48"/>
              <w:spacing w:after="0" w:line="130" w:lineRule="exact"/>
              <w:rPr>
                <w:sz w:val="20"/>
                <w:szCs w:val="20"/>
                <w:color w:val="auto"/>
              </w:rPr>
            </w:pPr>
            <w:r>
              <w:rPr>
                <w:rFonts w:ascii="Arial" w:cs="Arial" w:eastAsia="Arial" w:hAnsi="Arial"/>
                <w:sz w:val="14"/>
                <w:szCs w:val="14"/>
                <w:color w:val="auto"/>
                <w:w w:val="91"/>
              </w:rPr>
              <w:t>Investment and other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ind w:left="140"/>
              <w:spacing w:after="0" w:line="130" w:lineRule="exact"/>
              <w:rPr>
                <w:sz w:val="20"/>
                <w:szCs w:val="20"/>
                <w:color w:val="auto"/>
              </w:rPr>
            </w:pPr>
            <w:r>
              <w:rPr>
                <w:rFonts w:ascii="Arial" w:cs="Arial" w:eastAsia="Arial" w:hAnsi="Arial"/>
                <w:sz w:val="14"/>
                <w:szCs w:val="14"/>
                <w:color w:val="auto"/>
                <w:w w:val="94"/>
              </w:rPr>
              <w:t>Investment and other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2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620" w:type="dxa"/>
            <w:vAlign w:val="bottom"/>
          </w:tcPr>
          <w:p>
            <w:pPr>
              <w:ind w:left="200"/>
              <w:spacing w:after="0"/>
              <w:rPr>
                <w:sz w:val="20"/>
                <w:szCs w:val="20"/>
                <w:color w:val="auto"/>
              </w:rPr>
            </w:pPr>
            <w:r>
              <w:rPr>
                <w:rFonts w:ascii="Arial" w:cs="Arial" w:eastAsia="Arial" w:hAnsi="Arial"/>
                <w:sz w:val="14"/>
                <w:szCs w:val="14"/>
                <w:color w:val="auto"/>
              </w:rPr>
              <w:t>denominated debt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w w:val="95"/>
              </w:rPr>
              <w:t>(11,210)</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(6,720)</w:t>
            </w: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income — net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rPr>
              <w:t>income — net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(11,508)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(6,720)</w:t>
            </w: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L — Subsequent Events</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On November 17, 2011 the Board of Directors declared a quarterly cash dividend to shareholders of the Company’s Class A and Class B Common Stock of $0.185 per share payable on January 31, 2012 to shareholders of record at the close of business on January 10, 2012.</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Overview</w:t>
      </w:r>
    </w:p>
    <w:p>
      <w:pPr>
        <w:spacing w:after="0" w:line="185"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Brady, a Wisconsin corporation founded in 1914, is an international manufacturer and marketer of identification solutions and specialty materials that identify and protect premises, products, and people. Its products include facility identification products; safety and complementary products; wire and cable identification products; sorbent materials; people identification products; regulatory publishing products; high-performance identification products for product identification and work-in-process identification; and bar-code labels and precision die-cut components for mobile telecommunications devices, hard disk drives, medical devices and supplies, and automotive and other electronics. The Company serves customers in general manufacturing, maintenance and safety, process industries, construction, electrical, telecommunications, electronics, laboratory/healthcare, airline/transportation, brand protection, education, governmental, public utility, and a variety of other industries. The Company manufactures and sells products domestically and internationally through multiple channels including distributors, resellers, business-to-business direct marketing, direct sales and e-commerce capabilities. The Company believes that its reputation for innovation, commitment to quality and service, and dedicated employees have made it a world leader in the markets it serves. The Company operates in Australia, Belgium, Brazil, Canada, the Cayman Islands, China, Denmark, France, Germany, Hong Kong, India, Italy, Japan, Luxembourg, Malaysia, Mexico, the Netherlands, Norway, the Philippines, Poland, Singapore, Slovakia, South Korea, Spain, Sweden, Thailand, Turkey, the United Arab Emirates, the United Kingdom and the United States. Brady sells through subsidiaries or sales offices in these countries, with additional sales through a dedicated team of international sales representatives in New Zealand, Russia, Taiwan, Vietnam, Central Europe, the Middle East, Africa and South America.</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Results of Operations</w:t>
      </w:r>
    </w:p>
    <w:p>
      <w:pPr>
        <w:spacing w:after="0" w:line="198"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Sales for the quarter ended October 31, 2011, increased 6.0% to $349.5 million, compared to $329.6 million in the same period of the last fiscal year. Of the 6.0% increase in sales, organic sales increased by 3.5%, and divestitures, net of acquisitions reduced sales by 0.2%. The change in sales related to divestitures, net of acquisitions, resulted from the acquisition of ID Warehouse and the divestiture of Teklynx during fiscal 2011. The remaining increase in sales of 2.7% was due to fluctuations in the exchange rates used to translate financial results into the United States Dollar for the three months ended October 31, 2011, compared to the same period in the previous year. The increase in organic sales for the quarter ended October 31, 2011 was comprised of 5.7% and 3.7% increases in sales in the Americas and Europe segments, respectively, partially offset by the 0.2% decline in sales in the Asia-Pacific segment. Net income for the quarter ended October 31, 2011, was $32.7 million or $0.62 per diluted Class A Nonvoting Common Share, up 24.5% from $26.3 million or $0.50 per diluted Class A Nonvoting Common Share reported in the first quarter of last fiscal year.</w:t>
      </w:r>
    </w:p>
    <w:p>
      <w:pPr>
        <w:spacing w:after="0" w:line="12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Gross margin as a percentage of sales was 48.0% for the quarter ended October 31, 2011, compared to 49.9% in the same period of the previous year. The primary driver for the decline in gross margin relates to the Asia-Pacific segment where the Company took on lower margin sales opportunities in an effort to offset volume declines.</w:t>
      </w:r>
    </w:p>
    <w:p>
      <w:pPr>
        <w:spacing w:after="0" w:line="141"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Research and development (“R&amp;D”) expenses decreased 1.4% to $9.8 million during the three months ended October 31, 2011, compared to $9.9 million for the same period in the prior year. As a percentage of sales, R&amp;D expenses decreased from 3.0% to 2.8% during the three months ended October 31, 2011, compared to the three months ended October 31, 2010. The Company remains committed to innovation and new product development and expects R&amp;D expense to increase for the remainder of fiscal 2012.</w:t>
      </w:r>
    </w:p>
    <w:p>
      <w:pPr>
        <w:spacing w:after="0" w:line="127" w:lineRule="exact"/>
        <w:rPr>
          <w:sz w:val="20"/>
          <w:szCs w:val="20"/>
          <w:color w:val="auto"/>
        </w:rPr>
      </w:pPr>
    </w:p>
    <w:p>
      <w:pPr>
        <w:jc w:val="both"/>
        <w:ind w:left="340" w:right="179" w:firstLine="389"/>
        <w:spacing w:after="0" w:line="302" w:lineRule="auto"/>
        <w:rPr>
          <w:sz w:val="20"/>
          <w:szCs w:val="20"/>
          <w:color w:val="auto"/>
        </w:rPr>
      </w:pPr>
      <w:r>
        <w:rPr>
          <w:rFonts w:ascii="Arial" w:cs="Arial" w:eastAsia="Arial" w:hAnsi="Arial"/>
          <w:sz w:val="16"/>
          <w:szCs w:val="16"/>
          <w:color w:val="auto"/>
        </w:rPr>
        <w:t>Selling, general, and administrative expenses (“SG&amp;A”) decreased 0.4% to $108.9 million for the three months ended October 31, 2011, compared to $109.3 million for the same period in the prior year. SG&amp;A expense as percentage of sales declined to 31.2% in the first quarter of fiscal 2012 compared to 33.2% in the same quarter last year. The Company has continued to focus on reducing its SG&amp;A expenses as a percentage of sales, which is partially offset by its reinvestment in growth initiatives.</w:t>
      </w:r>
    </w:p>
    <w:p>
      <w:pPr>
        <w:spacing w:after="0" w:line="114"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Restructuring charges related to the reduction of the Company’s workforce and facility consolidations were $3.6 million during the three-month period ended October 31, 2010.</w:t>
      </w:r>
    </w:p>
    <w:p>
      <w:pPr>
        <w:spacing w:after="0" w:line="130"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Interest expense decreased to $5.0 million for the quarter ended October 31, 2011 from $5.7 million for the quarter ended October 31, 2010. The decrease was due to the Company’s lower principal balance under the outstanding debt agreements.</w:t>
      </w:r>
    </w:p>
    <w:p>
      <w:pPr>
        <w:spacing w:after="0" w:line="120"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The Company’s income tax rate was 25.3% for the quarter ended October 31, 2011 and 27.4% for the same period of the previous year. The decrease in the Company’s income tax rate during the first quarter of fiscal 2012 was primarily due to the mix of profits in low and high tax countries as well as positive impacts from foreign tax credit benefits. The Company expects the full year income tax rate for fiscal 2012 to be in the mid 20% range.</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Net income for the three months ended October 31, 2011, increased 24.5% to $32.7 million, compared to $26.3 million for the same quarter of the previous year. Net income as a percentage of sales increased to 9.4% for the quarter ended October 31, 2011 from 8.0% for the same period in the prior year. Net income before restructuring related expenses was $28.9 million, or $0.55 per diluted Class A Common Share, for the three months ended October 31,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Segment Operating Results</w:t>
      </w:r>
    </w:p>
    <w:p>
      <w:pPr>
        <w:spacing w:after="0" w:line="19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Following is a summary of segment information for the three months ended October 31, 2011 and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Asia-</w:t>
            </w: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and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40" w:type="dxa"/>
            <w:vAlign w:val="bottom"/>
          </w:tcPr>
          <w:p>
            <w:pPr>
              <w:spacing w:after="0"/>
              <w:rPr>
                <w:sz w:val="20"/>
                <w:szCs w:val="20"/>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Europe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Pacific</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2"/>
              </w:rPr>
              <w:t>Regions</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2011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153,863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97,356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98,289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349,508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349,508</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rPr>
              <w:t>October 31, 2010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145,988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92,050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91,550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329,588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329,588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GROWTH INFORMATION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Three months ended October 31, 2011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Organic</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rPr>
              <w:t>Currency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Acquisitions/Divestitures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2011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26,299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82,833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79,570</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rPr>
              <w:t>October 31, 2010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39,359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24,061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16,829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80,249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76,813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Percentage increase (decrease)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92"/>
        </w:trPr>
        <w:tc>
          <w:tcPr>
            <w:tcW w:w="3280" w:type="dxa"/>
            <w:vAlign w:val="bottom"/>
          </w:tcPr>
          <w:p>
            <w:pPr>
              <w:spacing w:after="0"/>
              <w:rPr>
                <w:sz w:val="20"/>
                <w:szCs w:val="20"/>
                <w:color w:val="auto"/>
              </w:rPr>
            </w:pPr>
            <w:r>
              <w:rPr>
                <w:rFonts w:ascii="Arial" w:cs="Arial" w:eastAsia="Arial" w:hAnsi="Arial"/>
                <w:sz w:val="18"/>
                <w:szCs w:val="18"/>
                <w:b w:val="1"/>
                <w:bCs w:val="1"/>
                <w:color w:val="auto"/>
              </w:rPr>
              <w:t>NET INCOME RECONCILIATION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34"/>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October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82,833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80,249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(3,263)</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(30,480)</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(31,569)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Investment and other income (expense)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(5,047)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(11,109)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23"/>
        </w:trPr>
        <w:tc>
          <w:tcPr>
            <w:tcW w:w="70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32,732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Americas:</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Sales in the Americas increased 5.4% to $153.9 million for the quarter ended October 31, 2011, compared to $146.0 million for the same period in the prior year. Organic sales increased 5.7% for the quarter ended October 31, 2011, compared to the same period last year. Fluctuations in the exchange rates used to translate financial results into the U.S. dollar increased sales by 0.4% in the quarter. The fiscal 2011 divestiture of Teklynx reduced sales by 0.7% in the United States. The increase in organic sales during the quarter was primarily due to the strong Brady brand growth in the United States, Brazil, Canada, and Mexico, driven by an ongoing investment in R&amp;D and new product launches.</w:t>
      </w:r>
    </w:p>
    <w:p>
      <w:pPr>
        <w:spacing w:after="0" w:line="153"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Segment profit increased 9.8% to $43.2 million for the quarter ended October 31, 2011, compared to $39.4 million for the same period in the prior year. As a percentage of sales, segment profit increased to 28.1% for the quarter ended October 31, 2011 from 27.0% for the same period in the prior year. The segment profit increase was primarily due to an improved gross profit margin as a result of selected price increases that went into effect at the beginning of fiscal 2012, as well as the benefit of the segment’s ongoing productivity initiatives.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Sales in Europe increased 5.8% to $97.4 million for the quarter ended October 31, 2011, compared to $92.1 million for the same period in the prior year. Organic sales increased 3.7% in the quarter ended October 31, 2011 compared to the same period last year. Fluctuations in the exchange rates used to translate financial results into the U.S. dollar increased sales within the segment by 3.7% in the quarter. The fiscal 2011 divestiture of Teklynx reduced sales by 1.6% in the quarter. The increase in organic sales during the quarter ended October 31, 2011 was driven primarily by the growth of the direct marketing business within Northern and Southern Europe.</w:t>
      </w:r>
    </w:p>
    <w:p>
      <w:pPr>
        <w:spacing w:after="0" w:line="15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Segment profit increased 9.3% to $26.3 million for the quarter ended October 31, 2011, compared to $24.1 million for the same period in the prior year. As a percentage of sales, segment profit increased to 27.0% for the quarter ended October 31, 2011 from 26.1% for the same period in the prior year. The segment profit increase was primarily due to reduced selling expenses, and the benefits from reorganization.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Asia-Pacific:</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Asia-Pacific sales increased 7.4% to $98.3 million for the quarter ended October 31, 2011, compared to $91.6 million for the same period in the prior year. Organic sales decreased 0.2% in the quarter ended October 31, 2011, compared to the same period last year. Fluctuations in the exchange rates used to translate financial results into the U.S. dollar increased sales within the segment by 5.5% in the quarter. The fiscal 2011 acquisition of ID Warehouse increased sales by 2.1% in the quarter. The relatively flat organic growth in the first quarter of fiscal 2012 was primarily a result of increased sales from the segment’s on-going customer base diversification in the mobile handset and other adjacent markets, partially offset by reduced demand from one of the Company’s largest mobile handset customers.</w:t>
      </w:r>
    </w:p>
    <w:p>
      <w:pPr>
        <w:spacing w:after="0" w:line="14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Segment profit decreased 20.9% to $13.3 million for the quarter ended October 31, 2011, compared to $16.8 million for the same period in the prior year. As a percentage of sales, segment profit decreased to 13.5% for the quarter ended October 31, 2011 from 18.4% for the same period in the prior year. The decrease in segment profit was the result of lower margin sales opportunities and continued price pressure and inflation on raw materials and wages. The Thailand flood did not have a material impact on the Company’s financial results for the period ended October 31, 2011 due to the timing of the event near the end of the quarter. The flood is expected to have the most significant impact on financial results for the second quarter ending January 31, 2012, with an estimated reduction in EPS of $0.05 per diluted share. Potential losses caused by the flooding are expected to be partially covered by property and business interruption insurance. The impact on the Company’s customers is not yet known, and the timing of the insurance recoveries could fall into subsequent periods beyond fiscal year 2012.</w:t>
      </w:r>
    </w:p>
    <w:p>
      <w:pPr>
        <w:spacing w:after="0" w:line="141"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The Company has identified seven reporting units within its three reporting segments for purposes of the annual goodwill impairment analysis. The Asia-Pacific reporting segment has two reporting units: North/South Asia and Australia. The segment profit decrease within the Asia-Pacific region is primarily related to the Company’s North/South Asia reporting unit. The Company last completed its annual impairment testing of goodwill in the fourth quarter of fiscal 2011. The methodologies for valuing goodwill are applied consistently on a year-over-year basis, and the assumptions used in performing the 2011 impairment calculations were evaluated in light of market and business conditions. Brady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are based on both past performance and the projections and assumptions used in the Company’s current and long-range operating plans. The Company’s estimates could be materially impacted by factors such as significant negative industry or economic trends, disruptions to the Company’s business, competitive forces, or changes in significant customers.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North/South Asia reporting unit has goodwill of $163.7 million as of October 31, 2011. This reporting unit has faced difficulties in reduced customer demand, increased price pressures, and business disruptions due to natural disasters. The Company believes that its long-term strategies will be successful in returning the reporting unit to higher levels of profitability. The valuation of any long lived asset is inherently subjective and dependent on projections of future operating results. If operating results do not improve, the Company may adjust its estimates of future operating results or change other key variables and assumptions utilized in the goodwill impairment model. If such changes occur, these assets may be impaired in the future, which would reduce the Company’s earnings in the period in which the impairment charge is taken. Depending on the size of the impairment, the Company may fail to meet certain of the financial covenants in its revolving loan agreement, which, if not waived by the lenders, could result in the Company’s outstanding indebtedness under its debt and revolving loan agreements becoming immediately due and payable.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Condition</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Cash and cash equivalents were $371.6 million at October 31, 2011, a decline of $18.4 million compared to $390.0 million at July 31, 2011. Cash from net income was offset by the annual incentive compensation payment, quarterly dividend payment and the purchase of the Company’s Class A Common Stock.</w:t>
      </w:r>
    </w:p>
    <w:p>
      <w:pPr>
        <w:spacing w:after="0" w:line="141"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Company’s working capital, excluding cash and cash equivalents, increased to $98.0 million at October 31, 2011 from $66.4 million at July 31, 2011. Accounts receivable balances increased $4.4 million from July 31, 2011 to October 31, 2011 as a result of increased sales volumes during the quarter. Inventories increased $5.5 million for the quarter as a result of increased production volumes. The net decrease in current liabilities of $15.3 million was primarily due to the decrease in accrued wages due to the payment of the Company’s fiscal 2011 annual incentive compensation during the quarter ended October 31, 2011.</w:t>
      </w:r>
    </w:p>
    <w:p>
      <w:pPr>
        <w:spacing w:after="0" w:line="146"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In the first quarter of fiscal 2012, the Company generated $15.3 million of cash from operations, a decrease of $0.9 million from the same period last year. The decrease was primarily due to a moderate increase in the fiscal 2011 annual incentive compensation payment during the quarter ended October 31, 2011, compared to the quarter ended October 31, 2010.</w:t>
      </w:r>
    </w:p>
    <w:p>
      <w:pPr>
        <w:spacing w:after="0" w:line="12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Capital expenditures were $5.8 million for the quarter ended October 31, 2011, compared to $2.8 million in the same period last year. The Company expects capital expenditures of approximately $25.0 million for the year ending July 31, 2012. Net cash used in financing activities was $20.9 million for the quarter ended October 31, 2011, an increase of $13.4 million from the same period last year. The increase was primarily due to $12.3 million of shares of the Company’s Class A Common Stock purchased during the three month period ended October 31, 2011.</w:t>
      </w:r>
    </w:p>
    <w:p>
      <w:pPr>
        <w:spacing w:after="0" w:line="14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October 26, 2011,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166"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41"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127"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October 31, 2011, there were no outstanding borrowings under the credit facility.</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October 31, 2011, the Company was in compliance with the financial covenant of these debt agreements, with the ratio of debt to EBITDA, as defined by the agreements, equal to 1.8 to 1.0. Additionally, the Company’s October 2006 revolving loan agreement requires the Company to maintain a ratio of debt to trailing twelve months EBITDA, as defined by the debt agreement, of not more than a 3.0 to 1.0 ratio. The revolving loan agreement requires the Company’s trailing twelve months earnings before interest and taxes (“EBIT”) to interest expense of not less than a 3.0 to 1.0 ratio (interest expense coverage). As of October 31, 2011, the Company was in compliance with the financial covenants of the revolving loan agreement, with the ratio of debt to EBITDA, as defined by the agreement, equal to 1.7 to 1.0 and the interest expense coverage ratio equal to 8.3 to 1.0.</w:t>
      </w:r>
    </w:p>
    <w:p>
      <w:pPr>
        <w:spacing w:after="0" w:line="15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Long-term obligations, less current maturities, as a percentage of long-term obligations, less current maturities, plus stockholders’ investment were 22.2% at October 31, 2011 and 22.3% at July 31, 2011. Long-term obligations decreased by $1.9 million from July 31, 2011 to October 31, 2011 due to the positive impact of foreign currency translation on the Company’s Euro-denominated debt.</w:t>
      </w:r>
    </w:p>
    <w:p>
      <w:pPr>
        <w:spacing w:after="0" w:line="14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Stockholders’ investment increased $1.7 million during the three months October 31, 2011. The increase is a result of the Company’s net income of $32.7 million, offset by the Class A Common Stock repurchase transactions of $12.3 million and the dividends paid on Class A and Class B Common Stock of $9.1 million and $0.6 million, respectively.</w:t>
      </w:r>
    </w:p>
    <w:p>
      <w:pPr>
        <w:spacing w:after="0" w:line="141"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Company’s cash balances are generated and held in numerous locations throughout the world. At October 31, 2011 and July 31, 2011, approximately 59% and 69% of the Company’s cash and cash equivalents was held outside the United States, respectively.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acquisitions, common stock repurchases, scheduled debt repayments, and dividend payments. The Company believes that its current credit arrangements are sound and that the strength of its balance sheet will allow financial flexibility to respond to both internal growth opportunities and those available through acquisition.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On November 17, 2011, the Board of Directors declared a quarterly cash dividend to shareholders of the Company’s Class A and Class B Common Stock of $0.185 per share payable on January 31, 2012 to shareholders of record at the close of business on January 10, 2012.</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6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30"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1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43"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Related-Party Transactions — The Company evaluated its affiliated party transactions for the period ended October 31, 2011. Based on the evaluation the Company does not have material related party transactions that affect the results of operations, cash flow or financial condition.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color w:val="auto"/>
        </w:rPr>
        <w:t>Brady believes that certain statements in this Form 10-K are “forward-looking statements” within the meaning of the Private Securities Litigation Reform Act of 1995. All statements related to future, not past, events included in this Form 10-K,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10-K,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Company’s most recently filed Form 10-K for the year ended July 31, 2011. 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41"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and minimize the foreign currency translation impact on the Company’s operations. To achieve this objective, the Company hedges a portion of known exposures using forward contracts. Main exposures are related to transactions denominated in the British Pound, the Euro, Canadian Dollar, Australian Dollar, Singapore Dollar, Japanese Yen, and the Swiss Franc. As of October 31, 2011, the notional amount of outstanding forward contracts designated as cash flow hedges was $25.3 million. The Company also hedged portions of its net investments in its foreign operations using forward foreign exchange currency contracts of $31.7 million, intercompany foreign currency denominated debt instruments of $6.2 million and Euro-denominated debt of $106.1 million designated as a hedge instrument.</w:t>
      </w:r>
    </w:p>
    <w:p>
      <w:pPr>
        <w:spacing w:after="0" w:line="137"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October 31, 2011, the Company had no interest rate derivatives.</w:t>
      </w:r>
    </w:p>
    <w:p>
      <w:pPr>
        <w:spacing w:after="0" w:line="161"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Australian dollar, the Canadian dollar, the Singapore dollar, the Euro, the British Pound, the Brazilian Real, the Korean Won, and the Chinese Yuan. Changes in foreign currency exchange rates for the Company’s foreign subsidiaries reporting in local currencies are generally reported as a component of stockholders’ investment. The Company’s currency translation adjustments recorded for the three months ended October 31, 2011 and 2010 were $19.1 million unfavorable, and $30.0 million favorable, respectively. As of October 31, 2011 and 2010, the Company’s foreign subsidiaries had net current assets (defined as current assets less current liabilities) subject to foreign currency translation risk of $407.4 million and $277.1 million, respectively. These amounts were offset by net investment hedges of $144.0 million as of October 31, 2011, and $104.5 million as of October 31, 2010. The potential decrease in the net current assets as of October 31, 2011 from a hypothetical 10 percent adverse change in quoted foreign currency exchange rates would be $40.7 million. This sensitivity analysis assumes a parallel shift in foreign currency exchange rates. Exchange rates rarely move in the same direction relative to the dollar. This assumption may overstate the impact of changing exchange rates on individual assets and liabilities denominated in a foreign currency.</w:t>
      </w:r>
    </w:p>
    <w:p>
      <w:pPr>
        <w:spacing w:after="0" w:line="14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85"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Executive Vice President and Chief Financial Officer, of the effectiveness of the design and operation of the Company’s disclosure controls and procedures pursuant to Rule 13a-15 of the Exchange Act. Based on that evaluation, the Company’s President and Chief Executive Officer and Senior Executive Vice President and Chief Financial Officer concluded that the Company’s disclosure controls and procedures are effective as of the end of the period covered by this report.</w:t>
      </w:r>
    </w:p>
    <w:p>
      <w:pPr>
        <w:spacing w:after="0" w:line="14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 OTHER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fiscal 2009, the Company’s Board of Directors authorized a share repurchase plan for the Company’s Class A Nonvoting Common Stock. The plan was implemented by purchasing shares in the open market or in privately negotiated transactions, with repurchased shares available for use in connection with the Company’s stock-based plans and for other corporate purposes. The Company did not repurchase shares during fiscal 2011. As of July 31, 2011, there remained 204,133 shares to purchase in connection with this share repurchase plan.</w:t>
      </w:r>
    </w:p>
    <w:p>
      <w:pPr>
        <w:spacing w:after="0" w:line="14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On September 9, 2011, the Company’s Board of Directors authorized an additional share repurchase program for up to two million additional shares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During the three months ended October 31, 2011, the Company purchased 457,360 shares of its Class A Nonvoting Common Stock under this plan for $12,309. As of October 31, 2011, there remained 1,746,773 shares to purchase in connection with this share repurchase plan.</w:t>
      </w:r>
    </w:p>
    <w:p>
      <w:pPr>
        <w:spacing w:after="0" w:line="15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provides information with respect to the purchase of Class A Nonvoting Common Stock during the three months ended October 31, 2011:</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 Number of</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3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 Purchased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of Shares that May</w:t>
            </w:r>
          </w:p>
        </w:tc>
      </w:tr>
      <w:tr>
        <w:trPr>
          <w:trHeight w:val="216"/>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Yet Be Purchased</w:t>
            </w:r>
          </w:p>
        </w:tc>
      </w:t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7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6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30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Announced Plans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the Plans</w:t>
            </w:r>
          </w:p>
        </w:tc>
      </w:tr>
      <w:tr>
        <w:trPr>
          <w:trHeight w:val="20"/>
        </w:trPr>
        <w:tc>
          <w:tcPr>
            <w:tcW w:w="3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August 1, 2011 — August 31, 2011</w:t>
            </w: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204,133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5"/>
              </w:rPr>
              <w:t>September 1, 2011 — September 30, 2011</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369,228</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27.17</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369,228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1,834,905</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October 1, 2011 — October 31, 2011</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88,132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88,132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1,746,773</w:t>
            </w: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457,360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3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457,360</w:t>
            </w:r>
          </w:p>
        </w:tc>
        <w:tc>
          <w:tcPr>
            <w:tcW w:w="3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1,746,773</w:t>
            </w:r>
          </w:p>
        </w:tc>
        <w:tc>
          <w:tcPr>
            <w:tcW w:w="10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440" w:type="dxa"/>
            <w:vAlign w:val="bottom"/>
            <w:gridSpan w:val="3"/>
          </w:tcPr>
          <w:p>
            <w:pPr>
              <w:spacing w:after="0"/>
              <w:rPr>
                <w:sz w:val="20"/>
                <w:szCs w:val="20"/>
                <w:color w:val="auto"/>
              </w:rPr>
            </w:pPr>
            <w:r>
              <w:rPr>
                <w:rFonts w:ascii="Arial" w:cs="Arial" w:eastAsia="Arial" w:hAnsi="Arial"/>
                <w:sz w:val="18"/>
                <w:szCs w:val="18"/>
                <w:color w:val="auto"/>
              </w:rPr>
              <w:t>ITEM 6.  Exhibits</w:t>
            </w:r>
          </w:p>
        </w:tc>
        <w:tc>
          <w:tcPr>
            <w:tcW w:w="1060" w:type="dxa"/>
            <w:vAlign w:val="bottom"/>
          </w:tcPr>
          <w:p>
            <w:pPr>
              <w:spacing w:after="0"/>
              <w:rPr>
                <w:sz w:val="18"/>
                <w:szCs w:val="18"/>
                <w:color w:val="auto"/>
              </w:rPr>
            </w:pPr>
          </w:p>
        </w:tc>
        <w:tc>
          <w:tcPr>
            <w:tcW w:w="7220" w:type="dxa"/>
            <w:vAlign w:val="bottom"/>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412"/>
        </w:trPr>
        <w:tc>
          <w:tcPr>
            <w:tcW w:w="1440" w:type="dxa"/>
            <w:vAlign w:val="bottom"/>
            <w:gridSpan w:val="3"/>
          </w:tcPr>
          <w:p>
            <w:pPr>
              <w:spacing w:after="0"/>
              <w:rPr>
                <w:sz w:val="20"/>
                <w:szCs w:val="20"/>
                <w:color w:val="auto"/>
              </w:rPr>
            </w:pPr>
            <w:r>
              <w:rPr>
                <w:rFonts w:ascii="Arial" w:cs="Arial" w:eastAsia="Arial" w:hAnsi="Arial"/>
                <w:sz w:val="18"/>
                <w:szCs w:val="18"/>
                <w:color w:val="auto"/>
              </w:rPr>
              <w:t>(a) Exhibits</w:t>
            </w:r>
          </w:p>
        </w:tc>
        <w:tc>
          <w:tcPr>
            <w:tcW w:w="106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r>
      <w:tr>
        <w:trPr>
          <w:trHeight w:val="216"/>
        </w:trPr>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 of Control Agreement, dated as of November 21, 2011, entered into with Stephen Millar</w:t>
            </w:r>
          </w:p>
        </w:tc>
      </w:tr>
      <w:tr>
        <w:trPr>
          <w:trHeight w:val="216"/>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Rule 13a-14(a)/15d-14(a) Certification of Frank M. Jaehnert</w:t>
            </w:r>
          </w:p>
        </w:tc>
      </w:tr>
      <w:tr>
        <w:trPr>
          <w:trHeight w:val="216"/>
        </w:trPr>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Rule 13a-14(a)/15d-14(a) Certification of Thomas J. Felmer</w:t>
            </w:r>
          </w:p>
        </w:tc>
      </w:tr>
      <w:tr>
        <w:trPr>
          <w:trHeight w:val="216"/>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w w:val="89"/>
              </w:rPr>
              <w:t>Section 1350</w:t>
            </w:r>
          </w:p>
        </w:tc>
        <w:tc>
          <w:tcPr>
            <w:tcW w:w="7220" w:type="dxa"/>
            <w:vAlign w:val="bottom"/>
          </w:tcPr>
          <w:p>
            <w:pPr>
              <w:ind w:left="20"/>
              <w:spacing w:after="0"/>
              <w:rPr>
                <w:sz w:val="20"/>
                <w:szCs w:val="20"/>
                <w:color w:val="auto"/>
              </w:rPr>
            </w:pPr>
            <w:r>
              <w:rPr>
                <w:rFonts w:ascii="Arial" w:cs="Arial" w:eastAsia="Arial" w:hAnsi="Arial"/>
                <w:sz w:val="18"/>
                <w:szCs w:val="18"/>
                <w:color w:val="auto"/>
              </w:rPr>
              <w:t>Certification of Frank M. Jaehnert</w:t>
            </w:r>
          </w:p>
        </w:tc>
      </w:tr>
      <w:tr>
        <w:trPr>
          <w:trHeight w:val="216"/>
        </w:trPr>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Section 1350</w:t>
            </w:r>
          </w:p>
        </w:tc>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of Thomas J. Felmer</w:t>
            </w:r>
          </w:p>
        </w:tc>
      </w:tr>
      <w:tr>
        <w:trPr>
          <w:trHeight w:val="230"/>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Interactive Data File</w:t>
            </w:r>
          </w:p>
        </w:tc>
      </w:tr>
    </w:tbl>
    <w:p>
      <w:pPr>
        <w:spacing w:after="0" w:line="16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SIGNATURES</w:t>
            </w:r>
          </w:p>
        </w:tc>
        <w:tc>
          <w:tcPr>
            <w:tcW w:w="3600" w:type="dxa"/>
            <w:vAlign w:val="bottom"/>
          </w:tcPr>
          <w:p>
            <w:pPr>
              <w:spacing w:after="0"/>
              <w:rPr>
                <w:sz w:val="20"/>
                <w:szCs w:val="20"/>
                <w:color w:val="auto"/>
              </w:rPr>
            </w:pPr>
          </w:p>
        </w:tc>
      </w:tr>
      <w:tr>
        <w:trPr>
          <w:trHeight w:val="432"/>
        </w:trPr>
        <w:tc>
          <w:tcPr>
            <w:tcW w:w="466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Date: December 6,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Frank. M. Jaehnert</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Date: December 6,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6"/>
              </w:rPr>
              <w:t>Senior Vice President &amp; Chief Financial Officer</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97"/>
        </w:trPr>
        <w:tc>
          <w:tcPr>
            <w:tcW w:w="4660" w:type="dxa"/>
            <w:vAlign w:val="bottom"/>
          </w:tcPr>
          <w:p>
            <w:pPr>
              <w:spacing w:after="0"/>
              <w:rPr>
                <w:sz w:val="24"/>
                <w:szCs w:val="24"/>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0219"/>
          </w:cols>
          <w:pgMar w:left="240" w:top="419" w:right="1440" w:bottom="1440" w:gutter="0" w:footer="0" w:header="0"/>
        </w:sectPr>
      </w:pPr>
    </w:p>
    <w:bookmarkStart w:id="24" w:name="page25"/>
    <w:bookmarkEnd w:id="24"/>
    <w:p>
      <w:pPr>
        <w:jc w:val="right"/>
        <w:ind w:right="159"/>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CHANGE OF CONTROL AGREEMENT</w:t>
      </w:r>
    </w:p>
    <w:p>
      <w:pPr>
        <w:spacing w:after="0" w:line="184"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AGREEMENT, made as of November 21, 2011, between Brady Corporation, a Wisconsin corporation, (“Corporation”) and Stephen Millar.</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WHEREAS, the Executive is now serving as an executive of the Corporation in a position of importance and responsibility; and</w:t>
      </w:r>
    </w:p>
    <w:p>
      <w:pPr>
        <w:spacing w:after="0" w:line="208"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54"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41"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NOW, THEREFORE, in consideration of the mutual promises and covenants set forth herein, the Executive and Corporation agree as follows: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SECTION 1. DEFINITIONS.</w:t>
      </w:r>
    </w:p>
    <w:p>
      <w:pPr>
        <w:spacing w:after="0" w:line="198" w:lineRule="exact"/>
        <w:rPr>
          <w:sz w:val="20"/>
          <w:szCs w:val="20"/>
          <w:color w:val="auto"/>
        </w:rPr>
      </w:pPr>
    </w:p>
    <w:p>
      <w:pPr>
        <w:jc w:val="both"/>
        <w:ind w:right="179" w:firstLine="770"/>
        <w:spacing w:after="0" w:line="279" w:lineRule="auto"/>
        <w:tabs>
          <w:tab w:leader="none" w:pos="1025"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30" w:lineRule="exact"/>
        <w:rPr>
          <w:rFonts w:ascii="Arial" w:cs="Arial" w:eastAsia="Arial" w:hAnsi="Arial"/>
          <w:sz w:val="17"/>
          <w:szCs w:val="17"/>
          <w:color w:val="auto"/>
        </w:rPr>
      </w:pPr>
    </w:p>
    <w:p>
      <w:pPr>
        <w:jc w:val="both"/>
        <w:ind w:right="159" w:firstLine="770"/>
        <w:spacing w:after="0" w:line="270" w:lineRule="auto"/>
        <w:tabs>
          <w:tab w:leader="none" w:pos="1039" w:val="left"/>
        </w:tabs>
        <w:numPr>
          <w:ilvl w:val="0"/>
          <w:numId w:val="4"/>
        </w:numPr>
        <w:rPr>
          <w:rFonts w:ascii="Arial" w:cs="Arial" w:eastAsia="Arial" w:hAnsi="Arial"/>
          <w:sz w:val="17"/>
          <w:szCs w:val="17"/>
          <w:color w:val="auto"/>
        </w:rPr>
      </w:pPr>
      <w:r>
        <w:rPr>
          <w:rFonts w:ascii="Arial" w:cs="Arial" w:eastAsia="Arial" w:hAnsi="Arial"/>
          <w:sz w:val="17"/>
          <w:szCs w:val="17"/>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628650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25" w:name="page26"/>
    <w:bookmarkEnd w:id="25"/>
    <w:p>
      <w:pPr>
        <w:jc w:val="both"/>
        <w:ind w:right="159" w:firstLine="770"/>
        <w:spacing w:after="0" w:line="255" w:lineRule="auto"/>
        <w:tabs>
          <w:tab w:leader="none" w:pos="1029" w:val="left"/>
        </w:tabs>
        <w:numPr>
          <w:ilvl w:val="0"/>
          <w:numId w:val="5"/>
        </w:numPr>
        <w:rPr>
          <w:rFonts w:ascii="Arial" w:cs="Arial" w:eastAsia="Arial" w:hAnsi="Arial"/>
          <w:sz w:val="18"/>
          <w:szCs w:val="18"/>
          <w:color w:val="auto"/>
        </w:rPr>
      </w:pPr>
      <w:r>
        <w:rPr>
          <w:rFonts w:ascii="Arial" w:cs="Arial" w:eastAsia="Arial" w:hAnsi="Arial"/>
          <w:sz w:val="18"/>
          <w:szCs w:val="18"/>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62" w:lineRule="exact"/>
        <w:rPr>
          <w:rFonts w:ascii="Arial" w:cs="Arial" w:eastAsia="Arial" w:hAnsi="Arial"/>
          <w:sz w:val="18"/>
          <w:szCs w:val="18"/>
          <w:color w:val="auto"/>
        </w:rPr>
      </w:pPr>
    </w:p>
    <w:p>
      <w:pPr>
        <w:jc w:val="both"/>
        <w:ind w:right="159" w:firstLine="770"/>
        <w:spacing w:after="0" w:line="273" w:lineRule="auto"/>
        <w:tabs>
          <w:tab w:leader="none" w:pos="1046" w:val="left"/>
        </w:tabs>
        <w:numPr>
          <w:ilvl w:val="0"/>
          <w:numId w:val="5"/>
        </w:numPr>
        <w:rPr>
          <w:rFonts w:ascii="Arial" w:cs="Arial" w:eastAsia="Arial" w:hAnsi="Arial"/>
          <w:sz w:val="17"/>
          <w:szCs w:val="17"/>
          <w:color w:val="auto"/>
        </w:rPr>
      </w:pPr>
      <w:r>
        <w:rPr>
          <w:rFonts w:ascii="Arial" w:cs="Arial" w:eastAsia="Arial" w:hAnsi="Arial"/>
          <w:sz w:val="17"/>
          <w:szCs w:val="17"/>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37" w:lineRule="exact"/>
        <w:rPr>
          <w:rFonts w:ascii="Arial" w:cs="Arial" w:eastAsia="Arial" w:hAnsi="Arial"/>
          <w:sz w:val="17"/>
          <w:szCs w:val="17"/>
          <w:color w:val="auto"/>
        </w:rPr>
      </w:pPr>
    </w:p>
    <w:p>
      <w:pPr>
        <w:ind w:left="1020" w:hanging="2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SECTION 2. PAYMENTS UPON TERMINATION DUE TO CHANGE OF CONTROL.</w:t>
      </w:r>
    </w:p>
    <w:p>
      <w:pPr>
        <w:spacing w:after="0" w:line="198" w:lineRule="exact"/>
        <w:rPr>
          <w:sz w:val="20"/>
          <w:szCs w:val="20"/>
          <w:color w:val="auto"/>
        </w:rPr>
      </w:pPr>
    </w:p>
    <w:p>
      <w:pPr>
        <w:jc w:val="both"/>
        <w:ind w:right="159" w:firstLine="770"/>
        <w:spacing w:after="0" w:line="257" w:lineRule="auto"/>
        <w:tabs>
          <w:tab w:leader="none" w:pos="1029"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Termination Due to Change of Control, the Executive shall be paid an amount equal to two times the annual base salary paid the Executive by the Corporation in effect immediately prior to the date the Change of Control occurs, and two times the average bonus payment received in the three years immediately prior to the date the Change of Control occurs. Such amount shall be paid in 24 monthly installments beginning on the 15</w:t>
      </w:r>
      <w:r>
        <w:rPr>
          <w:rFonts w:ascii="Arial" w:cs="Arial" w:eastAsia="Arial" w:hAnsi="Arial"/>
          <w:sz w:val="15"/>
          <w:szCs w:val="15"/>
          <w:color w:val="auto"/>
        </w:rPr>
        <w:t>th</w:t>
      </w:r>
      <w:r>
        <w:rPr>
          <w:rFonts w:ascii="Arial" w:cs="Arial" w:eastAsia="Arial" w:hAnsi="Arial"/>
          <w:sz w:val="18"/>
          <w:szCs w:val="18"/>
          <w:color w:val="auto"/>
        </w:rPr>
        <w:t xml:space="preserve"> day of the month following the month in which the Executive’s employment with the Corporation terminates.</w:t>
      </w:r>
    </w:p>
    <w:p>
      <w:pPr>
        <w:spacing w:after="0" w:line="147" w:lineRule="exact"/>
        <w:rPr>
          <w:rFonts w:ascii="Arial" w:cs="Arial" w:eastAsia="Arial" w:hAnsi="Arial"/>
          <w:sz w:val="18"/>
          <w:szCs w:val="18"/>
          <w:color w:val="auto"/>
        </w:rPr>
      </w:pPr>
    </w:p>
    <w:p>
      <w:pPr>
        <w:jc w:val="both"/>
        <w:ind w:right="159" w:firstLine="770"/>
        <w:spacing w:after="0" w:line="297" w:lineRule="auto"/>
        <w:tabs>
          <w:tab w:leader="none" w:pos="1043"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6" w:name="page27"/>
    <w:bookmarkEnd w:id="26"/>
    <w:p>
      <w:pPr>
        <w:jc w:val="both"/>
        <w:ind w:right="159" w:firstLine="770"/>
        <w:spacing w:after="0" w:line="253" w:lineRule="auto"/>
        <w:tabs>
          <w:tab w:leader="none" w:pos="1033"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SECTION 3. EXCISE TAX, ATTORNEY FEES.</w:t>
      </w:r>
    </w:p>
    <w:p>
      <w:pPr>
        <w:spacing w:after="0" w:line="185" w:lineRule="exact"/>
        <w:rPr>
          <w:sz w:val="20"/>
          <w:szCs w:val="20"/>
          <w:color w:val="auto"/>
        </w:rPr>
      </w:pPr>
    </w:p>
    <w:p>
      <w:pPr>
        <w:jc w:val="both"/>
        <w:ind w:right="159" w:firstLine="770"/>
        <w:spacing w:after="0" w:line="302" w:lineRule="auto"/>
        <w:tabs>
          <w:tab w:leader="none" w:pos="1035"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payments under Section 2 in combination with any other payments which the Executive has the right to receive from the Corporation (the “Total Payments”) would result in the Executive incurring an excise tax as a result of Section 280(G) of the Code, the Corporation will reimburse the Executive for such Excise Tax. Such reimbursement will be paid to Executive by the end of the taxable year following the taxable year in which the Executive remits the related taxes to the Internal Revenue Service.</w:t>
      </w:r>
    </w:p>
    <w:p>
      <w:pPr>
        <w:spacing w:after="0" w:line="113" w:lineRule="exact"/>
        <w:rPr>
          <w:rFonts w:ascii="Arial" w:cs="Arial" w:eastAsia="Arial" w:hAnsi="Arial"/>
          <w:sz w:val="16"/>
          <w:szCs w:val="16"/>
          <w:color w:val="auto"/>
        </w:rPr>
      </w:pPr>
    </w:p>
    <w:p>
      <w:pPr>
        <w:ind w:right="159" w:firstLine="770"/>
        <w:spacing w:after="0" w:line="342" w:lineRule="auto"/>
        <w:tabs>
          <w:tab w:leader="none" w:pos="1045"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SECTION 4. DEATH AFTER THE EXECUTIVE HAS BEGUN RECEIVING PAYMENTS.</w:t>
      </w:r>
    </w:p>
    <w:p>
      <w:pPr>
        <w:spacing w:after="0" w:line="185"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SECTION 5. CONFIDENTIAL INFORMATION AGREEMENT.</w:t>
      </w:r>
    </w:p>
    <w:p>
      <w:pPr>
        <w:spacing w:after="0" w:line="198"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7" w:name="page28"/>
    <w:bookmarkEnd w:id="27"/>
    <w:p>
      <w:pPr>
        <w:ind w:left="380"/>
        <w:spacing w:after="0"/>
        <w:rPr>
          <w:sz w:val="20"/>
          <w:szCs w:val="20"/>
          <w:color w:val="auto"/>
        </w:rPr>
      </w:pPr>
      <w:r>
        <w:rPr>
          <w:rFonts w:ascii="Arial" w:cs="Arial" w:eastAsia="Arial" w:hAnsi="Arial"/>
          <w:sz w:val="18"/>
          <w:szCs w:val="18"/>
          <w:color w:val="auto"/>
        </w:rPr>
        <w:t>SECTION 6. MISCELLANEOUS.</w:t>
      </w:r>
    </w:p>
    <w:p>
      <w:pPr>
        <w:spacing w:after="0" w:line="198" w:lineRule="exact"/>
        <w:rPr>
          <w:sz w:val="20"/>
          <w:szCs w:val="20"/>
          <w:color w:val="auto"/>
        </w:rPr>
      </w:pPr>
    </w:p>
    <w:p>
      <w:pPr>
        <w:jc w:val="both"/>
        <w:ind w:right="159" w:firstLine="770"/>
        <w:spacing w:after="0" w:line="259" w:lineRule="auto"/>
        <w:tabs>
          <w:tab w:leader="none" w:pos="1077"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and shall also be enforceable by the Executive’s legal representatives.</w:t>
      </w:r>
    </w:p>
    <w:p>
      <w:pPr>
        <w:spacing w:after="0" w:line="146" w:lineRule="exact"/>
        <w:rPr>
          <w:rFonts w:ascii="Arial" w:cs="Arial" w:eastAsia="Arial" w:hAnsi="Arial"/>
          <w:sz w:val="18"/>
          <w:szCs w:val="18"/>
          <w:color w:val="auto"/>
        </w:rPr>
      </w:pPr>
    </w:p>
    <w:p>
      <w:pPr>
        <w:jc w:val="both"/>
        <w:ind w:right="159" w:firstLine="770"/>
        <w:spacing w:after="0" w:line="276" w:lineRule="auto"/>
        <w:tabs>
          <w:tab w:leader="none" w:pos="1039" w:val="left"/>
        </w:tabs>
        <w:numPr>
          <w:ilvl w:val="0"/>
          <w:numId w:val="9"/>
        </w:numPr>
        <w:rPr>
          <w:rFonts w:ascii="Arial" w:cs="Arial" w:eastAsia="Arial" w:hAnsi="Arial"/>
          <w:sz w:val="17"/>
          <w:szCs w:val="17"/>
          <w:color w:val="auto"/>
        </w:rPr>
      </w:pPr>
      <w:r>
        <w:rPr>
          <w:rFonts w:ascii="Arial" w:cs="Arial" w:eastAsia="Arial" w:hAnsi="Arial"/>
          <w:sz w:val="17"/>
          <w:szCs w:val="17"/>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32" w:lineRule="exact"/>
        <w:rPr>
          <w:rFonts w:ascii="Arial" w:cs="Arial" w:eastAsia="Arial" w:hAnsi="Arial"/>
          <w:sz w:val="17"/>
          <w:szCs w:val="17"/>
          <w:color w:val="auto"/>
        </w:rPr>
      </w:pPr>
    </w:p>
    <w:p>
      <w:pPr>
        <w:jc w:val="both"/>
        <w:ind w:right="159" w:firstLine="770"/>
        <w:spacing w:after="0" w:line="264" w:lineRule="auto"/>
        <w:tabs>
          <w:tab w:leader="none" w:pos="1051"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54" w:lineRule="exact"/>
        <w:rPr>
          <w:rFonts w:ascii="Arial" w:cs="Arial" w:eastAsia="Arial" w:hAnsi="Arial"/>
          <w:sz w:val="18"/>
          <w:szCs w:val="18"/>
          <w:color w:val="auto"/>
        </w:rPr>
      </w:pPr>
    </w:p>
    <w:p>
      <w:pPr>
        <w:ind w:right="179" w:firstLine="770"/>
        <w:spacing w:after="0" w:line="308" w:lineRule="auto"/>
        <w:tabs>
          <w:tab w:leader="none" w:pos="1053" w:val="left"/>
        </w:tabs>
        <w:numPr>
          <w:ilvl w:val="0"/>
          <w:numId w:val="9"/>
        </w:numPr>
        <w:rPr>
          <w:rFonts w:ascii="Arial" w:cs="Arial" w:eastAsia="Arial" w:hAnsi="Arial"/>
          <w:sz w:val="17"/>
          <w:szCs w:val="17"/>
          <w:color w:val="auto"/>
        </w:rPr>
      </w:pPr>
      <w:r>
        <w:rPr>
          <w:rFonts w:ascii="Arial" w:cs="Arial" w:eastAsia="Arial" w:hAnsi="Arial"/>
          <w:sz w:val="17"/>
          <w:szCs w:val="17"/>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9879"/>
          </w:cols>
          <w:pgMar w:left="580" w:top="935" w:right="1440" w:bottom="1440" w:gutter="0" w:footer="0" w:header="0"/>
        </w:sectPr>
      </w:pPr>
    </w:p>
    <w:p>
      <w:pPr>
        <w:spacing w:after="0" w:line="147" w:lineRule="exact"/>
        <w:rPr>
          <w:sz w:val="20"/>
          <w:szCs w:val="20"/>
          <w:color w:val="auto"/>
        </w:rPr>
      </w:pPr>
    </w:p>
    <w:p>
      <w:pPr>
        <w:jc w:val="center"/>
        <w:ind w:left="760"/>
        <w:spacing w:after="0"/>
        <w:rPr>
          <w:sz w:val="20"/>
          <w:szCs w:val="20"/>
          <w:color w:val="auto"/>
        </w:rPr>
      </w:pPr>
      <w:r>
        <w:rPr>
          <w:rFonts w:ascii="Arial" w:cs="Arial" w:eastAsia="Arial" w:hAnsi="Arial"/>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Stephen Millar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S4-S6 Regents Park Estate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391 Park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Regents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00" w:lineRule="exact"/>
        <w:rPr>
          <w:sz w:val="20"/>
          <w:szCs w:val="20"/>
          <w:color w:val="auto"/>
        </w:rPr>
      </w:pPr>
    </w:p>
    <w:p>
      <w:pPr>
        <w:sectPr>
          <w:pgSz w:w="11900" w:h="16838" w:orient="portrait"/>
          <w:cols w:equalWidth="0" w:num="2">
            <w:col w:w="2180" w:space="720"/>
            <w:col w:w="6979"/>
          </w:cols>
          <w:pgMar w:left="580" w:top="935" w:right="1440" w:bottom="1440" w:gutter="0" w:footer="0" w:header="0"/>
          <w:type w:val="continuous"/>
        </w:sectPr>
      </w:pPr>
    </w:p>
    <w:p>
      <w:pPr>
        <w:spacing w:after="0" w:line="1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If to the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6555 West Good Hope Road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Milwaukee, Wisconsin 53223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193" w:lineRule="exact"/>
        <w:rPr>
          <w:sz w:val="20"/>
          <w:szCs w:val="20"/>
          <w:color w:val="auto"/>
        </w:rPr>
      </w:pPr>
    </w:p>
    <w:p>
      <w:pPr>
        <w:sectPr>
          <w:pgSz w:w="11900" w:h="16838" w:orient="portrait"/>
          <w:cols w:equalWidth="0" w:num="2">
            <w:col w:w="2320" w:space="580"/>
            <w:col w:w="6979"/>
          </w:cols>
          <w:pgMar w:left="580" w:top="935" w:right="1440" w:bottom="1440" w:gutter="0" w:footer="0" w:header="0"/>
          <w:type w:val="continuous"/>
        </w:sectPr>
      </w:pPr>
    </w:p>
    <w:p>
      <w:pPr>
        <w:ind w:right="179"/>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30" w:lineRule="exact"/>
        <w:rPr>
          <w:sz w:val="20"/>
          <w:szCs w:val="20"/>
          <w:color w:val="auto"/>
        </w:rPr>
      </w:pPr>
    </w:p>
    <w:p>
      <w:pPr>
        <w:jc w:val="both"/>
        <w:ind w:right="179" w:firstLine="770"/>
        <w:spacing w:after="0" w:line="259" w:lineRule="auto"/>
        <w:tabs>
          <w:tab w:leader="none" w:pos="10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type w:val="continuous"/>
        </w:sectPr>
      </w:pPr>
    </w:p>
    <w:bookmarkStart w:id="28" w:name="page29"/>
    <w:bookmarkEnd w:id="28"/>
    <w:p>
      <w:pPr>
        <w:ind w:right="179" w:firstLine="770"/>
        <w:spacing w:after="0" w:line="277" w:lineRule="auto"/>
        <w:tabs>
          <w:tab w:leader="none" w:pos="10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143" w:lineRule="exact"/>
        <w:rPr>
          <w:rFonts w:ascii="Arial" w:cs="Arial" w:eastAsia="Arial" w:hAnsi="Arial"/>
          <w:sz w:val="18"/>
          <w:szCs w:val="18"/>
          <w:color w:val="auto"/>
        </w:rPr>
      </w:pPr>
    </w:p>
    <w:p>
      <w:pPr>
        <w:jc w:val="both"/>
        <w:ind w:right="159" w:firstLine="770"/>
        <w:spacing w:after="0" w:line="259" w:lineRule="auto"/>
        <w:tabs>
          <w:tab w:leader="none" w:pos="10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46" w:lineRule="exact"/>
        <w:rPr>
          <w:rFonts w:ascii="Arial" w:cs="Arial" w:eastAsia="Arial" w:hAnsi="Arial"/>
          <w:sz w:val="18"/>
          <w:szCs w:val="18"/>
          <w:color w:val="auto"/>
        </w:rPr>
      </w:pPr>
    </w:p>
    <w:p>
      <w:pPr>
        <w:jc w:val="both"/>
        <w:ind w:right="159" w:firstLine="770"/>
        <w:spacing w:after="0" w:line="259" w:lineRule="auto"/>
        <w:tabs>
          <w:tab w:leader="none" w:pos="10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46" w:lineRule="exact"/>
        <w:rPr>
          <w:rFonts w:ascii="Arial" w:cs="Arial" w:eastAsia="Arial" w:hAnsi="Arial"/>
          <w:sz w:val="18"/>
          <w:szCs w:val="18"/>
          <w:color w:val="auto"/>
        </w:rPr>
      </w:pPr>
    </w:p>
    <w:p>
      <w:pPr>
        <w:jc w:val="both"/>
        <w:ind w:right="159" w:firstLine="770"/>
        <w:spacing w:after="0" w:line="264" w:lineRule="auto"/>
        <w:tabs>
          <w:tab w:leader="none" w:pos="10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54" w:lineRule="exact"/>
        <w:rPr>
          <w:rFonts w:ascii="Arial" w:cs="Arial" w:eastAsia="Arial" w:hAnsi="Arial"/>
          <w:sz w:val="18"/>
          <w:szCs w:val="18"/>
          <w:color w:val="auto"/>
        </w:rPr>
      </w:pPr>
    </w:p>
    <w:p>
      <w:pPr>
        <w:jc w:val="both"/>
        <w:ind w:right="159" w:firstLine="770"/>
        <w:spacing w:after="0" w:line="264" w:lineRule="auto"/>
        <w:tabs>
          <w:tab w:leader="none" w:pos="10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40" w:lineRule="exact"/>
        <w:rPr>
          <w:rFonts w:ascii="Arial" w:cs="Arial" w:eastAsia="Arial" w:hAnsi="Arial"/>
          <w:sz w:val="18"/>
          <w:szCs w:val="18"/>
          <w:color w:val="auto"/>
        </w:rPr>
      </w:pPr>
    </w:p>
    <w:p>
      <w:pPr>
        <w:jc w:val="both"/>
        <w:ind w:right="159" w:firstLine="770"/>
        <w:spacing w:after="0" w:line="257" w:lineRule="auto"/>
        <w:tabs>
          <w:tab w:leader="none" w:pos="10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SECTION 7. CLAIMS PROCEDURE.</w:t>
      </w:r>
    </w:p>
    <w:p>
      <w:pPr>
        <w:spacing w:after="0" w:line="198" w:lineRule="exact"/>
        <w:rPr>
          <w:sz w:val="20"/>
          <w:szCs w:val="20"/>
          <w:color w:val="auto"/>
        </w:rPr>
      </w:pPr>
    </w:p>
    <w:p>
      <w:pPr>
        <w:jc w:val="both"/>
        <w:ind w:right="159" w:firstLine="770"/>
        <w:spacing w:after="0" w:line="291" w:lineRule="auto"/>
        <w:tabs>
          <w:tab w:leader="none" w:pos="10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9" w:name="page30"/>
    <w:bookmarkEnd w:id="29"/>
    <w:p>
      <w:pPr>
        <w:jc w:val="both"/>
        <w:ind w:right="159" w:firstLine="770"/>
        <w:spacing w:after="0" w:line="255" w:lineRule="auto"/>
        <w:tabs>
          <w:tab w:leader="none" w:pos="10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62"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STEPHEN MILLAR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Stephen Millar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President Asia-Pacific &amp; VP Brady Corporation</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KRISTA J. EBBENS</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Krista J. Ebbens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879"/>
          </w:cols>
          <w:pgMar w:left="580" w:top="935" w:right="1440" w:bottom="1440" w:gutter="0" w:footer="0" w:header="0"/>
        </w:sectPr>
      </w:pPr>
    </w:p>
    <w:bookmarkStart w:id="30" w:name="page31"/>
    <w:bookmarkEnd w:id="30"/>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85" w:lineRule="exact"/>
        <w:rPr>
          <w:sz w:val="20"/>
          <w:szCs w:val="20"/>
          <w:color w:val="auto"/>
        </w:rPr>
      </w:pPr>
    </w:p>
    <w:p>
      <w:pPr>
        <w:ind w:left="640" w:hanging="25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jc w:val="both"/>
        <w:ind w:right="159" w:firstLine="381"/>
        <w:spacing w:after="0" w:line="264"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159" w:firstLine="381"/>
        <w:spacing w:after="0" w:line="264"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6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right="159" w:firstLine="381"/>
        <w:spacing w:after="0" w:line="286" w:lineRule="auto"/>
        <w:tabs>
          <w:tab w:leader="none" w:pos="5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right="179" w:firstLine="381"/>
        <w:spacing w:after="0" w:line="264" w:lineRule="auto"/>
        <w:tabs>
          <w:tab w:leader="none" w:pos="5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5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6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54" w:lineRule="exact"/>
        <w:rPr>
          <w:sz w:val="20"/>
          <w:szCs w:val="20"/>
          <w:color w:val="auto"/>
        </w:rPr>
      </w:pPr>
    </w:p>
    <w:p>
      <w:pPr>
        <w:jc w:val="both"/>
        <w:ind w:right="179" w:firstLine="381"/>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jc w:val="both"/>
        <w:ind w:right="179" w:firstLine="381"/>
        <w:spacing w:after="0" w:line="264" w:lineRule="auto"/>
        <w:tabs>
          <w:tab w:leader="none" w:pos="5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179" w:firstLine="381"/>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1697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79"/>
          </w:cols>
          <w:pgMar w:left="580" w:top="121" w:right="1440" w:bottom="1440" w:gutter="0" w:footer="0" w:header="0"/>
        </w:sectPr>
      </w:pPr>
    </w:p>
    <w:bookmarkStart w:id="31" w:name="page32"/>
    <w:bookmarkEnd w:id="31"/>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85" w:lineRule="exact"/>
        <w:rPr>
          <w:sz w:val="20"/>
          <w:szCs w:val="20"/>
          <w:color w:val="auto"/>
        </w:rPr>
      </w:pPr>
    </w:p>
    <w:p>
      <w:pPr>
        <w:ind w:left="640" w:hanging="25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jc w:val="both"/>
        <w:ind w:right="159" w:firstLine="381"/>
        <w:spacing w:after="0" w:line="264" w:lineRule="auto"/>
        <w:tabs>
          <w:tab w:leader="none" w:pos="6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159" w:firstLine="381"/>
        <w:spacing w:after="0" w:line="264" w:lineRule="auto"/>
        <w:tabs>
          <w:tab w:leader="none" w:pos="6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resented in this report;</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6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right="159" w:firstLine="381"/>
        <w:spacing w:after="0" w:line="286" w:lineRule="auto"/>
        <w:tabs>
          <w:tab w:leader="none" w:pos="5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right="179" w:firstLine="381"/>
        <w:spacing w:after="0" w:line="264" w:lineRule="auto"/>
        <w:tabs>
          <w:tab w:leader="none" w:pos="5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5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6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54" w:lineRule="exact"/>
        <w:rPr>
          <w:sz w:val="20"/>
          <w:szCs w:val="20"/>
          <w:color w:val="auto"/>
        </w:rPr>
      </w:pPr>
    </w:p>
    <w:p>
      <w:pPr>
        <w:jc w:val="both"/>
        <w:ind w:right="179" w:firstLine="381"/>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jc w:val="both"/>
        <w:ind w:right="179" w:firstLine="381"/>
        <w:spacing w:after="0" w:line="264" w:lineRule="auto"/>
        <w:tabs>
          <w:tab w:leader="none" w:pos="5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179" w:firstLine="381"/>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2809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9879"/>
          </w:cols>
          <w:pgMar w:left="580" w:top="121" w:right="1440" w:bottom="1440" w:gutter="0" w:footer="0" w:header="0"/>
        </w:sectPr>
      </w:pPr>
    </w:p>
    <w:bookmarkStart w:id="32" w:name="page33"/>
    <w:bookmarkEnd w:id="32"/>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159" w:firstLine="381"/>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2011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179" w:firstLine="381"/>
        <w:spacing w:after="0" w:line="277" w:lineRule="auto"/>
        <w:tabs>
          <w:tab w:leader="none" w:pos="6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1697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jc w:val="both"/>
        <w:ind w:right="159" w:firstLine="389"/>
        <w:spacing w:after="0" w:line="29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9879"/>
          </w:cols>
          <w:pgMar w:left="580" w:top="121" w:right="1440" w:bottom="1440" w:gutter="0" w:footer="0" w:header="0"/>
        </w:sectPr>
      </w:pPr>
    </w:p>
    <w:bookmarkStart w:id="33" w:name="page34"/>
    <w:bookmarkEnd w:id="33"/>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159" w:firstLine="381"/>
        <w:spacing w:after="0" w:line="277" w:lineRule="auto"/>
        <w:tabs>
          <w:tab w:leader="none" w:pos="6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2011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179" w:firstLine="381"/>
        <w:spacing w:after="0" w:line="277" w:lineRule="auto"/>
        <w:tabs>
          <w:tab w:leader="none" w:pos="6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2809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70" w:lineRule="exact"/>
        <w:rPr>
          <w:sz w:val="20"/>
          <w:szCs w:val="20"/>
          <w:color w:val="auto"/>
        </w:rPr>
      </w:pPr>
    </w:p>
    <w:p>
      <w:pPr>
        <w:jc w:val="both"/>
        <w:ind w:right="159" w:firstLine="389"/>
        <w:spacing w:after="0" w:line="29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3"/>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3"/>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5"/>
    </w:lvl>
  </w:abstractNum>
  <w:abstractNum w:abstractNumId="10">
    <w:nsid w:val="25E45D32"/>
    <w:multiLevelType w:val="hybridMultilevel"/>
    <w:lvl w:ilvl="0">
      <w:lvlJc w:val="left"/>
      <w:lvlText w:val="(%1)"/>
      <w:numFmt w:val="lowerLetter"/>
      <w:start w:val="6"/>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2019-12-10T06:40:36Z</dcterms:created>
  <dcterms:modified xsi:type="dcterms:W3CDTF">2019-12-10T06:40:36Z</dcterms:modified>
</cp:coreProperties>
</file>