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30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2645410</wp:posOffset>
            </wp:positionH>
            <wp:positionV relativeFrom="paragraph">
              <wp:posOffset>57150</wp:posOffset>
            </wp:positionV>
            <wp:extent cx="18427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42770" cy="8255"/>
                    </a:xfrm>
                    <a:prstGeom prst="rect">
                      <a:avLst/>
                    </a:prstGeom>
                    <a:noFill/>
                  </pic:spPr>
                </pic:pic>
              </a:graphicData>
            </a:graphic>
          </wp:anchor>
        </w:drawing>
      </w:r>
    </w:p>
    <w:p>
      <w:pPr>
        <w:spacing w:after="0" w:line="14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2645410</wp:posOffset>
            </wp:positionH>
            <wp:positionV relativeFrom="paragraph">
              <wp:posOffset>41275</wp:posOffset>
            </wp:positionV>
            <wp:extent cx="18516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51660" cy="8890"/>
                    </a:xfrm>
                    <a:prstGeom prst="rect">
                      <a:avLst/>
                    </a:prstGeom>
                    <a:noFill/>
                  </pic:spPr>
                </pic:pic>
              </a:graphicData>
            </a:graphic>
          </wp:anchor>
        </w:drawing>
      </w:r>
    </w:p>
    <w:p>
      <w:pPr>
        <w:spacing w:after="0" w:line="212" w:lineRule="exact"/>
        <w:rPr>
          <w:sz w:val="24"/>
          <w:szCs w:val="24"/>
          <w:color w:val="auto"/>
        </w:rPr>
      </w:pPr>
    </w:p>
    <w:p>
      <w:pPr>
        <w:ind w:left="4380" w:right="2100" w:hanging="4354"/>
        <w:spacing w:after="0" w:line="360" w:lineRule="auto"/>
        <w:tabs>
          <w:tab w:leader="none" w:pos="371"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July 31, 2025</w:t>
      </w:r>
    </w:p>
    <w:p>
      <w:pPr>
        <w:ind w:left="554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or</w:t>
      </w:r>
    </w:p>
    <w:p>
      <w:pPr>
        <w:spacing w:after="0" w:line="157" w:lineRule="exact"/>
        <w:rPr>
          <w:rFonts w:ascii="MS PGothic" w:cs="MS PGothic" w:eastAsia="MS PGothic" w:hAnsi="MS PGothic"/>
          <w:sz w:val="18"/>
          <w:szCs w:val="18"/>
          <w:color w:val="auto"/>
        </w:rPr>
      </w:pPr>
    </w:p>
    <w:p>
      <w:pPr>
        <w:ind w:left="380" w:hanging="341"/>
        <w:spacing w:after="0"/>
        <w:tabs>
          <w:tab w:leader="none" w:pos="38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04" w:lineRule="exact"/>
        <w:rPr>
          <w:sz w:val="24"/>
          <w:szCs w:val="24"/>
          <w:color w:val="auto"/>
        </w:rPr>
      </w:pPr>
    </w:p>
    <w:p>
      <w:pPr>
        <w:ind w:left="3700"/>
        <w:spacing w:after="0"/>
        <w:tabs>
          <w:tab w:leader="none" w:pos="69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117" w:lineRule="exact"/>
        <w:rPr>
          <w:sz w:val="24"/>
          <w:szCs w:val="24"/>
          <w:color w:val="auto"/>
        </w:rPr>
      </w:pPr>
    </w:p>
    <w:p>
      <w:pPr>
        <w:jc w:val="center"/>
        <w:ind w:left="440"/>
        <w:spacing w:after="0"/>
        <w:rPr>
          <w:sz w:val="20"/>
          <w:szCs w:val="20"/>
          <w:color w:val="auto"/>
        </w:rPr>
      </w:pPr>
      <w:r>
        <w:rPr>
          <w:rFonts w:ascii="Times New Roman" w:cs="Times New Roman" w:eastAsia="Times New Roman" w:hAnsi="Times New Roman"/>
          <w:sz w:val="18"/>
          <w:szCs w:val="18"/>
          <w:b w:val="1"/>
          <w:bCs w:val="1"/>
          <w:color w:val="auto"/>
        </w:rPr>
        <w:t>Commission file number 1-14959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2645410</wp:posOffset>
            </wp:positionH>
            <wp:positionV relativeFrom="paragraph">
              <wp:posOffset>71120</wp:posOffset>
            </wp:positionV>
            <wp:extent cx="18427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42770" cy="8890"/>
                    </a:xfrm>
                    <a:prstGeom prst="rect">
                      <a:avLst/>
                    </a:prstGeom>
                    <a:noFill/>
                  </pic:spPr>
                </pic:pic>
              </a:graphicData>
            </a:graphic>
          </wp:anchor>
        </w:drawing>
      </w:r>
    </w:p>
    <w:p>
      <w:pPr>
        <w:spacing w:after="0" w:line="16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BRADY CORPORATION</w:t>
      </w:r>
    </w:p>
    <w:p>
      <w:pPr>
        <w:spacing w:after="0" w:line="3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2645410</wp:posOffset>
            </wp:positionH>
            <wp:positionV relativeFrom="paragraph">
              <wp:posOffset>64770</wp:posOffset>
            </wp:positionV>
            <wp:extent cx="18427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42770" cy="8255"/>
                    </a:xfrm>
                    <a:prstGeom prst="rect">
                      <a:avLst/>
                    </a:prstGeom>
                    <a:noFill/>
                  </pic:spPr>
                </pic:pic>
              </a:graphicData>
            </a:graphic>
          </wp:anchor>
        </w:drawing>
      </w:r>
    </w:p>
    <w:p>
      <w:pPr>
        <w:spacing w:after="0" w:line="206" w:lineRule="exact"/>
        <w:rPr>
          <w:sz w:val="24"/>
          <w:szCs w:val="24"/>
          <w:color w:val="auto"/>
        </w:rPr>
      </w:pPr>
    </w:p>
    <w:tbl>
      <w:tblPr>
        <w:tblLayout w:type="fixed"/>
        <w:tblInd w:w="10" w:type="dxa"/>
        <w:tblCellMar>
          <w:top w:w="0" w:type="dxa"/>
          <w:left w:w="0" w:type="dxa"/>
          <w:bottom w:w="0" w:type="dxa"/>
          <w:right w:w="0" w:type="dxa"/>
        </w:tblCellMar>
      </w:tblPr>
      <w:tr>
        <w:trPr>
          <w:trHeight w:val="190"/>
        </w:trPr>
        <w:tc>
          <w:tcPr>
            <w:tcW w:w="3980" w:type="dxa"/>
            <w:vAlign w:val="bottom"/>
          </w:tcPr>
          <w:p>
            <w:pPr>
              <w:ind w:left="3280"/>
              <w:spacing w:after="0"/>
              <w:rPr>
                <w:sz w:val="20"/>
                <w:szCs w:val="20"/>
                <w:color w:val="auto"/>
              </w:rPr>
            </w:pPr>
            <w:r>
              <w:rPr>
                <w:rFonts w:ascii="Times New Roman" w:cs="Times New Roman" w:eastAsia="Times New Roman" w:hAnsi="Times New Roman"/>
                <w:sz w:val="14"/>
                <w:szCs w:val="14"/>
                <w:b w:val="1"/>
                <w:bCs w:val="1"/>
                <w:color w:val="auto"/>
              </w:rPr>
              <w:t>Wisconsin</w:t>
            </w: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4500" w:type="dxa"/>
            <w:vAlign w:val="bottom"/>
            <w:gridSpan w:val="2"/>
          </w:tcPr>
          <w:p>
            <w:pPr>
              <w:jc w:val="right"/>
              <w:ind w:right="2108"/>
              <w:spacing w:after="0"/>
              <w:rPr>
                <w:sz w:val="20"/>
                <w:szCs w:val="20"/>
                <w:color w:val="auto"/>
              </w:rPr>
            </w:pPr>
            <w:r>
              <w:rPr>
                <w:rFonts w:ascii="Times New Roman" w:cs="Times New Roman" w:eastAsia="Times New Roman" w:hAnsi="Times New Roman"/>
                <w:sz w:val="14"/>
                <w:szCs w:val="14"/>
                <w:b w:val="1"/>
                <w:bCs w:val="1"/>
                <w:color w:val="auto"/>
              </w:rPr>
              <w:t>39-0178960</w:t>
            </w:r>
          </w:p>
        </w:tc>
        <w:tc>
          <w:tcPr>
            <w:tcW w:w="0" w:type="dxa"/>
            <w:vAlign w:val="bottom"/>
          </w:tcPr>
          <w:p>
            <w:pPr>
              <w:spacing w:after="0"/>
              <w:rPr>
                <w:sz w:val="1"/>
                <w:szCs w:val="1"/>
                <w:color w:val="auto"/>
              </w:rPr>
            </w:pPr>
          </w:p>
        </w:tc>
      </w:tr>
      <w:tr>
        <w:trPr>
          <w:trHeight w:val="203"/>
        </w:trPr>
        <w:tc>
          <w:tcPr>
            <w:tcW w:w="6760" w:type="dxa"/>
            <w:vAlign w:val="bottom"/>
            <w:gridSpan w:val="4"/>
          </w:tcPr>
          <w:p>
            <w:pPr>
              <w:ind w:left="1860"/>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300" w:type="dxa"/>
            <w:vAlign w:val="bottom"/>
          </w:tcPr>
          <w:p>
            <w:pPr>
              <w:spacing w:after="0"/>
              <w:rPr>
                <w:sz w:val="17"/>
                <w:szCs w:val="17"/>
                <w:color w:val="auto"/>
              </w:rPr>
            </w:pPr>
          </w:p>
        </w:tc>
        <w:tc>
          <w:tcPr>
            <w:tcW w:w="4200" w:type="dxa"/>
            <w:vAlign w:val="bottom"/>
          </w:tcPr>
          <w:p>
            <w:pPr>
              <w:jc w:val="center"/>
              <w:ind w:right="788"/>
              <w:spacing w:after="0"/>
              <w:rPr>
                <w:sz w:val="20"/>
                <w:szCs w:val="20"/>
                <w:color w:val="auto"/>
              </w:rPr>
            </w:pPr>
            <w:r>
              <w:rPr>
                <w:rFonts w:ascii="Times New Roman" w:cs="Times New Roman" w:eastAsia="Times New Roman" w:hAnsi="Times New Roman"/>
                <w:sz w:val="14"/>
                <w:szCs w:val="14"/>
                <w:color w:val="auto"/>
              </w:rPr>
              <w:t>(IRS Employer Identification No.)</w:t>
            </w:r>
          </w:p>
        </w:tc>
        <w:tc>
          <w:tcPr>
            <w:tcW w:w="0" w:type="dxa"/>
            <w:vAlign w:val="bottom"/>
          </w:tcPr>
          <w:p>
            <w:pPr>
              <w:spacing w:after="0"/>
              <w:rPr>
                <w:sz w:val="1"/>
                <w:szCs w:val="1"/>
                <w:color w:val="auto"/>
              </w:rPr>
            </w:pPr>
          </w:p>
        </w:tc>
      </w:tr>
      <w:tr>
        <w:trPr>
          <w:trHeight w:val="309"/>
        </w:trPr>
        <w:tc>
          <w:tcPr>
            <w:tcW w:w="3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6555 West Good Hope Road</w:t>
            </w:r>
          </w:p>
        </w:tc>
        <w:tc>
          <w:tcPr>
            <w:tcW w:w="30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3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Milwaukee, Wisconsin 53223</w:t>
            </w:r>
          </w:p>
        </w:tc>
        <w:tc>
          <w:tcPr>
            <w:tcW w:w="30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980" w:type="dxa"/>
            <w:vAlign w:val="bottom"/>
          </w:tcPr>
          <w:p>
            <w:pPr>
              <w:spacing w:after="0"/>
              <w:rPr>
                <w:sz w:val="16"/>
                <w:szCs w:val="16"/>
                <w:color w:val="auto"/>
              </w:rPr>
            </w:pPr>
          </w:p>
        </w:tc>
        <w:tc>
          <w:tcPr>
            <w:tcW w:w="7280" w:type="dxa"/>
            <w:vAlign w:val="bottom"/>
            <w:gridSpan w:val="5"/>
          </w:tcPr>
          <w:p>
            <w:pPr>
              <w:jc w:val="center"/>
              <w:ind w:right="3908"/>
              <w:spacing w:after="0"/>
              <w:rPr>
                <w:sz w:val="20"/>
                <w:szCs w:val="20"/>
                <w:color w:val="auto"/>
              </w:rPr>
            </w:pPr>
            <w:r>
              <w:rPr>
                <w:rFonts w:ascii="Times New Roman" w:cs="Times New Roman" w:eastAsia="Times New Roman" w:hAnsi="Times New Roman"/>
                <w:sz w:val="14"/>
                <w:szCs w:val="14"/>
                <w:color w:val="auto"/>
              </w:rPr>
              <w:t>(Address of principal executive offices and Zip Code)</w:t>
            </w:r>
          </w:p>
        </w:tc>
        <w:tc>
          <w:tcPr>
            <w:tcW w:w="0" w:type="dxa"/>
            <w:vAlign w:val="bottom"/>
          </w:tcPr>
          <w:p>
            <w:pPr>
              <w:spacing w:after="0"/>
              <w:rPr>
                <w:sz w:val="1"/>
                <w:szCs w:val="1"/>
                <w:color w:val="auto"/>
              </w:rPr>
            </w:pPr>
          </w:p>
        </w:tc>
      </w:tr>
      <w:tr>
        <w:trPr>
          <w:trHeight w:val="271"/>
        </w:trPr>
        <w:tc>
          <w:tcPr>
            <w:tcW w:w="3980" w:type="dxa"/>
            <w:vAlign w:val="bottom"/>
          </w:tcPr>
          <w:p>
            <w:pPr>
              <w:spacing w:after="0"/>
              <w:rPr>
                <w:sz w:val="23"/>
                <w:szCs w:val="23"/>
                <w:color w:val="auto"/>
              </w:rPr>
            </w:pPr>
          </w:p>
        </w:tc>
        <w:tc>
          <w:tcPr>
            <w:tcW w:w="2780" w:type="dxa"/>
            <w:vAlign w:val="bottom"/>
            <w:gridSpan w:val="3"/>
          </w:tcPr>
          <w:p>
            <w:pPr>
              <w:jc w:val="center"/>
              <w:ind w:left="448"/>
              <w:spacing w:after="0"/>
              <w:rPr>
                <w:sz w:val="20"/>
                <w:szCs w:val="20"/>
                <w:color w:val="auto"/>
              </w:rPr>
            </w:pPr>
            <w:r>
              <w:rPr>
                <w:rFonts w:ascii="Times New Roman" w:cs="Times New Roman" w:eastAsia="Times New Roman" w:hAnsi="Times New Roman"/>
                <w:sz w:val="14"/>
                <w:szCs w:val="14"/>
                <w:b w:val="1"/>
                <w:bCs w:val="1"/>
                <w:color w:val="auto"/>
              </w:rPr>
              <w:t>(414) 358-6600</w:t>
            </w:r>
          </w:p>
        </w:tc>
        <w:tc>
          <w:tcPr>
            <w:tcW w:w="300" w:type="dxa"/>
            <w:vAlign w:val="bottom"/>
          </w:tcPr>
          <w:p>
            <w:pPr>
              <w:spacing w:after="0"/>
              <w:rPr>
                <w:sz w:val="23"/>
                <w:szCs w:val="23"/>
                <w:color w:val="auto"/>
              </w:rPr>
            </w:pPr>
          </w:p>
        </w:tc>
        <w:tc>
          <w:tcPr>
            <w:tcW w:w="4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8"/>
        </w:trPr>
        <w:tc>
          <w:tcPr>
            <w:tcW w:w="3980" w:type="dxa"/>
            <w:vAlign w:val="bottom"/>
          </w:tcPr>
          <w:p>
            <w:pPr>
              <w:spacing w:after="0"/>
              <w:rPr>
                <w:sz w:val="16"/>
                <w:szCs w:val="16"/>
                <w:color w:val="auto"/>
              </w:rPr>
            </w:pPr>
          </w:p>
        </w:tc>
        <w:tc>
          <w:tcPr>
            <w:tcW w:w="7280" w:type="dxa"/>
            <w:vAlign w:val="bottom"/>
            <w:gridSpan w:val="5"/>
          </w:tcPr>
          <w:p>
            <w:pPr>
              <w:jc w:val="center"/>
              <w:ind w:right="3928"/>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0" w:type="dxa"/>
            <w:vAlign w:val="bottom"/>
          </w:tcPr>
          <w:p>
            <w:pPr>
              <w:spacing w:after="0"/>
              <w:rPr>
                <w:sz w:val="1"/>
                <w:szCs w:val="1"/>
                <w:color w:val="auto"/>
              </w:rPr>
            </w:pPr>
          </w:p>
        </w:tc>
      </w:tr>
      <w:tr>
        <w:trPr>
          <w:trHeight w:val="77"/>
        </w:trPr>
        <w:tc>
          <w:tcPr>
            <w:tcW w:w="39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180" w:type="dxa"/>
            <w:vAlign w:val="bottom"/>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220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4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4"/>
        </w:trPr>
        <w:tc>
          <w:tcPr>
            <w:tcW w:w="3980" w:type="dxa"/>
            <w:vAlign w:val="bottom"/>
            <w:vMerge w:val="continue"/>
          </w:tcPr>
          <w:p>
            <w:pPr>
              <w:spacing w:after="0"/>
              <w:rPr>
                <w:sz w:val="22"/>
                <w:szCs w:val="22"/>
                <w:color w:val="auto"/>
              </w:rPr>
            </w:pPr>
          </w:p>
        </w:tc>
        <w:tc>
          <w:tcPr>
            <w:tcW w:w="1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7"/>
        </w:trPr>
        <w:tc>
          <w:tcPr>
            <w:tcW w:w="39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200" w:type="dxa"/>
            <w:vAlign w:val="bottom"/>
            <w:tcBorders>
              <w:bottom w:val="single" w:sz="8" w:color="auto"/>
            </w:tcBorders>
          </w:tcPr>
          <w:p>
            <w:pPr>
              <w:spacing w:after="0"/>
              <w:rPr>
                <w:sz w:val="3"/>
                <w:szCs w:val="3"/>
                <w:color w:val="auto"/>
              </w:rPr>
            </w:pPr>
          </w:p>
        </w:tc>
        <w:tc>
          <w:tcPr>
            <w:tcW w:w="450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39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80" w:type="dxa"/>
            <w:vAlign w:val="bottom"/>
            <w:tcBorders>
              <w:bottom w:val="single" w:sz="8" w:color="auto"/>
            </w:tcBorders>
          </w:tcPr>
          <w:p>
            <w:pPr>
              <w:spacing w:after="0"/>
              <w:rPr>
                <w:sz w:val="16"/>
                <w:szCs w:val="16"/>
                <w:color w:val="auto"/>
              </w:rPr>
            </w:pPr>
          </w:p>
        </w:tc>
        <w:tc>
          <w:tcPr>
            <w:tcW w:w="400" w:type="dxa"/>
            <w:vAlign w:val="bottom"/>
            <w:tcBorders>
              <w:bottom w:val="single" w:sz="8" w:color="auto"/>
              <w:right w:val="single" w:sz="8" w:color="auto"/>
            </w:tcBorders>
          </w:tcPr>
          <w:p>
            <w:pPr>
              <w:spacing w:after="0"/>
              <w:rPr>
                <w:sz w:val="16"/>
                <w:szCs w:val="16"/>
                <w:color w:val="auto"/>
              </w:rPr>
            </w:pP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450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96"/>
        </w:trPr>
        <w:tc>
          <w:tcPr>
            <w:tcW w:w="39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Class A Nonvoting Common Stock, par value $0.01 per share</w:t>
            </w:r>
          </w:p>
        </w:tc>
        <w:tc>
          <w:tcPr>
            <w:tcW w:w="180" w:type="dxa"/>
            <w:vAlign w:val="bottom"/>
            <w:tcBorders>
              <w:bottom w:val="single" w:sz="8" w:color="auto"/>
            </w:tcBorders>
          </w:tcPr>
          <w:p>
            <w:pPr>
              <w:spacing w:after="0"/>
              <w:rPr>
                <w:sz w:val="17"/>
                <w:szCs w:val="17"/>
                <w:color w:val="auto"/>
              </w:rPr>
            </w:pPr>
          </w:p>
        </w:tc>
        <w:tc>
          <w:tcPr>
            <w:tcW w:w="400" w:type="dxa"/>
            <w:vAlign w:val="bottom"/>
            <w:tcBorders>
              <w:bottom w:val="single" w:sz="8" w:color="auto"/>
              <w:right w:val="single" w:sz="8" w:color="auto"/>
            </w:tcBorders>
          </w:tcPr>
          <w:p>
            <w:pPr>
              <w:spacing w:after="0"/>
              <w:rPr>
                <w:sz w:val="17"/>
                <w:szCs w:val="17"/>
                <w:color w:val="auto"/>
              </w:rPr>
            </w:pP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BRC</w:t>
            </w:r>
          </w:p>
        </w:tc>
        <w:tc>
          <w:tcPr>
            <w:tcW w:w="450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New York Stock Exchange</w:t>
            </w:r>
          </w:p>
        </w:tc>
        <w:tc>
          <w:tcPr>
            <w:tcW w:w="0" w:type="dxa"/>
            <w:vAlign w:val="bottom"/>
          </w:tcPr>
          <w:p>
            <w:pPr>
              <w:spacing w:after="0"/>
              <w:rPr>
                <w:sz w:val="1"/>
                <w:szCs w:val="1"/>
                <w:color w:val="auto"/>
              </w:rPr>
            </w:pPr>
          </w:p>
        </w:tc>
      </w:tr>
      <w:tr>
        <w:trPr>
          <w:trHeight w:val="287"/>
        </w:trPr>
        <w:tc>
          <w:tcPr>
            <w:tcW w:w="3980" w:type="dxa"/>
            <w:vAlign w:val="bottom"/>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12(g) of the Act: None</w:t>
            </w: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67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r>
          </w:p>
        </w:tc>
        <w:tc>
          <w:tcPr>
            <w:tcW w:w="4500" w:type="dxa"/>
            <w:vAlign w:val="bottom"/>
            <w:gridSpan w:val="2"/>
          </w:tcPr>
          <w:p>
            <w:pPr>
              <w:ind w:left="140"/>
              <w:spacing w:after="0" w:line="184"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310"/>
        </w:trPr>
        <w:tc>
          <w:tcPr>
            <w:tcW w:w="11260" w:type="dxa"/>
            <w:vAlign w:val="bottom"/>
            <w:gridSpan w:val="6"/>
          </w:tcPr>
          <w:p>
            <w:pPr>
              <w:spacing w:after="0" w:line="184"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bl>
    <w:p>
      <w:pPr>
        <w:spacing w:after="0" w:line="65" w:lineRule="exact"/>
        <w:rPr>
          <w:sz w:val="24"/>
          <w:szCs w:val="24"/>
          <w:color w:val="auto"/>
        </w:rPr>
      </w:pPr>
    </w:p>
    <w:p>
      <w:pPr>
        <w:jc w:val="both"/>
        <w:ind w:right="40"/>
        <w:spacing w:after="0" w:line="204"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6"/>
          <w:szCs w:val="16"/>
          <w:color w:val="auto"/>
        </w:rPr>
        <w:t>☐</w:t>
      </w:r>
    </w:p>
    <w:p>
      <w:pPr>
        <w:spacing w:after="0" w:line="66" w:lineRule="exact"/>
        <w:rPr>
          <w:sz w:val="24"/>
          <w:szCs w:val="24"/>
          <w:color w:val="auto"/>
        </w:rPr>
      </w:pPr>
    </w:p>
    <w:p>
      <w:pPr>
        <w:jc w:val="both"/>
        <w:ind w:right="20"/>
        <w:spacing w:after="0" w:line="21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6"/>
          <w:szCs w:val="16"/>
          <w:color w:val="auto"/>
        </w:rPr>
        <w:t>☐</w:t>
      </w:r>
    </w:p>
    <w:p>
      <w:pPr>
        <w:spacing w:after="0" w:line="66" w:lineRule="exact"/>
        <w:rPr>
          <w:sz w:val="24"/>
          <w:szCs w:val="24"/>
          <w:color w:val="auto"/>
        </w:rPr>
      </w:pPr>
    </w:p>
    <w:p>
      <w:pPr>
        <w:jc w:val="both"/>
        <w:ind w:right="40"/>
        <w:spacing w:after="0" w:line="294"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60"/>
          </w:cols>
          <w:pgMar w:left="320" w:top="225" w:right="319" w:bottom="1440" w:gutter="0" w:footer="0" w:header="0"/>
        </w:sectPr>
      </w:pPr>
    </w:p>
    <w:p>
      <w:pPr>
        <w:spacing w:after="0" w:line="38" w:lineRule="exact"/>
        <w:rPr>
          <w:sz w:val="24"/>
          <w:szCs w:val="24"/>
          <w:color w:val="auto"/>
        </w:rPr>
      </w:pPr>
    </w:p>
    <w:p>
      <w:pPr>
        <w:ind w:left="20" w:right="420"/>
        <w:spacing w:after="0" w:line="382" w:lineRule="auto"/>
        <w:rPr>
          <w:sz w:val="20"/>
          <w:szCs w:val="20"/>
          <w:color w:val="auto"/>
        </w:rPr>
      </w:pPr>
      <w:r>
        <w:rPr>
          <w:rFonts w:ascii="Times New Roman" w:cs="Times New Roman" w:eastAsia="Times New Roman" w:hAnsi="Times New Roman"/>
          <w:sz w:val="14"/>
          <w:szCs w:val="14"/>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12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Accelerated filer</w:t>
      </w:r>
    </w:p>
    <w:p>
      <w:pPr>
        <w:spacing w:after="0" w:line="6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31" w:lineRule="exact"/>
        <w:rPr>
          <w:sz w:val="20"/>
          <w:szCs w:val="20"/>
          <w:color w:val="auto"/>
        </w:rPr>
      </w:pPr>
      <w:r>
        <w:rPr>
          <w:rFonts w:ascii="MS PGothic" w:cs="MS PGothic" w:eastAsia="MS PGothic" w:hAnsi="MS PGothic"/>
          <w:sz w:val="14"/>
          <w:szCs w:val="14"/>
          <w:color w:val="auto"/>
        </w:rPr>
        <w:t>☐</w:t>
      </w:r>
    </w:p>
    <w:p>
      <w:pPr>
        <w:spacing w:after="0" w:line="13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8"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131" w:lineRule="exact"/>
        <w:rPr>
          <w:sz w:val="20"/>
          <w:szCs w:val="20"/>
          <w:color w:val="auto"/>
        </w:rPr>
      </w:pPr>
      <w:r>
        <w:rPr>
          <w:rFonts w:ascii="MS PGothic" w:cs="MS PGothic" w:eastAsia="MS PGothic" w:hAnsi="MS PGothic"/>
          <w:sz w:val="14"/>
          <w:szCs w:val="14"/>
          <w:color w:val="auto"/>
        </w:rPr>
        <w:t>☐</w:t>
      </w:r>
    </w:p>
    <w:p>
      <w:pPr>
        <w:spacing w:after="0" w:line="413" w:lineRule="exact"/>
        <w:rPr>
          <w:sz w:val="24"/>
          <w:szCs w:val="24"/>
          <w:color w:val="auto"/>
        </w:rPr>
      </w:pPr>
    </w:p>
    <w:p>
      <w:pPr>
        <w:sectPr>
          <w:pgSz w:w="11900" w:h="16838" w:orient="portrait"/>
          <w:cols w:equalWidth="0" w:num="6">
            <w:col w:w="1740" w:space="720"/>
            <w:col w:w="320" w:space="720"/>
            <w:col w:w="1780" w:space="720"/>
            <w:col w:w="320" w:space="720"/>
            <w:col w:w="1760" w:space="720"/>
            <w:col w:w="1740"/>
          </w:cols>
          <w:pgMar w:left="320" w:top="225" w:right="319" w:bottom="1440" w:gutter="0" w:footer="0" w:header="0"/>
          <w:type w:val="continuous"/>
        </w:sectPr>
      </w:pPr>
    </w:p>
    <w:p>
      <w:pPr>
        <w:jc w:val="both"/>
        <w:ind w:right="20"/>
        <w:spacing w:after="0" w:line="193"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74" w:lineRule="exact"/>
        <w:rPr>
          <w:sz w:val="24"/>
          <w:szCs w:val="24"/>
          <w:color w:val="auto"/>
        </w:rPr>
      </w:pPr>
    </w:p>
    <w:p>
      <w:pPr>
        <w:jc w:val="both"/>
        <w:ind w:right="20"/>
        <w:spacing w:after="0" w:line="204"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66" w:lineRule="exact"/>
        <w:rPr>
          <w:sz w:val="24"/>
          <w:szCs w:val="24"/>
          <w:color w:val="auto"/>
        </w:rPr>
      </w:pPr>
    </w:p>
    <w:p>
      <w:pPr>
        <w:jc w:val="both"/>
        <w:ind w:right="20"/>
        <w:spacing w:after="0" w:line="210"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66" w:lineRule="exact"/>
        <w:rPr>
          <w:sz w:val="24"/>
          <w:szCs w:val="24"/>
          <w:color w:val="auto"/>
        </w:rPr>
      </w:pPr>
    </w:p>
    <w:p>
      <w:pPr>
        <w:jc w:val="both"/>
        <w:ind w:right="20"/>
        <w:spacing w:after="0" w:line="210"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26" w:lineRule="exact"/>
        <w:rPr>
          <w:sz w:val="24"/>
          <w:szCs w:val="24"/>
          <w:color w:val="auto"/>
        </w:rPr>
      </w:pPr>
    </w:p>
    <w:p>
      <w:pPr>
        <w:spacing w:after="0" w:line="184" w:lineRule="exact"/>
        <w:tabs>
          <w:tab w:leader="none" w:pos="6060" w:val="left"/>
          <w:tab w:leader="none" w:pos="664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6"/>
          <w:szCs w:val="16"/>
          <w:color w:val="auto"/>
        </w:rPr>
        <w:t>☑</w:t>
      </w:r>
    </w:p>
    <w:p>
      <w:pPr>
        <w:spacing w:after="0" w:line="154" w:lineRule="exact"/>
        <w:rPr>
          <w:sz w:val="24"/>
          <w:szCs w:val="24"/>
          <w:color w:val="auto"/>
        </w:rPr>
      </w:pPr>
    </w:p>
    <w:p>
      <w:pPr>
        <w:jc w:val="both"/>
        <w:ind w:right="20"/>
        <w:spacing w:after="0" w:line="281" w:lineRule="auto"/>
        <w:rPr>
          <w:sz w:val="20"/>
          <w:szCs w:val="20"/>
          <w:color w:val="auto"/>
        </w:rPr>
      </w:pPr>
      <w:r>
        <w:rPr>
          <w:rFonts w:ascii="Times New Roman" w:cs="Times New Roman" w:eastAsia="Times New Roman" w:hAnsi="Times New Roman"/>
          <w:sz w:val="14"/>
          <w:szCs w:val="14"/>
          <w:color w:val="auto"/>
        </w:rPr>
        <w:t>The aggregate market value of the non-voting common stock held by non-affiliates of the registrant as of January 31, 2025, was approximately $3,172,801,733 based on the closing sale price of $74.49 per share on that date as reported for the New York Stock Exchange. As of September 2, 2025, there were 43,555,822 outstanding shares of Class A Nonvoting Common Stock (the “Class A Common Stock”), and 3,538,628 shares of Class B Common Stock. The Class B Common Stock, all of which is held by affiliates of the registrant, is the only voting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560070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225" w:right="3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9740" w:type="dxa"/>
            <w:vAlign w:val="bottom"/>
          </w:tcPr>
          <w:p>
            <w:pPr>
              <w:ind w:left="5320"/>
              <w:spacing w:after="0"/>
              <w:rPr>
                <w:sz w:val="20"/>
                <w:szCs w:val="20"/>
                <w:color w:val="auto"/>
              </w:rPr>
            </w:pPr>
            <w:r>
              <w:rPr>
                <w:rFonts w:ascii="Times New Roman" w:cs="Times New Roman" w:eastAsia="Times New Roman" w:hAnsi="Times New Roman"/>
                <w:sz w:val="18"/>
                <w:szCs w:val="18"/>
                <w:b w:val="1"/>
                <w:bCs w:val="1"/>
                <w:color w:val="auto"/>
              </w:rPr>
              <w:t>INDEX</w:t>
            </w:r>
          </w:p>
        </w:tc>
        <w:tc>
          <w:tcPr>
            <w:tcW w:w="1480" w:type="dxa"/>
            <w:vAlign w:val="bottom"/>
          </w:tcPr>
          <w:p>
            <w:pPr>
              <w:spacing w:after="0"/>
              <w:rPr>
                <w:sz w:val="20"/>
                <w:szCs w:val="20"/>
                <w:color w:val="auto"/>
              </w:rPr>
            </w:pPr>
          </w:p>
        </w:tc>
      </w:tr>
      <w:tr>
        <w:trPr>
          <w:trHeight w:val="499"/>
        </w:trPr>
        <w:tc>
          <w:tcPr>
            <w:tcW w:w="9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PART I</w:t>
            </w:r>
          </w:p>
        </w:tc>
        <w:tc>
          <w:tcPr>
            <w:tcW w:w="14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18"/>
        </w:trPr>
        <w:tc>
          <w:tcPr>
            <w:tcW w:w="9740" w:type="dxa"/>
            <w:vAlign w:val="bottom"/>
          </w:tcPr>
          <w:p>
            <w:pPr>
              <w:spacing w:after="0"/>
              <w:rPr>
                <w:sz w:val="20"/>
                <w:szCs w:val="20"/>
                <w:color w:val="auto"/>
              </w:rPr>
            </w:pPr>
            <w:r>
              <w:rPr>
                <w:rFonts w:ascii="Times New Roman" w:cs="Times New Roman" w:eastAsia="Times New Roman" w:hAnsi="Times New Roman"/>
                <w:sz w:val="18"/>
                <w:szCs w:val="18"/>
                <w:color w:val="0000FF"/>
              </w:rPr>
              <w:t>Item 1. Business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w:t>
            </w:r>
          </w:p>
        </w:tc>
      </w:tr>
      <w:tr>
        <w:trPr>
          <w:trHeight w:val="229"/>
        </w:trPr>
        <w:tc>
          <w:tcPr>
            <w:tcW w:w="9740" w:type="dxa"/>
            <w:vAlign w:val="bottom"/>
          </w:tcPr>
          <w:p>
            <w:pPr>
              <w:ind w:left="340"/>
              <w:spacing w:after="0"/>
              <w:rPr>
                <w:sz w:val="20"/>
                <w:szCs w:val="20"/>
                <w:color w:val="auto"/>
              </w:rPr>
            </w:pPr>
            <w:r>
              <w:rPr>
                <w:rFonts w:ascii="Times New Roman" w:cs="Times New Roman" w:eastAsia="Times New Roman" w:hAnsi="Times New Roman"/>
                <w:sz w:val="18"/>
                <w:szCs w:val="18"/>
                <w:color w:val="0000FF"/>
              </w:rPr>
              <w:t>General Development of Business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w:t>
            </w:r>
          </w:p>
        </w:tc>
      </w:tr>
      <w:tr>
        <w:trPr>
          <w:trHeight w:val="230"/>
        </w:trPr>
        <w:tc>
          <w:tcPr>
            <w:tcW w:w="9740" w:type="dxa"/>
            <w:vAlign w:val="bottom"/>
          </w:tcPr>
          <w:p>
            <w:pPr>
              <w:ind w:left="340"/>
              <w:spacing w:after="0"/>
              <w:rPr>
                <w:sz w:val="20"/>
                <w:szCs w:val="20"/>
                <w:color w:val="auto"/>
              </w:rPr>
            </w:pPr>
            <w:r>
              <w:rPr>
                <w:rFonts w:ascii="Times New Roman" w:cs="Times New Roman" w:eastAsia="Times New Roman" w:hAnsi="Times New Roman"/>
                <w:sz w:val="18"/>
                <w:szCs w:val="18"/>
                <w:color w:val="0000FF"/>
              </w:rPr>
              <w:t>Narrative Description of Business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w:t>
            </w:r>
          </w:p>
        </w:tc>
      </w:tr>
      <w:tr>
        <w:trPr>
          <w:trHeight w:val="229"/>
        </w:trPr>
        <w:tc>
          <w:tcPr>
            <w:tcW w:w="9740" w:type="dxa"/>
            <w:vAlign w:val="bottom"/>
          </w:tcPr>
          <w:p>
            <w:pPr>
              <w:ind w:left="660"/>
              <w:spacing w:after="0"/>
              <w:rPr>
                <w:sz w:val="20"/>
                <w:szCs w:val="20"/>
                <w:color w:val="auto"/>
              </w:rPr>
            </w:pPr>
            <w:r>
              <w:rPr>
                <w:rFonts w:ascii="Times New Roman" w:cs="Times New Roman" w:eastAsia="Times New Roman" w:hAnsi="Times New Roman"/>
                <w:sz w:val="18"/>
                <w:szCs w:val="18"/>
                <w:color w:val="0000FF"/>
              </w:rPr>
              <w:t>Overview</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w:t>
            </w:r>
          </w:p>
        </w:tc>
      </w:tr>
      <w:tr>
        <w:trPr>
          <w:trHeight w:val="229"/>
        </w:trPr>
        <w:tc>
          <w:tcPr>
            <w:tcW w:w="9740" w:type="dxa"/>
            <w:vAlign w:val="bottom"/>
          </w:tcPr>
          <w:p>
            <w:pPr>
              <w:ind w:left="660"/>
              <w:spacing w:after="0"/>
              <w:rPr>
                <w:sz w:val="20"/>
                <w:szCs w:val="20"/>
                <w:color w:val="auto"/>
              </w:rPr>
            </w:pPr>
            <w:r>
              <w:rPr>
                <w:rFonts w:ascii="Times New Roman" w:cs="Times New Roman" w:eastAsia="Times New Roman" w:hAnsi="Times New Roman"/>
                <w:sz w:val="18"/>
                <w:szCs w:val="18"/>
                <w:color w:val="0000FF"/>
              </w:rPr>
              <w:t>Research and Development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w:t>
            </w:r>
          </w:p>
        </w:tc>
      </w:tr>
      <w:tr>
        <w:trPr>
          <w:trHeight w:val="230"/>
        </w:trPr>
        <w:tc>
          <w:tcPr>
            <w:tcW w:w="9740" w:type="dxa"/>
            <w:vAlign w:val="bottom"/>
          </w:tcPr>
          <w:p>
            <w:pPr>
              <w:ind w:left="660"/>
              <w:spacing w:after="0"/>
              <w:rPr>
                <w:sz w:val="20"/>
                <w:szCs w:val="20"/>
                <w:color w:val="auto"/>
              </w:rPr>
            </w:pPr>
            <w:r>
              <w:rPr>
                <w:rFonts w:ascii="Times New Roman" w:cs="Times New Roman" w:eastAsia="Times New Roman" w:hAnsi="Times New Roman"/>
                <w:sz w:val="18"/>
                <w:szCs w:val="18"/>
                <w:color w:val="0000FF"/>
              </w:rPr>
              <w:t>Operations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w:t>
            </w:r>
          </w:p>
        </w:tc>
      </w:tr>
      <w:tr>
        <w:trPr>
          <w:trHeight w:val="229"/>
        </w:trPr>
        <w:tc>
          <w:tcPr>
            <w:tcW w:w="9740" w:type="dxa"/>
            <w:vAlign w:val="bottom"/>
          </w:tcPr>
          <w:p>
            <w:pPr>
              <w:ind w:left="660"/>
              <w:spacing w:after="0"/>
              <w:rPr>
                <w:sz w:val="20"/>
                <w:szCs w:val="20"/>
                <w:color w:val="auto"/>
              </w:rPr>
            </w:pPr>
            <w:r>
              <w:rPr>
                <w:rFonts w:ascii="Times New Roman" w:cs="Times New Roman" w:eastAsia="Times New Roman" w:hAnsi="Times New Roman"/>
                <w:sz w:val="18"/>
                <w:szCs w:val="18"/>
                <w:color w:val="0000FF"/>
              </w:rPr>
              <w:t>Human Capital Management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w:t>
            </w:r>
          </w:p>
        </w:tc>
      </w:tr>
      <w:tr>
        <w:trPr>
          <w:trHeight w:val="230"/>
        </w:trPr>
        <w:tc>
          <w:tcPr>
            <w:tcW w:w="9740" w:type="dxa"/>
            <w:vAlign w:val="bottom"/>
          </w:tcPr>
          <w:p>
            <w:pPr>
              <w:ind w:left="340"/>
              <w:spacing w:after="0"/>
              <w:rPr>
                <w:sz w:val="20"/>
                <w:szCs w:val="20"/>
                <w:color w:val="auto"/>
              </w:rPr>
            </w:pPr>
            <w:r>
              <w:rPr>
                <w:rFonts w:ascii="Times New Roman" w:cs="Times New Roman" w:eastAsia="Times New Roman" w:hAnsi="Times New Roman"/>
                <w:sz w:val="18"/>
                <w:szCs w:val="18"/>
                <w:color w:val="0000FF"/>
              </w:rPr>
              <w:t>Information Available on the Internet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w:t>
            </w:r>
          </w:p>
        </w:tc>
      </w:tr>
      <w:tr>
        <w:trPr>
          <w:trHeight w:val="229"/>
        </w:trPr>
        <w:tc>
          <w:tcPr>
            <w:tcW w:w="9740" w:type="dxa"/>
            <w:vAlign w:val="bottom"/>
          </w:tcPr>
          <w:p>
            <w:pPr>
              <w:spacing w:after="0"/>
              <w:rPr>
                <w:sz w:val="20"/>
                <w:szCs w:val="20"/>
                <w:color w:val="auto"/>
              </w:rPr>
            </w:pPr>
            <w:r>
              <w:rPr>
                <w:rFonts w:ascii="Times New Roman" w:cs="Times New Roman" w:eastAsia="Times New Roman" w:hAnsi="Times New Roman"/>
                <w:sz w:val="18"/>
                <w:szCs w:val="18"/>
                <w:color w:val="0000FF"/>
              </w:rPr>
              <w:t>Item 1A. Risk Factors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w:t>
            </w:r>
          </w:p>
        </w:tc>
      </w:tr>
      <w:tr>
        <w:trPr>
          <w:trHeight w:val="229"/>
        </w:trPr>
        <w:tc>
          <w:tcPr>
            <w:tcW w:w="9740" w:type="dxa"/>
            <w:vAlign w:val="bottom"/>
          </w:tcPr>
          <w:p>
            <w:pPr>
              <w:spacing w:after="0"/>
              <w:rPr>
                <w:sz w:val="20"/>
                <w:szCs w:val="20"/>
                <w:color w:val="auto"/>
              </w:rPr>
            </w:pPr>
            <w:r>
              <w:rPr>
                <w:rFonts w:ascii="Times New Roman" w:cs="Times New Roman" w:eastAsia="Times New Roman" w:hAnsi="Times New Roman"/>
                <w:sz w:val="18"/>
                <w:szCs w:val="18"/>
                <w:color w:val="0000FF"/>
              </w:rPr>
              <w:t>Item 1B. Unresolved Staff Comments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12</w:t>
            </w:r>
          </w:p>
        </w:tc>
      </w:tr>
      <w:tr>
        <w:trPr>
          <w:trHeight w:val="230"/>
        </w:trPr>
        <w:tc>
          <w:tcPr>
            <w:tcW w:w="9740" w:type="dxa"/>
            <w:vAlign w:val="bottom"/>
          </w:tcPr>
          <w:p>
            <w:pPr>
              <w:spacing w:after="0"/>
              <w:rPr>
                <w:sz w:val="20"/>
                <w:szCs w:val="20"/>
                <w:color w:val="auto"/>
              </w:rPr>
            </w:pPr>
            <w:r>
              <w:rPr>
                <w:rFonts w:ascii="Times New Roman" w:cs="Times New Roman" w:eastAsia="Times New Roman" w:hAnsi="Times New Roman"/>
                <w:sz w:val="18"/>
                <w:szCs w:val="18"/>
                <w:color w:val="0000FF"/>
              </w:rPr>
              <w:t>Item 1C. Cybersecurity</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12</w:t>
            </w:r>
          </w:p>
        </w:tc>
      </w:tr>
      <w:tr>
        <w:trPr>
          <w:trHeight w:val="229"/>
        </w:trPr>
        <w:tc>
          <w:tcPr>
            <w:tcW w:w="9740" w:type="dxa"/>
            <w:vAlign w:val="bottom"/>
          </w:tcPr>
          <w:p>
            <w:pPr>
              <w:spacing w:after="0"/>
              <w:rPr>
                <w:sz w:val="20"/>
                <w:szCs w:val="20"/>
                <w:color w:val="auto"/>
              </w:rPr>
            </w:pPr>
            <w:r>
              <w:rPr>
                <w:rFonts w:ascii="Times New Roman" w:cs="Times New Roman" w:eastAsia="Times New Roman" w:hAnsi="Times New Roman"/>
                <w:sz w:val="18"/>
                <w:szCs w:val="18"/>
                <w:color w:val="0000FF"/>
              </w:rPr>
              <w:t>Item 2. Properties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13</w:t>
            </w:r>
          </w:p>
        </w:tc>
      </w:tr>
      <w:tr>
        <w:trPr>
          <w:trHeight w:val="230"/>
        </w:trPr>
        <w:tc>
          <w:tcPr>
            <w:tcW w:w="9740" w:type="dxa"/>
            <w:vAlign w:val="bottom"/>
          </w:tcPr>
          <w:p>
            <w:pPr>
              <w:spacing w:after="0"/>
              <w:rPr>
                <w:sz w:val="20"/>
                <w:szCs w:val="20"/>
                <w:color w:val="auto"/>
              </w:rPr>
            </w:pPr>
            <w:r>
              <w:rPr>
                <w:rFonts w:ascii="Times New Roman" w:cs="Times New Roman" w:eastAsia="Times New Roman" w:hAnsi="Times New Roman"/>
                <w:sz w:val="18"/>
                <w:szCs w:val="18"/>
                <w:color w:val="0000FF"/>
              </w:rPr>
              <w:t>Item 3. Legal Proceedings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13</w:t>
            </w:r>
          </w:p>
        </w:tc>
      </w:tr>
      <w:tr>
        <w:trPr>
          <w:trHeight w:val="225"/>
        </w:trPr>
        <w:tc>
          <w:tcPr>
            <w:tcW w:w="9740" w:type="dxa"/>
            <w:vAlign w:val="bottom"/>
          </w:tcPr>
          <w:p>
            <w:pPr>
              <w:spacing w:after="0"/>
              <w:rPr>
                <w:sz w:val="20"/>
                <w:szCs w:val="20"/>
                <w:color w:val="auto"/>
              </w:rPr>
            </w:pPr>
            <w:r>
              <w:rPr>
                <w:rFonts w:ascii="Times New Roman" w:cs="Times New Roman" w:eastAsia="Times New Roman" w:hAnsi="Times New Roman"/>
                <w:sz w:val="18"/>
                <w:szCs w:val="18"/>
                <w:color w:val="0000FF"/>
              </w:rPr>
              <w:t>Item 4. Mine Safety Disclosures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13</w:t>
            </w:r>
          </w:p>
        </w:tc>
      </w:tr>
      <w:tr>
        <w:trPr>
          <w:trHeight w:val="233"/>
        </w:trPr>
        <w:tc>
          <w:tcPr>
            <w:tcW w:w="9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PART II</w:t>
            </w:r>
          </w:p>
        </w:tc>
        <w:tc>
          <w:tcPr>
            <w:tcW w:w="1480" w:type="dxa"/>
            <w:vAlign w:val="bottom"/>
          </w:tcPr>
          <w:p>
            <w:pPr>
              <w:spacing w:after="0"/>
              <w:rPr>
                <w:sz w:val="20"/>
                <w:szCs w:val="20"/>
                <w:color w:val="auto"/>
              </w:rPr>
            </w:pPr>
          </w:p>
        </w:tc>
      </w:tr>
      <w:tr>
        <w:trPr>
          <w:trHeight w:val="230"/>
        </w:trPr>
        <w:tc>
          <w:tcPr>
            <w:tcW w:w="9740" w:type="dxa"/>
            <w:vAlign w:val="bottom"/>
          </w:tcPr>
          <w:p>
            <w:pPr>
              <w:spacing w:after="0"/>
              <w:rPr>
                <w:sz w:val="20"/>
                <w:szCs w:val="20"/>
                <w:color w:val="auto"/>
              </w:rPr>
            </w:pPr>
            <w:r>
              <w:rPr>
                <w:rFonts w:ascii="Times New Roman" w:cs="Times New Roman" w:eastAsia="Times New Roman" w:hAnsi="Times New Roman"/>
                <w:sz w:val="18"/>
                <w:szCs w:val="18"/>
                <w:color w:val="0000FF"/>
              </w:rPr>
              <w:t>Item 5. Market for Registrant’s Common Equity, Related Stockholder Matters and Issuer Purchases of Equity Securities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14</w:t>
            </w:r>
          </w:p>
        </w:tc>
      </w:tr>
      <w:tr>
        <w:trPr>
          <w:trHeight w:val="229"/>
        </w:trPr>
        <w:tc>
          <w:tcPr>
            <w:tcW w:w="9740" w:type="dxa"/>
            <w:vAlign w:val="bottom"/>
          </w:tcPr>
          <w:p>
            <w:pPr>
              <w:spacing w:after="0"/>
              <w:rPr>
                <w:sz w:val="20"/>
                <w:szCs w:val="20"/>
                <w:color w:val="auto"/>
              </w:rPr>
            </w:pPr>
            <w:r>
              <w:rPr>
                <w:rFonts w:ascii="Times New Roman" w:cs="Times New Roman" w:eastAsia="Times New Roman" w:hAnsi="Times New Roman"/>
                <w:sz w:val="18"/>
                <w:szCs w:val="18"/>
                <w:color w:val="0000FF"/>
              </w:rPr>
              <w:t>Item 6. [Reserved]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16</w:t>
            </w:r>
          </w:p>
        </w:tc>
      </w:tr>
      <w:tr>
        <w:trPr>
          <w:trHeight w:val="229"/>
        </w:trPr>
        <w:tc>
          <w:tcPr>
            <w:tcW w:w="9740" w:type="dxa"/>
            <w:vAlign w:val="bottom"/>
          </w:tcPr>
          <w:p>
            <w:pPr>
              <w:spacing w:after="0"/>
              <w:rPr>
                <w:sz w:val="20"/>
                <w:szCs w:val="20"/>
                <w:color w:val="auto"/>
              </w:rPr>
            </w:pPr>
            <w:r>
              <w:rPr>
                <w:rFonts w:ascii="Times New Roman" w:cs="Times New Roman" w:eastAsia="Times New Roman" w:hAnsi="Times New Roman"/>
                <w:sz w:val="18"/>
                <w:szCs w:val="18"/>
                <w:color w:val="0000FF"/>
              </w:rPr>
              <w:t>Item 7. Management’s Discussion and Analysis of Financial Condition and Results of Operations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16</w:t>
            </w:r>
          </w:p>
        </w:tc>
      </w:tr>
      <w:tr>
        <w:trPr>
          <w:trHeight w:val="230"/>
        </w:trPr>
        <w:tc>
          <w:tcPr>
            <w:tcW w:w="9740" w:type="dxa"/>
            <w:vAlign w:val="bottom"/>
          </w:tcPr>
          <w:p>
            <w:pPr>
              <w:spacing w:after="0"/>
              <w:rPr>
                <w:sz w:val="20"/>
                <w:szCs w:val="20"/>
                <w:color w:val="auto"/>
              </w:rPr>
            </w:pPr>
            <w:r>
              <w:rPr>
                <w:rFonts w:ascii="Times New Roman" w:cs="Times New Roman" w:eastAsia="Times New Roman" w:hAnsi="Times New Roman"/>
                <w:sz w:val="18"/>
                <w:szCs w:val="18"/>
                <w:color w:val="0000FF"/>
              </w:rPr>
              <w:t>Item 7A. Quantitative and Qualitative Disclosures About Market Risk</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24</w:t>
            </w:r>
          </w:p>
        </w:tc>
      </w:tr>
      <w:tr>
        <w:trPr>
          <w:trHeight w:val="229"/>
        </w:trPr>
        <w:tc>
          <w:tcPr>
            <w:tcW w:w="9740" w:type="dxa"/>
            <w:vAlign w:val="bottom"/>
          </w:tcPr>
          <w:p>
            <w:pPr>
              <w:spacing w:after="0"/>
              <w:rPr>
                <w:sz w:val="20"/>
                <w:szCs w:val="20"/>
                <w:color w:val="auto"/>
              </w:rPr>
            </w:pPr>
            <w:r>
              <w:rPr>
                <w:rFonts w:ascii="Times New Roman" w:cs="Times New Roman" w:eastAsia="Times New Roman" w:hAnsi="Times New Roman"/>
                <w:sz w:val="18"/>
                <w:szCs w:val="18"/>
                <w:color w:val="0000FF"/>
              </w:rPr>
              <w:t>Item 8. Financial Statements and Supplementary Data</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25</w:t>
            </w:r>
          </w:p>
        </w:tc>
      </w:tr>
      <w:tr>
        <w:trPr>
          <w:trHeight w:val="230"/>
        </w:trPr>
        <w:tc>
          <w:tcPr>
            <w:tcW w:w="9740" w:type="dxa"/>
            <w:vAlign w:val="bottom"/>
          </w:tcPr>
          <w:p>
            <w:pPr>
              <w:spacing w:after="0"/>
              <w:rPr>
                <w:sz w:val="20"/>
                <w:szCs w:val="20"/>
                <w:color w:val="auto"/>
              </w:rPr>
            </w:pPr>
            <w:r>
              <w:rPr>
                <w:rFonts w:ascii="Times New Roman" w:cs="Times New Roman" w:eastAsia="Times New Roman" w:hAnsi="Times New Roman"/>
                <w:sz w:val="18"/>
                <w:szCs w:val="18"/>
                <w:color w:val="0000FF"/>
              </w:rPr>
              <w:t>Item 9. Changes in and Disagreements With Accountants on Accounting and Financial Disclosure</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55</w:t>
            </w:r>
          </w:p>
        </w:tc>
      </w:tr>
      <w:tr>
        <w:trPr>
          <w:trHeight w:val="229"/>
        </w:trPr>
        <w:tc>
          <w:tcPr>
            <w:tcW w:w="9740" w:type="dxa"/>
            <w:vAlign w:val="bottom"/>
          </w:tcPr>
          <w:p>
            <w:pPr>
              <w:spacing w:after="0"/>
              <w:rPr>
                <w:sz w:val="20"/>
                <w:szCs w:val="20"/>
                <w:color w:val="auto"/>
              </w:rPr>
            </w:pPr>
            <w:r>
              <w:rPr>
                <w:rFonts w:ascii="Times New Roman" w:cs="Times New Roman" w:eastAsia="Times New Roman" w:hAnsi="Times New Roman"/>
                <w:sz w:val="18"/>
                <w:szCs w:val="18"/>
                <w:color w:val="0000FF"/>
              </w:rPr>
              <w:t>Item 9A. Controls and Procedures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55</w:t>
            </w:r>
          </w:p>
        </w:tc>
      </w:tr>
      <w:tr>
        <w:trPr>
          <w:trHeight w:val="230"/>
        </w:trPr>
        <w:tc>
          <w:tcPr>
            <w:tcW w:w="9740" w:type="dxa"/>
            <w:vAlign w:val="bottom"/>
          </w:tcPr>
          <w:p>
            <w:pPr>
              <w:spacing w:after="0"/>
              <w:rPr>
                <w:sz w:val="20"/>
                <w:szCs w:val="20"/>
                <w:color w:val="auto"/>
              </w:rPr>
            </w:pPr>
            <w:r>
              <w:rPr>
                <w:rFonts w:ascii="Times New Roman" w:cs="Times New Roman" w:eastAsia="Times New Roman" w:hAnsi="Times New Roman"/>
                <w:sz w:val="18"/>
                <w:szCs w:val="18"/>
                <w:color w:val="0000FF"/>
              </w:rPr>
              <w:t>Item 9B. Other Information</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58</w:t>
            </w:r>
          </w:p>
        </w:tc>
      </w:tr>
      <w:tr>
        <w:trPr>
          <w:trHeight w:val="225"/>
        </w:trPr>
        <w:tc>
          <w:tcPr>
            <w:tcW w:w="9740" w:type="dxa"/>
            <w:vAlign w:val="bottom"/>
          </w:tcPr>
          <w:p>
            <w:pPr>
              <w:spacing w:after="0"/>
              <w:rPr>
                <w:sz w:val="20"/>
                <w:szCs w:val="20"/>
                <w:color w:val="auto"/>
              </w:rPr>
            </w:pPr>
            <w:r>
              <w:rPr>
                <w:rFonts w:ascii="Times New Roman" w:cs="Times New Roman" w:eastAsia="Times New Roman" w:hAnsi="Times New Roman"/>
                <w:sz w:val="18"/>
                <w:szCs w:val="18"/>
                <w:color w:val="0000FF"/>
              </w:rPr>
              <w:t>Item 9C. Disclosure Regarding Foreign Jurisdictions That Prevent Inspections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58</w:t>
            </w:r>
          </w:p>
        </w:tc>
      </w:tr>
      <w:tr>
        <w:trPr>
          <w:trHeight w:val="234"/>
        </w:trPr>
        <w:tc>
          <w:tcPr>
            <w:tcW w:w="9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PART III</w:t>
            </w:r>
          </w:p>
        </w:tc>
        <w:tc>
          <w:tcPr>
            <w:tcW w:w="1480" w:type="dxa"/>
            <w:vAlign w:val="bottom"/>
          </w:tcPr>
          <w:p>
            <w:pPr>
              <w:spacing w:after="0"/>
              <w:rPr>
                <w:sz w:val="20"/>
                <w:szCs w:val="20"/>
                <w:color w:val="auto"/>
              </w:rPr>
            </w:pPr>
          </w:p>
        </w:tc>
      </w:tr>
      <w:tr>
        <w:trPr>
          <w:trHeight w:val="230"/>
        </w:trPr>
        <w:tc>
          <w:tcPr>
            <w:tcW w:w="9740" w:type="dxa"/>
            <w:vAlign w:val="bottom"/>
          </w:tcPr>
          <w:p>
            <w:pPr>
              <w:spacing w:after="0"/>
              <w:rPr>
                <w:sz w:val="20"/>
                <w:szCs w:val="20"/>
                <w:color w:val="auto"/>
              </w:rPr>
            </w:pPr>
            <w:r>
              <w:rPr>
                <w:rFonts w:ascii="Times New Roman" w:cs="Times New Roman" w:eastAsia="Times New Roman" w:hAnsi="Times New Roman"/>
                <w:sz w:val="18"/>
                <w:szCs w:val="18"/>
                <w:color w:val="0000FF"/>
              </w:rPr>
              <w:t>Item 10. Directors, Executive Officers and Corporate Governance</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59</w:t>
            </w:r>
          </w:p>
        </w:tc>
      </w:tr>
      <w:tr>
        <w:trPr>
          <w:trHeight w:val="230"/>
        </w:trPr>
        <w:tc>
          <w:tcPr>
            <w:tcW w:w="9740" w:type="dxa"/>
            <w:vAlign w:val="bottom"/>
          </w:tcPr>
          <w:p>
            <w:pPr>
              <w:spacing w:after="0"/>
              <w:rPr>
                <w:sz w:val="20"/>
                <w:szCs w:val="20"/>
                <w:color w:val="auto"/>
              </w:rPr>
            </w:pPr>
            <w:r>
              <w:rPr>
                <w:rFonts w:ascii="Times New Roman" w:cs="Times New Roman" w:eastAsia="Times New Roman" w:hAnsi="Times New Roman"/>
                <w:sz w:val="18"/>
                <w:szCs w:val="18"/>
                <w:color w:val="0000FF"/>
              </w:rPr>
              <w:t>Item 11. Executive Compensation</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64</w:t>
            </w:r>
          </w:p>
        </w:tc>
      </w:tr>
      <w:tr>
        <w:trPr>
          <w:trHeight w:val="229"/>
        </w:trPr>
        <w:tc>
          <w:tcPr>
            <w:tcW w:w="9740" w:type="dxa"/>
            <w:vAlign w:val="bottom"/>
          </w:tcPr>
          <w:p>
            <w:pPr>
              <w:ind w:left="340"/>
              <w:spacing w:after="0"/>
              <w:rPr>
                <w:sz w:val="20"/>
                <w:szCs w:val="20"/>
                <w:color w:val="auto"/>
              </w:rPr>
            </w:pPr>
            <w:r>
              <w:rPr>
                <w:rFonts w:ascii="Times New Roman" w:cs="Times New Roman" w:eastAsia="Times New Roman" w:hAnsi="Times New Roman"/>
                <w:sz w:val="18"/>
                <w:szCs w:val="18"/>
                <w:color w:val="0000FF"/>
              </w:rPr>
              <w:t>Compensation Discussion and Analysis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64</w:t>
            </w:r>
          </w:p>
        </w:tc>
      </w:tr>
      <w:tr>
        <w:trPr>
          <w:trHeight w:val="230"/>
        </w:trPr>
        <w:tc>
          <w:tcPr>
            <w:tcW w:w="9740" w:type="dxa"/>
            <w:vAlign w:val="bottom"/>
          </w:tcPr>
          <w:p>
            <w:pPr>
              <w:ind w:left="340"/>
              <w:spacing w:after="0"/>
              <w:rPr>
                <w:sz w:val="20"/>
                <w:szCs w:val="20"/>
                <w:color w:val="auto"/>
              </w:rPr>
            </w:pPr>
            <w:r>
              <w:rPr>
                <w:rFonts w:ascii="Times New Roman" w:cs="Times New Roman" w:eastAsia="Times New Roman" w:hAnsi="Times New Roman"/>
                <w:sz w:val="18"/>
                <w:szCs w:val="18"/>
                <w:color w:val="0000FF"/>
              </w:rPr>
              <w:t>Management Development and Compensation Committee Interlocks and Insider Participation</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78</w:t>
            </w:r>
          </w:p>
        </w:tc>
      </w:tr>
      <w:tr>
        <w:trPr>
          <w:trHeight w:val="230"/>
        </w:trPr>
        <w:tc>
          <w:tcPr>
            <w:tcW w:w="9740" w:type="dxa"/>
            <w:vAlign w:val="bottom"/>
          </w:tcPr>
          <w:p>
            <w:pPr>
              <w:ind w:left="340"/>
              <w:spacing w:after="0"/>
              <w:rPr>
                <w:sz w:val="20"/>
                <w:szCs w:val="20"/>
                <w:color w:val="auto"/>
              </w:rPr>
            </w:pPr>
            <w:r>
              <w:rPr>
                <w:rFonts w:ascii="Times New Roman" w:cs="Times New Roman" w:eastAsia="Times New Roman" w:hAnsi="Times New Roman"/>
                <w:sz w:val="18"/>
                <w:szCs w:val="18"/>
                <w:color w:val="0000FF"/>
              </w:rPr>
              <w:t>Management Development and Compensation Committee Report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78</w:t>
            </w:r>
          </w:p>
        </w:tc>
      </w:tr>
      <w:tr>
        <w:trPr>
          <w:trHeight w:val="230"/>
        </w:trPr>
        <w:tc>
          <w:tcPr>
            <w:tcW w:w="9740" w:type="dxa"/>
            <w:vAlign w:val="bottom"/>
          </w:tcPr>
          <w:p>
            <w:pPr>
              <w:ind w:left="340"/>
              <w:spacing w:after="0"/>
              <w:rPr>
                <w:sz w:val="20"/>
                <w:szCs w:val="20"/>
                <w:color w:val="auto"/>
              </w:rPr>
            </w:pPr>
            <w:r>
              <w:rPr>
                <w:rFonts w:ascii="Times New Roman" w:cs="Times New Roman" w:eastAsia="Times New Roman" w:hAnsi="Times New Roman"/>
                <w:sz w:val="18"/>
                <w:szCs w:val="18"/>
                <w:color w:val="0000FF"/>
              </w:rPr>
              <w:t>Compensation Policies and Practices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78</w:t>
            </w:r>
          </w:p>
        </w:tc>
      </w:tr>
      <w:tr>
        <w:trPr>
          <w:trHeight w:val="229"/>
        </w:trPr>
        <w:tc>
          <w:tcPr>
            <w:tcW w:w="9740" w:type="dxa"/>
            <w:vAlign w:val="bottom"/>
          </w:tcPr>
          <w:p>
            <w:pPr>
              <w:ind w:left="340"/>
              <w:spacing w:after="0"/>
              <w:rPr>
                <w:sz w:val="20"/>
                <w:szCs w:val="20"/>
                <w:color w:val="auto"/>
              </w:rPr>
            </w:pPr>
            <w:r>
              <w:rPr>
                <w:rFonts w:ascii="Times New Roman" w:cs="Times New Roman" w:eastAsia="Times New Roman" w:hAnsi="Times New Roman"/>
                <w:sz w:val="18"/>
                <w:szCs w:val="18"/>
                <w:color w:val="0000FF"/>
              </w:rPr>
              <w:t>Summary Compensation Table</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79</w:t>
            </w:r>
          </w:p>
        </w:tc>
      </w:tr>
      <w:tr>
        <w:trPr>
          <w:trHeight w:val="230"/>
        </w:trPr>
        <w:tc>
          <w:tcPr>
            <w:tcW w:w="9740" w:type="dxa"/>
            <w:vAlign w:val="bottom"/>
          </w:tcPr>
          <w:p>
            <w:pPr>
              <w:ind w:left="340"/>
              <w:spacing w:after="0"/>
              <w:rPr>
                <w:sz w:val="20"/>
                <w:szCs w:val="20"/>
                <w:color w:val="auto"/>
              </w:rPr>
            </w:pPr>
            <w:r>
              <w:rPr>
                <w:rFonts w:ascii="Times New Roman" w:cs="Times New Roman" w:eastAsia="Times New Roman" w:hAnsi="Times New Roman"/>
                <w:sz w:val="18"/>
                <w:szCs w:val="18"/>
                <w:color w:val="0000FF"/>
              </w:rPr>
              <w:t>Grants of Plan-Based Awards for 2025</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81</w:t>
            </w:r>
          </w:p>
        </w:tc>
      </w:tr>
      <w:tr>
        <w:trPr>
          <w:trHeight w:val="230"/>
        </w:trPr>
        <w:tc>
          <w:tcPr>
            <w:tcW w:w="9740" w:type="dxa"/>
            <w:vAlign w:val="bottom"/>
          </w:tcPr>
          <w:p>
            <w:pPr>
              <w:ind w:left="340"/>
              <w:spacing w:after="0"/>
              <w:rPr>
                <w:sz w:val="20"/>
                <w:szCs w:val="20"/>
                <w:color w:val="auto"/>
              </w:rPr>
            </w:pPr>
            <w:r>
              <w:rPr>
                <w:rFonts w:ascii="Times New Roman" w:cs="Times New Roman" w:eastAsia="Times New Roman" w:hAnsi="Times New Roman"/>
                <w:sz w:val="18"/>
                <w:szCs w:val="18"/>
                <w:color w:val="0000FF"/>
              </w:rPr>
              <w:t>Outstanding Equity Awards at 2025 Fiscal Year End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82</w:t>
            </w:r>
          </w:p>
        </w:tc>
      </w:tr>
      <w:tr>
        <w:trPr>
          <w:trHeight w:val="230"/>
        </w:trPr>
        <w:tc>
          <w:tcPr>
            <w:tcW w:w="9740" w:type="dxa"/>
            <w:vAlign w:val="bottom"/>
          </w:tcPr>
          <w:p>
            <w:pPr>
              <w:ind w:left="340"/>
              <w:spacing w:after="0"/>
              <w:rPr>
                <w:sz w:val="20"/>
                <w:szCs w:val="20"/>
                <w:color w:val="auto"/>
              </w:rPr>
            </w:pPr>
            <w:r>
              <w:rPr>
                <w:rFonts w:ascii="Times New Roman" w:cs="Times New Roman" w:eastAsia="Times New Roman" w:hAnsi="Times New Roman"/>
                <w:sz w:val="18"/>
                <w:szCs w:val="18"/>
                <w:color w:val="0000FF"/>
              </w:rPr>
              <w:t>Option Exercises and Stock Vested for Fiscal 2025</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84</w:t>
            </w:r>
          </w:p>
        </w:tc>
      </w:tr>
      <w:tr>
        <w:trPr>
          <w:trHeight w:val="229"/>
        </w:trPr>
        <w:tc>
          <w:tcPr>
            <w:tcW w:w="9740" w:type="dxa"/>
            <w:vAlign w:val="bottom"/>
          </w:tcPr>
          <w:p>
            <w:pPr>
              <w:ind w:left="340"/>
              <w:spacing w:after="0"/>
              <w:rPr>
                <w:sz w:val="20"/>
                <w:szCs w:val="20"/>
                <w:color w:val="auto"/>
              </w:rPr>
            </w:pPr>
            <w:r>
              <w:rPr>
                <w:rFonts w:ascii="Times New Roman" w:cs="Times New Roman" w:eastAsia="Times New Roman" w:hAnsi="Times New Roman"/>
                <w:sz w:val="18"/>
                <w:szCs w:val="18"/>
                <w:color w:val="0000FF"/>
              </w:rPr>
              <w:t>Pension Benefits for Fiscal 2025</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84</w:t>
            </w:r>
          </w:p>
        </w:tc>
      </w:tr>
      <w:tr>
        <w:trPr>
          <w:trHeight w:val="230"/>
        </w:trPr>
        <w:tc>
          <w:tcPr>
            <w:tcW w:w="9740" w:type="dxa"/>
            <w:vAlign w:val="bottom"/>
          </w:tcPr>
          <w:p>
            <w:pPr>
              <w:ind w:left="340"/>
              <w:spacing w:after="0"/>
              <w:rPr>
                <w:sz w:val="20"/>
                <w:szCs w:val="20"/>
                <w:color w:val="auto"/>
              </w:rPr>
            </w:pPr>
            <w:r>
              <w:rPr>
                <w:rFonts w:ascii="Times New Roman" w:cs="Times New Roman" w:eastAsia="Times New Roman" w:hAnsi="Times New Roman"/>
                <w:sz w:val="18"/>
                <w:szCs w:val="18"/>
                <w:color w:val="0000FF"/>
              </w:rPr>
              <w:t>Non-Qualified Deferred Compensation for Fiscal 2025</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84</w:t>
            </w:r>
          </w:p>
        </w:tc>
      </w:tr>
      <w:tr>
        <w:trPr>
          <w:trHeight w:val="230"/>
        </w:trPr>
        <w:tc>
          <w:tcPr>
            <w:tcW w:w="9740" w:type="dxa"/>
            <w:vAlign w:val="bottom"/>
          </w:tcPr>
          <w:p>
            <w:pPr>
              <w:ind w:left="340"/>
              <w:spacing w:after="0"/>
              <w:rPr>
                <w:sz w:val="20"/>
                <w:szCs w:val="20"/>
                <w:color w:val="auto"/>
              </w:rPr>
            </w:pPr>
            <w:r>
              <w:rPr>
                <w:rFonts w:ascii="Times New Roman" w:cs="Times New Roman" w:eastAsia="Times New Roman" w:hAnsi="Times New Roman"/>
                <w:sz w:val="18"/>
                <w:szCs w:val="18"/>
                <w:color w:val="0000FF"/>
              </w:rPr>
              <w:t>Potential Payments Upon Termination or Change of Control</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84</w:t>
            </w:r>
          </w:p>
        </w:tc>
      </w:tr>
      <w:tr>
        <w:trPr>
          <w:trHeight w:val="230"/>
        </w:trPr>
        <w:tc>
          <w:tcPr>
            <w:tcW w:w="9740" w:type="dxa"/>
            <w:vAlign w:val="bottom"/>
          </w:tcPr>
          <w:p>
            <w:pPr>
              <w:ind w:left="340"/>
              <w:spacing w:after="0"/>
              <w:rPr>
                <w:sz w:val="20"/>
                <w:szCs w:val="20"/>
                <w:color w:val="auto"/>
              </w:rPr>
            </w:pPr>
            <w:r>
              <w:rPr>
                <w:rFonts w:ascii="Times New Roman" w:cs="Times New Roman" w:eastAsia="Times New Roman" w:hAnsi="Times New Roman"/>
                <w:sz w:val="18"/>
                <w:szCs w:val="18"/>
                <w:color w:val="0000FF"/>
              </w:rPr>
              <w:t>CEO Pay Ratio Disclosure</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88</w:t>
            </w:r>
          </w:p>
        </w:tc>
      </w:tr>
      <w:tr>
        <w:trPr>
          <w:trHeight w:val="230"/>
        </w:trPr>
        <w:tc>
          <w:tcPr>
            <w:tcW w:w="9740" w:type="dxa"/>
            <w:vAlign w:val="bottom"/>
          </w:tcPr>
          <w:p>
            <w:pPr>
              <w:ind w:left="340"/>
              <w:spacing w:after="0"/>
              <w:rPr>
                <w:sz w:val="20"/>
                <w:szCs w:val="20"/>
                <w:color w:val="auto"/>
              </w:rPr>
            </w:pPr>
            <w:r>
              <w:rPr>
                <w:rFonts w:ascii="Times New Roman" w:cs="Times New Roman" w:eastAsia="Times New Roman" w:hAnsi="Times New Roman"/>
                <w:sz w:val="18"/>
                <w:szCs w:val="18"/>
                <w:color w:val="0000FF"/>
              </w:rPr>
              <w:t>Compensation of Directors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93</w:t>
            </w:r>
          </w:p>
        </w:tc>
      </w:tr>
      <w:tr>
        <w:trPr>
          <w:trHeight w:val="229"/>
        </w:trPr>
        <w:tc>
          <w:tcPr>
            <w:tcW w:w="9740" w:type="dxa"/>
            <w:vAlign w:val="bottom"/>
          </w:tcPr>
          <w:p>
            <w:pPr>
              <w:ind w:left="340"/>
              <w:spacing w:after="0"/>
              <w:rPr>
                <w:sz w:val="20"/>
                <w:szCs w:val="20"/>
                <w:color w:val="auto"/>
              </w:rPr>
            </w:pPr>
            <w:r>
              <w:rPr>
                <w:rFonts w:ascii="Times New Roman" w:cs="Times New Roman" w:eastAsia="Times New Roman" w:hAnsi="Times New Roman"/>
                <w:sz w:val="18"/>
                <w:szCs w:val="18"/>
                <w:color w:val="0000FF"/>
              </w:rPr>
              <w:t>Director Compensation Table — Fiscal 2025</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94</w:t>
            </w:r>
          </w:p>
        </w:tc>
      </w:tr>
      <w:tr>
        <w:trPr>
          <w:trHeight w:val="230"/>
        </w:trPr>
        <w:tc>
          <w:tcPr>
            <w:tcW w:w="9740" w:type="dxa"/>
            <w:vAlign w:val="bottom"/>
          </w:tcPr>
          <w:p>
            <w:pPr>
              <w:spacing w:after="0"/>
              <w:rPr>
                <w:sz w:val="20"/>
                <w:szCs w:val="20"/>
                <w:color w:val="auto"/>
              </w:rPr>
            </w:pPr>
            <w:r>
              <w:rPr>
                <w:rFonts w:ascii="Times New Roman" w:cs="Times New Roman" w:eastAsia="Times New Roman" w:hAnsi="Times New Roman"/>
                <w:sz w:val="18"/>
                <w:szCs w:val="18"/>
                <w:color w:val="0000FF"/>
              </w:rPr>
              <w:t>Item 12. Security Ownership of Certain Beneficial Owners and Management and Related Stockholder Matters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94</w:t>
            </w:r>
          </w:p>
        </w:tc>
      </w:tr>
      <w:tr>
        <w:trPr>
          <w:trHeight w:val="230"/>
        </w:trPr>
        <w:tc>
          <w:tcPr>
            <w:tcW w:w="9740" w:type="dxa"/>
            <w:vAlign w:val="bottom"/>
          </w:tcPr>
          <w:p>
            <w:pPr>
              <w:spacing w:after="0"/>
              <w:rPr>
                <w:sz w:val="20"/>
                <w:szCs w:val="20"/>
                <w:color w:val="auto"/>
              </w:rPr>
            </w:pPr>
            <w:r>
              <w:rPr>
                <w:rFonts w:ascii="Times New Roman" w:cs="Times New Roman" w:eastAsia="Times New Roman" w:hAnsi="Times New Roman"/>
                <w:sz w:val="18"/>
                <w:szCs w:val="18"/>
                <w:color w:val="0000FF"/>
              </w:rPr>
              <w:t>Item 13. Certain Relationships and Related Transactions, and Director Independence</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96</w:t>
            </w:r>
          </w:p>
        </w:tc>
      </w:tr>
      <w:tr>
        <w:trPr>
          <w:trHeight w:val="225"/>
        </w:trPr>
        <w:tc>
          <w:tcPr>
            <w:tcW w:w="9740" w:type="dxa"/>
            <w:vAlign w:val="bottom"/>
          </w:tcPr>
          <w:p>
            <w:pPr>
              <w:spacing w:after="0"/>
              <w:rPr>
                <w:sz w:val="20"/>
                <w:szCs w:val="20"/>
                <w:color w:val="auto"/>
              </w:rPr>
            </w:pPr>
            <w:r>
              <w:rPr>
                <w:rFonts w:ascii="Times New Roman" w:cs="Times New Roman" w:eastAsia="Times New Roman" w:hAnsi="Times New Roman"/>
                <w:sz w:val="18"/>
                <w:szCs w:val="18"/>
                <w:color w:val="0000FF"/>
              </w:rPr>
              <w:t>Item 14. Principal Accountant Fees and Services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97</w:t>
            </w:r>
          </w:p>
        </w:tc>
      </w:tr>
      <w:tr>
        <w:trPr>
          <w:trHeight w:val="234"/>
        </w:trPr>
        <w:tc>
          <w:tcPr>
            <w:tcW w:w="9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PART IV</w:t>
            </w:r>
          </w:p>
        </w:tc>
        <w:tc>
          <w:tcPr>
            <w:tcW w:w="1480" w:type="dxa"/>
            <w:vAlign w:val="bottom"/>
          </w:tcPr>
          <w:p>
            <w:pPr>
              <w:spacing w:after="0"/>
              <w:rPr>
                <w:sz w:val="20"/>
                <w:szCs w:val="20"/>
                <w:color w:val="auto"/>
              </w:rPr>
            </w:pPr>
          </w:p>
        </w:tc>
      </w:tr>
      <w:tr>
        <w:trPr>
          <w:trHeight w:val="229"/>
        </w:trPr>
        <w:tc>
          <w:tcPr>
            <w:tcW w:w="9740" w:type="dxa"/>
            <w:vAlign w:val="bottom"/>
          </w:tcPr>
          <w:p>
            <w:pPr>
              <w:spacing w:after="0"/>
              <w:rPr>
                <w:sz w:val="20"/>
                <w:szCs w:val="20"/>
                <w:color w:val="auto"/>
              </w:rPr>
            </w:pPr>
            <w:r>
              <w:rPr>
                <w:rFonts w:ascii="Times New Roman" w:cs="Times New Roman" w:eastAsia="Times New Roman" w:hAnsi="Times New Roman"/>
                <w:sz w:val="18"/>
                <w:szCs w:val="18"/>
                <w:color w:val="0000FF"/>
              </w:rPr>
              <w:t>Item 15. Exhibits and Financial Statement Schedules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98</w:t>
            </w:r>
          </w:p>
        </w:tc>
      </w:tr>
      <w:tr>
        <w:trPr>
          <w:trHeight w:val="230"/>
        </w:trPr>
        <w:tc>
          <w:tcPr>
            <w:tcW w:w="9740" w:type="dxa"/>
            <w:vAlign w:val="bottom"/>
          </w:tcPr>
          <w:p>
            <w:pPr>
              <w:spacing w:after="0"/>
              <w:rPr>
                <w:sz w:val="20"/>
                <w:szCs w:val="20"/>
                <w:color w:val="auto"/>
              </w:rPr>
            </w:pPr>
            <w:r>
              <w:rPr>
                <w:rFonts w:ascii="Times New Roman" w:cs="Times New Roman" w:eastAsia="Times New Roman" w:hAnsi="Times New Roman"/>
                <w:sz w:val="18"/>
                <w:szCs w:val="18"/>
                <w:color w:val="0000FF"/>
              </w:rPr>
              <w:t>Item 16. Form 10-K Summary</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102</w:t>
            </w:r>
          </w:p>
        </w:tc>
      </w:tr>
      <w:tr>
        <w:trPr>
          <w:trHeight w:val="234"/>
        </w:trPr>
        <w:tc>
          <w:tcPr>
            <w:tcW w:w="9740" w:type="dxa"/>
            <w:vAlign w:val="bottom"/>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103</w:t>
            </w:r>
          </w:p>
        </w:tc>
      </w:tr>
    </w:tbl>
    <w:p>
      <w:pPr>
        <w:spacing w:after="0" w:line="200"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this Annual Report on Form 10-K for Brady Corporation (“Brady,” “Company,” “we,” “us,” or “our”), statements that are not reported financial results or other historic information are “forward-looking statements.” These forward-looking statements relate to, among other things, the Company's future financial position, business strategy, targets, projected sales, costs, income, capital expenditures, debt levels and cash flows, and plans and objectives of management for future operations.</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use of words such as “may,” “will,” “expect,” “intend,” “estimate,” “anticipate,” “believe,” “should,” “project” or “plan” or similar terminology are generally intended to identify forward-looking statements. These forward-looking statements by their nature address matters that are, to different degrees, uncertain and are subject to risks, assumptions, and other factors, some of which are beyond Brady's control, that could cause actual results to differ materially from those expressed or implied by such forward-looking statements. For Brady, uncertainties arise from:</w:t>
      </w:r>
    </w:p>
    <w:p>
      <w:pPr>
        <w:spacing w:after="0" w:line="126" w:lineRule="exact"/>
        <w:rPr>
          <w:sz w:val="20"/>
          <w:szCs w:val="20"/>
          <w:color w:val="auto"/>
        </w:rPr>
      </w:pPr>
    </w:p>
    <w:p>
      <w:pPr>
        <w:ind w:left="660" w:hanging="328"/>
        <w:spacing w:after="0" w:line="261"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 of materials, labor, material shortages and supply chain disruptions, including as a result of tariffs or other impacts of the global trade environment</w:t>
      </w: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the Company's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compete effectively or to successfully execute the Company's strategy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develop technologically advanced products that meet customer demands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identify, integrate, and grow acquired companies, and to manage contingent liabilities from divested businesses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protecting websites, networks, and systems against security breaches and difficulties in preventing phishing attacks, social engineering or malicious break-ins</w:t>
      </w: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Extensive regulations by U.S. and non-U.S. governmental and self-regulatory entities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the loss of key employees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including product liability claims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climate change and environmental regulations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legislation and tax rates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write-offs of goodwill and other intangible assets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interests of voting and non-voting shareholders and changes in the regulatory and business environment around dual-class voting structures</w:t>
      </w:r>
    </w:p>
    <w:p>
      <w:pPr>
        <w:jc w:val="both"/>
        <w:ind w:left="660" w:hanging="328"/>
        <w:spacing w:after="0" w:line="253"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Numerous other matters of national, regional and global scale, including major public health crises and government responses thereto and those of a political, economic, business, competitive, and regulatory nature contained from time to time in Brady's U.S. Securities and Exchange Commission (“SEC”) filings, including, but not limited to, those factors listed in the “Risk Factors” section within Item 1A of Part I of this Annual Report on Form 10-K</w:t>
      </w:r>
    </w:p>
    <w:p>
      <w:pPr>
        <w:spacing w:after="0" w:line="13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These uncertainties may cause Brady's actual future results to be materially different than those expressed in its forward-looking statements. Brady does not undertake to update its forward-looking statements except as required by law.</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Business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Development of Business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Brady was incorporated under the laws of the state of Wisconsin in 1914. Brady is a global manufacturer and supplier of identification solutions and workplace safety products that identify and protect premises, products and people. The ability to provide customers with a broad range of proprietary, customized and diverse products for use in various applications across multiple industries and geographies, along with a commitment to quality and service, have made Brady a leader in many of its markets.</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is organized and managed on a geographic basis with two reportable segments: Americas &amp; Asia and Europe &amp; Australia. The Americas &amp; Asia segment is comprised of our operations in North America, South America and Asia, while the Europe &amp; Australia segment is comprised of our operations in Europe, the Middle East, Africa and Australia. This regional operating structure provides a framework to align local execution with global scale and supports consistent integration of acquired businesses.</w:t>
      </w:r>
    </w:p>
    <w:p>
      <w:pPr>
        <w:spacing w:after="0" w:line="12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Company’s primary objective is to build upon its market position and increase shareholder value by enabling a highly competent and experienced organization to focus on the following key competencies: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660" w:right="600" w:hanging="328"/>
        <w:spacing w:after="0" w:line="26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Innovative products — Technologically-advanced, proprietary products that drive revenue growth and sustain gross profit margins through continuous research and development (“R&amp;D”) investment and close collaboration with customers on application-specific needs</w:t>
      </w:r>
    </w:p>
    <w:p>
      <w:pPr>
        <w:ind w:left="660" w:right="62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experience — Understanding customer needs and providing a high level of service through dedicated account support, localized technical expertise, and integrated tools that enhance responsiveness and ease of doing business</w:t>
      </w:r>
    </w:p>
    <w:p>
      <w:pPr>
        <w:ind w:left="660" w:right="4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leadership position in niche markets — Leveraging strong distribution networks, application knowledge, and long-standing relationships to maintain leadership in specialized identification and safety markets, while expanding scale and reach through targeted investments and acquisitions</w:t>
      </w:r>
    </w:p>
    <w:p>
      <w:pPr>
        <w:spacing w:after="0" w:line="1" w:lineRule="exact"/>
        <w:rPr>
          <w:rFonts w:ascii="Times New Roman" w:cs="Times New Roman" w:eastAsia="Times New Roman" w:hAnsi="Times New Roman"/>
          <w:sz w:val="18"/>
          <w:szCs w:val="18"/>
          <w:color w:val="auto"/>
        </w:rPr>
      </w:pPr>
    </w:p>
    <w:p>
      <w:pPr>
        <w:ind w:left="660" w:right="38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 capabilities — Enhancing transactional websites, product content, and customer portals to provide easy-to-find solutions and seamless transactions, supported by digital tools that improve execution and reach</w:t>
      </w:r>
    </w:p>
    <w:p>
      <w:pPr>
        <w:ind w:left="660" w:right="2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expertise — Leveraging regulatory knowledge to provide innovative solutions that support customer compliance, enabling confidence and growth in regulated industries</w:t>
      </w:r>
    </w:p>
    <w:p>
      <w:pPr>
        <w:ind w:left="660" w:right="700" w:hanging="328"/>
        <w:spacing w:after="0" w:line="26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excellence — Driving productivity through lean manufacturing, automation, and supply chain optimization, while expanding customization capabilities to deliver tailored solutions efficiently and at scale</w:t>
      </w:r>
    </w:p>
    <w:p>
      <w:pPr>
        <w:spacing w:after="0" w:line="1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strategy is to apply these core competencies to drive long-term growth, improve profitability, and strengthen its competitive position.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initiatives in fiscal 2025 included:</w:t>
      </w:r>
    </w:p>
    <w:p>
      <w:pPr>
        <w:spacing w:after="0" w:line="153" w:lineRule="exact"/>
        <w:rPr>
          <w:sz w:val="20"/>
          <w:szCs w:val="20"/>
          <w:color w:val="auto"/>
        </w:rPr>
      </w:pPr>
    </w:p>
    <w:p>
      <w:pPr>
        <w:ind w:left="660" w:hanging="328"/>
        <w:spacing w:after="0" w:line="26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Investing in organic growth by enhancing our R&amp;D process and utilizing customer feedback and observations to develop innovative new products that solve customer needs and improve environmental sustainability.</w:t>
      </w:r>
    </w:p>
    <w:p>
      <w:pPr>
        <w:ind w:left="660" w:right="2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a high-quality customer experience by aligning with customers' preferred communications channels and leveraging technology to strengthen engagement.</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and enhancing sales capabilities through an improved digital presence and the use of data-driven marketing automation tools.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profitability through pricing mechanisms to mitigate the impacts of ongoing supply chain disruptions and inflationary pressures while ensuring prices remain competitive.</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Integrating recent acquisitions to enhance our strategic position and accelerate long-term sales growth.</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Advancing operational excellence by executing sustainable efficiency gains within our selling, general and administrative structures and within our global operations, including cost reduction initiatives, insourcing of critical products and manufacturing activities, and reducing the Company's environmental footprint.</w:t>
      </w:r>
    </w:p>
    <w:p>
      <w:pPr>
        <w:spacing w:after="0" w:line="1" w:lineRule="exact"/>
        <w:rPr>
          <w:rFonts w:ascii="Times New Roman" w:cs="Times New Roman" w:eastAsia="Times New Roman" w:hAnsi="Times New Roman"/>
          <w:sz w:val="18"/>
          <w:szCs w:val="18"/>
          <w:color w:val="auto"/>
        </w:rPr>
      </w:pPr>
    </w:p>
    <w:p>
      <w:pPr>
        <w:ind w:left="660" w:hanging="328"/>
        <w:spacing w:after="0" w:line="26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build a high-performance culture, which rewards execution, fosters inclusion, and strengthens employee engagement, recruitment, and retention.</w:t>
      </w:r>
    </w:p>
    <w:p>
      <w:pPr>
        <w:spacing w:after="0" w:line="1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year ended July 31, 2025, Brady completed the acquisitions of three companies: Gravotech Holding (“Gravotech”), American Barcode and RFID Incorporated (“AB&amp;R”), and the Microfluidic Solutions business unit of Funai Electric Co., Ltd. (“Microfluidic Solutions”). The acquired companies strengthen Brady's position in faster-growing markets, enabling us to accelerate growth while expanding our product offerings and research and development capabilities.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Narrative Description of Business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is organized and managed on a geographic basis with two reportable segments: Americas &amp; Asia and Europe &amp; Australia. Below is a summary of sales by reportable segment during the years ended July 31:</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9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jc w:val="right"/>
              <w:ind w:right="61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1720" w:type="dxa"/>
            <w:vAlign w:val="bottom"/>
          </w:tcPr>
          <w:p>
            <w:pPr>
              <w:jc w:val="right"/>
              <w:ind w:right="61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6"/>
        </w:trPr>
        <w:tc>
          <w:tcPr>
            <w:tcW w:w="5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Americas &amp; Asia</w:t>
            </w:r>
          </w:p>
        </w:tc>
        <w:tc>
          <w:tcPr>
            <w:tcW w:w="104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65.7 %</w:t>
            </w:r>
          </w:p>
        </w:tc>
        <w:tc>
          <w:tcPr>
            <w:tcW w:w="10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66.1 %</w:t>
            </w:r>
          </w:p>
        </w:tc>
        <w:tc>
          <w:tcPr>
            <w:tcW w:w="12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66.7 %</w:t>
            </w:r>
          </w:p>
        </w:tc>
      </w:tr>
      <w:tr>
        <w:trPr>
          <w:trHeight w:val="230"/>
        </w:trPr>
        <w:tc>
          <w:tcPr>
            <w:tcW w:w="69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Europe &amp; Australia</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34.3 %</w:t>
            </w:r>
          </w:p>
        </w:tc>
        <w:tc>
          <w:tcPr>
            <w:tcW w:w="1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33.9 %</w:t>
            </w: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33.3 %</w:t>
            </w:r>
          </w:p>
        </w:tc>
      </w:tr>
      <w:tr>
        <w:trPr>
          <w:trHeight w:val="248"/>
        </w:trPr>
        <w:tc>
          <w:tcPr>
            <w:tcW w:w="5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040" w:type="dxa"/>
            <w:vAlign w:val="bottom"/>
            <w:tcBorders>
              <w:top w:val="single" w:sz="8" w:color="auto"/>
              <w:bottom w:val="single" w:sz="8" w:color="auto"/>
            </w:tcBorders>
            <w:shd w:val="clear" w:color="auto" w:fill="CCEEFF"/>
          </w:tcPr>
          <w:p>
            <w:pPr>
              <w:spacing w:after="0"/>
              <w:rPr>
                <w:sz w:val="21"/>
                <w:szCs w:val="21"/>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Within each of the reportable segments, the Company markets, sells and distributes a broad range of identification and safety products and solutions across the following primary product categories:</w:t>
      </w:r>
    </w:p>
    <w:p>
      <w:pPr>
        <w:spacing w:after="0" w:line="108" w:lineRule="exact"/>
        <w:rPr>
          <w:sz w:val="20"/>
          <w:szCs w:val="20"/>
          <w:color w:val="auto"/>
        </w:rPr>
      </w:pPr>
    </w:p>
    <w:p>
      <w:pPr>
        <w:jc w:val="both"/>
        <w:ind w:left="660" w:hanging="328"/>
        <w:spacing w:after="0" w:line="257"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and facility identification and protection, which includes safety signs, traffic signs and control products, floor-marking tape, pipe markers, labeling systems, spill control products, lockout/tagout devices, personal protection equipment, first aid products, and software and services for safety compliance auditing, procedures writing and training.</w:t>
      </w:r>
    </w:p>
    <w:p>
      <w:pPr>
        <w:spacing w:after="0" w:line="1" w:lineRule="exact"/>
        <w:rPr>
          <w:rFonts w:ascii="Times New Roman" w:cs="Times New Roman" w:eastAsia="Times New Roman" w:hAnsi="Times New Roman"/>
          <w:sz w:val="18"/>
          <w:szCs w:val="18"/>
          <w:color w:val="auto"/>
        </w:rPr>
      </w:pPr>
    </w:p>
    <w:p>
      <w:pPr>
        <w:ind w:left="660" w:hanging="328"/>
        <w:spacing w:after="0" w:line="26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identification, which includes materials, printing systems, radio frequency identification (“RFID”) and barcode scanners for product identification, direct part marking, engraving equipment, brand protection labeling, work</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process labeling, finished product identification, asset tracking labels, asset tags and industrial track and trace applications.</w:t>
      </w:r>
    </w:p>
    <w:p>
      <w:pPr>
        <w:spacing w:after="0" w:line="27"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Wire identification, which includes handheld printers, wire markers, sleeves, and tags.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Healthcare identification, which includes wristbands, labels, printing systems, and other products used in hospital, laboratory, and other healthcare settings for tracking and improving the safety of patients.</w:t>
      </w: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People identification, which includes name tags, badges, lanyards, rigid card printing systems, and access control software.</w:t>
      </w:r>
    </w:p>
    <w:p>
      <w:pPr>
        <w:spacing w:after="0" w:line="15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markets and sells its products through multiple channels, including distributors, a direct sales force, and digital channels. Brady has long-standing relationships with a broad range of electrical, safety, industrial and other domestic and international distributors. The direct sales force within each region partners with end-users and distributors by providing technical application and product expertise. The Company provides access to its products through brand-specific websites and catalogs.</w:t>
      </w:r>
    </w:p>
    <w:p>
      <w:pPr>
        <w:spacing w:after="0" w:line="1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markets its products under a variety of brand names:</w:t>
      </w:r>
    </w:p>
    <w:p>
      <w:pPr>
        <w:spacing w:after="0" w:line="171" w:lineRule="exact"/>
        <w:rPr>
          <w:sz w:val="20"/>
          <w:szCs w:val="20"/>
          <w:color w:val="auto"/>
        </w:rPr>
      </w:pPr>
    </w:p>
    <w:p>
      <w:pPr>
        <w:ind w:left="660" w:hanging="328"/>
        <w:spacing w:after="0" w:line="260" w:lineRule="auto"/>
        <w:tabs>
          <w:tab w:leader="none" w:pos="655" w:val="left"/>
        </w:tabs>
        <w:numPr>
          <w:ilvl w:val="0"/>
          <w:numId w:val="7"/>
        </w:numPr>
        <w:rPr>
          <w:rFonts w:ascii="Arial" w:cs="Arial" w:eastAsia="Arial" w:hAnsi="Arial"/>
          <w:sz w:val="18"/>
          <w:szCs w:val="18"/>
          <w:color w:val="auto"/>
        </w:rPr>
      </w:pPr>
      <w:r>
        <w:rPr>
          <w:rFonts w:ascii="Times New Roman" w:cs="Times New Roman" w:eastAsia="Times New Roman" w:hAnsi="Times New Roman"/>
          <w:sz w:val="18"/>
          <w:szCs w:val="18"/>
          <w:color w:val="auto"/>
        </w:rPr>
        <w:t>Brady: product identification labels, wire identification products, printers, software, safety and facility identification products, lock-out/tag-out products, brand protection labels, people identification products, microfluidic solutions products, and specialty materials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Seton, Emedco, Signals, Safety Signs Service, and Pervaco: Safety and facility identification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PDC, PDC Healthcare, MAGiCARD, and Promovision: People and healthcare identification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Gravotech: Laser and mechanical engraving machines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SPC: Spill control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Code: Barcode scanners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Securimed, Accidental Health and Safety and Trafalgar: First aid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Electromark: Identification products for the utility industry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Nordic ID: RFID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Carroll: Wire identification products</w:t>
      </w:r>
    </w:p>
    <w:p>
      <w:pPr>
        <w:spacing w:after="0" w:line="15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manufactures differentiated, proprietary products, most of which have been internally developed. These internally developed products include materials, printing and identification systems, tracking systems, and software. Materials manufactured by the Company generally require a high degree of precision and the application of adhesives with chemical and physical properties suited for specific uses. The Company’s manufacturing processes include compounding, coating, converting, printing, melt-blown operations, software development and printer design and assembly.</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Competition is based upon several factors, including product innovation, customer service, breadth of product offering, product quality, price, expertise, production capabilities, and for multinational customers, our global footprint. Competition is highly fragmented, ranging from smaller companies offering minimal product variety, to some of the world's largest adhesive and electrical product companies offering competing products as part of their overall product lines.</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These products serve customers in many industries within each reportable segment, of which those industries include industrial manufacturing, electronic manufacturing, healthcare, chemical, oil, gas, alternative energy, automotive, aerospace, governments, mass transit, mechanical contractors, construction, utilities, education, leisure and entertainment, retail and telecommunications, among others.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focuses its R&amp;D efforts on identification and printing systems, track and trace applications, pressure sensitive materials, software, and the development of other innovative workplace safety-related products. The Company incurred $79.9 million, $67.7 million, and $61.4 million of expense on its R&amp;D activities during the years ended July 31, 2025, 2024, and 2023, respectively. The majority of R&amp;D spend supports the Company's identification products. Material development involves the application of surface chemistry concepts for top coatings and adhesives applied to a variety of base materials. The design of our identification and printing systems integrates materials, embedded software, a variety of printing technologies and product scanning and identification technologies to form a complete solution for customer applications. In addition, R&amp;D supports production and marketing efforts by providing application and technical expertise.</w:t>
      </w:r>
    </w:p>
    <w:p>
      <w:pPr>
        <w:spacing w:after="0" w:line="13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owns patents and tradenames relating to certain products in the United States and internationally. Although the Company believes patents are a significant driver in maintaining its position for certain products, technology in the areas covered by many of the patents continues to evolve and may limit the value of such patents. The Company's business is not dependent on any single patent or group of patents. Patents applicable to specific products extend for up to 20 years according to the date of patent application filing or patent grant, depending upon the legal term of patents in the various countries where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patent protection is obtained. The Company's tradenames are generally valid ten years from the date of registration, and are typically renewed on an ongoing basis.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materials used in the products manufactured by the Company consist of a variety of plastic and synthetic films, paper, metal and metal foil, cloth, fiberglass, inks, dyes, adhesives, pigments, natural and synthetic rubber, organic chemicals, polymers, and solvents for consumable identification products in addition to molded parts, electronic components, chips, and sub-assemblies for identification and printing systems. The Company operates coating facilities that manufacture bulk rolls of label stock for internal and external customers. In addition, the Company purchases finished products for resale.</w:t>
      </w:r>
    </w:p>
    <w:p>
      <w:pPr>
        <w:spacing w:after="0" w:line="12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purchases raw materials, components and finished products from many suppliers. Overall, we are not dependent upon any single supplier for our most critical base materials or components. However, we have chosen in certain situations to sole source, or limit the sources of materials, components, or finished items for design or cost reasons. As a result, disruptions in supply could have an impact on results for a period of time, but we believe most disruptions would simply require qualification of new suppliers and the disruption would be modest. In certain instances, the qualification process could be more costly or take a longer period of time and in certain situations, such as a global shortage of critical materials or components, the financial impact could be material.</w:t>
      </w:r>
    </w:p>
    <w:p>
      <w:pPr>
        <w:spacing w:after="0" w:line="13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carries working capital mainly related to accounts receivable and inventory. Inventory consists of raw materials, work in process and finished goods. Generally, custom products are made to order while an on-hand quantity of stock product is maintained to provide customers with timely delivery. Average time to fulfill customer orders varies from same-day to one month, depending on the type of product, customer request, and whether the product is stock or custom-designed and manufactured. Normal and customary payment terms primarily range from net 10 to 90 days from date of invoice and vary by geography.</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has a broad customer base, and no individual customer represents 10% or more of total net sales.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July 31, 2025, the Company employed approximately 6,400 individuals worldwide, of which approximately 1,700 were employed in the United States and approximately 4,700 were employed outside the United States.</w:t>
      </w:r>
    </w:p>
    <w:p>
      <w:pPr>
        <w:spacing w:after="0" w:line="10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Company’s Vice President of Human Resources is responsible for developing the Company’s human capital strategy, which includes the attraction, acquisition, development, engagement and retention of talent to deliver on the Company’s strategy as well as the design of employee compensation and benefits programs. Management is responsible for executing the Company's human capital strategy. The Vice President of Human Resources is also responsible for enhancing the Company’s high-performance culture, which rewards execution and fosters inclusion, to drive differential performance and execute our strategy for the organization. The Company’s Board of Directors and its committees receive regular updates on the operation and status of these initiatives and human capital trends and activities from the Vice President of Human Resources, the CEO and others within senior management.</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Key areas of focus with respect to human capital include:</w:t>
      </w:r>
    </w:p>
    <w:p>
      <w:pPr>
        <w:spacing w:after="0" w:line="16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Health and Safety</w:t>
      </w:r>
      <w:r>
        <w:rPr>
          <w:rFonts w:ascii="Times New Roman" w:cs="Times New Roman" w:eastAsia="Times New Roman" w:hAnsi="Times New Roman"/>
          <w:sz w:val="18"/>
          <w:szCs w:val="18"/>
          <w:color w:val="auto"/>
        </w:rPr>
        <w:t>: The Company’s health and safety programs are designed around global standards with appropriate variations addressing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multiple jurisdictions and regulations, specific hazards and unique working environments of the Company’s manufacturing, distribution and headquarter operations. The Company requires each of its locations to perform regular safety audits to ensure proper safety policies, program procedures, analyses and trainings are in place. The Company utilizes a mixture of leading and lagging indicators to assess the health and safety performance of its operations. Lagging indicators include the OSHA Total Recordable Incident Rate (“TRIR”) and the Lost Time Case Rate (“LTCR”) based upon the number of incidents per 100 employees. Leading indicators include reporting and closure of all near miss events. The Company also utilizes trainings such as Environmental, Health and Safety (“EHS”) coaching and engagement conversations as preventative measures. During the year ended July 31, 2025, the Company had a TRIR of 0.43, a LTCR of 0.23 and no work-related fatalities.</w:t>
      </w:r>
    </w:p>
    <w:p>
      <w:pPr>
        <w:spacing w:after="0" w:line="13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Inclusive Workplace</w:t>
      </w:r>
      <w:r>
        <w:rPr>
          <w:rFonts w:ascii="Times New Roman" w:cs="Times New Roman" w:eastAsia="Times New Roman" w:hAnsi="Times New Roman"/>
          <w:sz w:val="18"/>
          <w:szCs w:val="18"/>
          <w:color w:val="auto"/>
        </w:rPr>
        <w:t>: The Company prioritizes fostering an inclusive workplace where employees feel valued and heard. This commitment is central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ability to leverage the full strengths of our workforce, aiming to exceed customer expectations and achieve growth objectives. To support this, the Company engages employees through various employee resource groups. These groups bring together employees to share common interests in personal and professional development, while improving corporate culture and delivering business results. Senior leaders throughout the organization sponsor and support each employee resource group.</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also strives to build a robust talent pipeline by partnering with its business units in their workforce planning to develop initiatives and goals to recruit talent from all backgrounds across defined organizational levels and skill areas. The Company trains its recruiting workforce in sourcing strategies aimed at broadening its talent pool and partners with external organizations that develop and supply a wide range of talent. As a commitment to an inclusive workplace, the Company supports the unique input of individuals at all levels within the organization. As of July 31, 2025, 45% of the members of the Company’s Board of Directors were women and 60% of Board committee chairs were women.</w:t>
      </w:r>
    </w:p>
    <w:p>
      <w:pPr>
        <w:spacing w:after="0" w:line="1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Training and Talent Development</w:t>
      </w:r>
      <w:r>
        <w:rPr>
          <w:rFonts w:ascii="Times New Roman" w:cs="Times New Roman" w:eastAsia="Times New Roman" w:hAnsi="Times New Roman"/>
          <w:sz w:val="18"/>
          <w:szCs w:val="18"/>
          <w:color w:val="auto"/>
        </w:rPr>
        <w:t>: The Company is committed to the continued development of its people. Strategic talent reviews and succession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planning occur on a planned cadence annually. The CEO and the Vice President of Human Resources convene meetings with senior Company leadership and the Board of Directors to review top enterprise talent and discuss succession planning for key leadership roles. The Company also emphasizes career development planning to support employee growth and progression across a wide range of roles and functions.</w:t>
      </w:r>
    </w:p>
    <w:p>
      <w:pPr>
        <w:spacing w:after="0" w:line="12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provides technical training to employees, customers and suppliers who work for or with the Company’s products. Training is provided in a variety of formats to accommodate the respective learner’s style, pace, location, technical knowledge and access.</w:t>
      </w:r>
    </w:p>
    <w:p>
      <w:pPr>
        <w:spacing w:after="0" w:line="10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Compensation and Benefits: </w:t>
      </w:r>
      <w:r>
        <w:rPr>
          <w:rFonts w:ascii="Times New Roman" w:cs="Times New Roman" w:eastAsia="Times New Roman" w:hAnsi="Times New Roman"/>
          <w:sz w:val="18"/>
          <w:szCs w:val="18"/>
          <w:color w:val="auto"/>
        </w:rPr>
        <w:t>The Company values its people and strives to deliver compensation and benefit programs and plans that are competitive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 external market. The Company provides subsidized health and welfare benefits, as well as postretirement, incentive and equity-based compensation plans and programs to eligible employees. Refer to the Compensation Discussion &amp; Analysis for additional information regarding the Company’s compensation and benefits programs.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Available on the Internet</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Corporate Internet address is www.bradyid.com. The Company makes available, free of charge, on or through its website, copies of its Annual Report on Form 10-K, Quarterly Reports on Form 10-Q, Current Reports on Form 8-K, and amendments to all such reports as soon as reasonably practicable after such reports are electronically filed with or furnished to the SEC. The Company is not including the information contained on or available through its website as part of, or incorporating such information by reference into, this Annual Report on Form 10-K.</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173"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Investors should carefully consider the risks set forth below and all other information contained in this report and other documents we file with the SEC. The risks and uncertainties described below are those that we have identified as material, but are not the only risks and uncertainties facing us. Our business is also subject to general risks and uncertainties that affect many other companies, such as market conditions, geopolitical events, changes in laws or accounting rules, fluctuations in interest rates, terrorism, wars or conflicts, major health concerns, natural disasters or other disruptions of expected economic or business conditions. Additional risks and uncertainties not currently known to us or that we currently believe are immaterial also may impair our business and financial results.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Risks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Raw material and other cost inflation as well as product shortages could adversely affect our business and financial results.</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manufacture certain parts and components of our products and therefore require raw materials from suppliers, which could be interrupted for a variety of reasons, including availability and pricing. Our prices and lead times for raw materials and other components necessary for production have continued to fluctuate over the past year, including increased raw production costs, increased wage rates, and extended lead times. Significant increases could adversely affect our profit margins and results of operations. Changes in trade policies; supply chain disruptions; and the imposition of duties and tariffs and potential retaliatory countermeasures could adversely impact the price or availability of raw materials, which could adversely affect our profit margins and results of operations. In addition, labor shortages or an increase in the cost of labor could adversely affect our profit margins and results of operations. Due to competitive pressures or other factors, we may not be able to pass along increased raw material and component part costs to our customers in the form of price increases or our ability to do so could be delayed, which could adversely impact our business and financial results.</w:t>
      </w:r>
    </w:p>
    <w:p>
      <w:pPr>
        <w:spacing w:after="0" w:line="138"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While we have implemented certain cost containment measures and selective price increases, as well as taken other actions to offset recent inflationary pressures in our supply chain, we may not be able to offset all of the increases in our operational costs, which could adversely impact our business and financial results.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Demand for our products may be adversely affected by numerous factors, some of which we cannot predict or control. This could adversely affect our business and financial results.</w:t>
      </w:r>
    </w:p>
    <w:p>
      <w:pPr>
        <w:spacing w:after="0" w:line="1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Numerous factors may affect the demand for our products, including:</w:t>
      </w:r>
    </w:p>
    <w:p>
      <w:pPr>
        <w:spacing w:after="0" w:line="171"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Deterioration of economic conditions in major markets served</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Catastrophic events, including epidemics, major health concerns, or natural disasters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and operational impact of the war between Russia and Ukraine or other wars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in the marketplace allowing competitors to be more efficient and more price competitive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Competitors entering the marketplace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Decreasing product life cycles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customer preferences</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achieve strong operational performance, including the manufacture and sale of high-quality products and the ability to meet customer delivery expectations</w:t>
      </w:r>
    </w:p>
    <w:p>
      <w:pPr>
        <w:spacing w:after="0" w:line="1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If any of these factors occur, the demand for our products could suffer, and this could adversely impact our business and financial results.</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Failure to compete effectively or to successfully execute our strategy may have a negative impact on our business and financial results.</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actively compete with companies that produce and market the same or similar products, and in some instances, with companies that sell different products that are designed for the same target markets. Competition may force us to reduce prices or incur additional costs to remain competitive in an environment in which business models, including the development and use of artificial intelligence technologies, are changing rapidly. We compete on the basis of several factors, including customer support, product innovation, product offering, product quality, price, expertise, digital capabilities, production capabilities, and for multinational customers, our global footprint. Present or future competitors may develop and introduce new and enhanced products, offer products based on alternative technologies and processes, accept lower profit, have greater financial, technical or other resources, or have lower production costs or other pricing advantages. Any of these could put us at a disadvantage by threatening our share of sales or reducing our profit margins, which could adversely impact our business and financial results.</w:t>
      </w:r>
    </w:p>
    <w:p>
      <w:pPr>
        <w:spacing w:after="0" w:line="13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Additionally, throughout our global business, distributors and customers may not accept our price increases or may seek lower cost sourcing opportunities, which could result in a loss of business that may adversely impact our business and financial results.</w:t>
      </w:r>
    </w:p>
    <w:p>
      <w:pPr>
        <w:spacing w:after="0" w:line="10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strategy is to expand into higher-growth adjacent product categories and markets with technologically advanced new products, as well as to grow our sales generated through the digital channel. While traditional direct marketing channels such as catalogs are an important means of advertising and selling our products, an increasing number of customers are purchasing products online. Our strategy to increase sales through the digital channel is an investment in our e-commerce sales capabilities. There is a risk that we may not continue to successfully implement this strategy, or if successfully implemented, we may not realize its expected benefits due to increased competition and pricing pressure brought about by other e-commerce businesses. Our failure to successfully implement our strategy could adversely impact our business and financial results.</w:t>
      </w:r>
    </w:p>
    <w:p>
      <w:pPr>
        <w:spacing w:after="0" w:line="129"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develop or acquire technologically advanced products that meet customer demands, including price expectations, could adversely impact our business and financial results.</w:t>
      </w:r>
    </w:p>
    <w:p>
      <w:pPr>
        <w:spacing w:after="0" w:line="10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develop technologically advanced new products to promote our organic growth and profitability. Technology is changing rapidly and our competitors are innovating quickly. If we do not keep pace with developing technologically advanced products, we risk product commoditization, deterioration of the value of our brand, and reduced ability to effectively compete. We must continue to develop innovative products, as well as acquire and retain the necessary intellectual property rights in these products. If we fail to innovate, or we launch products with quality problems, or if customers do not accept our products, then our business and financial results could be adversely affected.</w:t>
      </w:r>
    </w:p>
    <w:p>
      <w:pPr>
        <w:spacing w:after="0" w:line="125"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failure to properly identify, integrate and grow acquired companies, and to manage contingent liabilities from divested businesses could adversely affect our business and financial results.</w:t>
      </w:r>
    </w:p>
    <w:p>
      <w:pPr>
        <w:spacing w:after="0" w:line="10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historical growth has included acquisitions and our future growth strategy includes acquisitions. Acquisitions place significant demands on management, operational, and financial resources. Recent and future acquisitions will require integration of operations, sales and marketing, information technology, finance, and administrative operations, which could decrease the time available to focus on our other growth strategies. We cannot assure that we will be able to successfully integrate acquisitions, that these acquisitions will operate profitably, or that we will be able to achieve the desired sales growth</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or operational success. Our sales, results of operations, cash flow, and liquidity could be adversely affected if we do not successfully integrate acquired businesses, including realizing synergies, or if our other businesses suffer due to the increased focus on the acquired businesses.</w:t>
      </w:r>
    </w:p>
    <w:p>
      <w:pPr>
        <w:spacing w:after="0" w:line="10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continually assess the strategic fit of our existing businesses and may divest businesses that we determine do not align with our strategic plan, or that are not achieving the desired return on investment. Divestitures pose risks and challenges that could negatively impact our business. When we decide to sell a business or specific assets, we may be unable to do so on satisfactory terms or within our anticipated timeframe, and even after reaching a definitive agreement to sell a business, the sale is typically subject to pre-closing conditions which may not be satisfied. In addition, the impact of the divestiture on our revenue and net income may be larger than projected, which could distract management, and disputes may arise with buyers. We have retained responsibility for and have agreed to indemnify buyers against certain contingent liabilities related to several businesses that we have sold. The resolution of these contingencies has not had a material adverse impact on our financial results, but we cannot be certain that this pattern will continue.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Operating Risks</w:t>
      </w:r>
    </w:p>
    <w:p>
      <w:pPr>
        <w:spacing w:after="0" w:line="171"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or the failure of third-party service providers to protect our sites, networks and systems against security breaches, to protect our confidential information, or to facilitate our digital strategy, could adversely affect our business and financial results.</w:t>
      </w:r>
    </w:p>
    <w:p>
      <w:pPr>
        <w:spacing w:after="0" w:line="10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business systems collect, transmit and store data about our customers, vendors and others, including credit card information and personally identifiable information. We also employ third-party service providers that store, process and transmit proprietary, personal and confidential information on our behalf. We rely on encryption and authentication technology licensed from third parties in an effort to securely transmit confidential and sensitive information, including credit card numbers. Our security measures, and those of our third-party service providers, may not detect or prevent all attempts to hack our systems, denial-of-service attacks, viruses, malicious software, break-ins, phishing attacks, social engineering, security breaches or other similar disruptions that may jeopardize the security of information stored in or transmitted by our sites, networks and systems or that we or our third-party service providers otherwise maintain. We engage third-party service providers to assist with certain of our website and digital platform upgrades, which may result in a decline in sales when initially deployed, which could have an adverse effect on our business and financial results.</w:t>
      </w:r>
    </w:p>
    <w:p>
      <w:pPr>
        <w:spacing w:after="0" w:line="13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and our service providers may not have the resources or technical sophistication to anticipate or prevent all types of attacks, and techniques used to obtain unauthorized access to or to sabotage systems change frequently and may not be known until launched against us or our third-party service providers. In addition, security breaches can also occur as a result of non-technical issues, including intentional or inadvertent breaches by our employees or by persons with whom we have commercial relationships. Although we maintain privacy, data breach and network security liability insurance, we cannot be certain that our coverage will be adequate or will cover liabilities actually incurred, or that insurance will continue to be available to us on economically reasonable terms, or at all. Any compromise or breach of our security measures, or those of our third-party service providers, could adversely impact our ability to conduct business, violate applicable privacy, data security and other laws, and cause significant legal and financial exposure, adverse publicity, and a loss of confidence in our security measures, which could have an adverse effect on our business and financial results.</w:t>
      </w:r>
    </w:p>
    <w:p>
      <w:pPr>
        <w:spacing w:after="0" w:line="134"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 global company headquartered in the United States. We are subject to extensive regulations by U.S. and non-U.S. governmental and self-regulatory entities at various levels of the governing bodies. Failure to comply with laws and regulations could adversely affect our business and financial results.</w:t>
      </w:r>
    </w:p>
    <w:p>
      <w:pPr>
        <w:spacing w:after="0" w:line="12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Approximately 50% of our sales are derived outside of the United States. Our operations are subject to the risks of doing business domestically and globally, including the following:</w:t>
      </w:r>
    </w:p>
    <w:p>
      <w:pPr>
        <w:spacing w:after="0" w:line="108" w:lineRule="exact"/>
        <w:rPr>
          <w:sz w:val="20"/>
          <w:szCs w:val="20"/>
          <w:color w:val="auto"/>
        </w:rPr>
      </w:pPr>
    </w:p>
    <w:p>
      <w:pPr>
        <w:ind w:left="660" w:hanging="328"/>
        <w:spacing w:after="0" w:line="261"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new or changes in existing duties, tariffs and trade agreements, which could have a direct or indirect impact on our ability to manufacture products, on our customers' demand for our products, or on our suppliers' ability to deliver raw materials.</w:t>
      </w: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disruptions in product deliveries and payments in connection with international manufacturing and sales.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resulting from political and economic instability and disruptions.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 export and economic sanction laws.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and changing governmental policies, regulatory, and business environments.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Disadvantages from competing against companies from countries that are not subject to U.S. laws and regulations including the Foreign Corrupt Practices Act.</w:t>
      </w: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labor regulations.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relating to climate change, air emissions, wastewater discharges, handling and disposal of hazardous materials and wastes.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relating to product content, health, safety and the protection of the environment.</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trade or travel restrictions as a result of any effects of pandemics or global health crises.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Specific country regulations where our products are manufactured or sold.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relating to compliance with data protection and privacy laws throughout our global business.</w:t>
      </w:r>
    </w:p>
    <w:p>
      <w:pPr>
        <w:spacing w:after="0" w:line="9" w:lineRule="exact"/>
        <w:rPr>
          <w:rFonts w:ascii="Times New Roman" w:cs="Times New Roman" w:eastAsia="Times New Roman" w:hAnsi="Times New Roman"/>
          <w:sz w:val="18"/>
          <w:szCs w:val="18"/>
          <w:color w:val="auto"/>
        </w:rPr>
      </w:pPr>
    </w:p>
    <w:p>
      <w:pPr>
        <w:ind w:left="660" w:right="20" w:hanging="328"/>
        <w:spacing w:after="0" w:line="260"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regulations that apply to companies doing business with the government, including audit requirements of government contracts related to procurement integrity, export control, employment practices, and the accuracy of records and recording of costs.</w:t>
      </w:r>
    </w:p>
    <w:p>
      <w:pPr>
        <w:spacing w:after="0" w:line="1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Further, these laws and regulations are constantly evolving and it is difficult to accurately predict the effect they may have upon our business and financial results.</w:t>
      </w:r>
    </w:p>
    <w:p>
      <w:pPr>
        <w:spacing w:after="0" w:line="10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cannot provide assurance that our internal controls and compliance systems will always protect us from acts committed by employees, agents or business partners that would violate U.S. and/or non-U.S. laws, including the laws governing payments to government officials, bribery, fraud, anti-kickback and false claims rules, competition, export and import compliance, money laundering and data privacy. Any such improper actions could subject us to civil or criminal investigations in the U.S. and in other jurisdictions, lead to substantial civil or criminal, monetary and non-monetary penalties and related lawsuits by shareholders and others, damage our reputation, and adversely impact our business and financial results.</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depend on key employees and the loss of these individuals could have an adverse effect on our business and financial results.</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financial results could be adversely affected by increased competition for employees, difficulty in recruiting employees, higher employee turnover or increased compensation and benefit costs. Our employees are important to our success and we are dependent on our ability to retain the services of our employees in key roles. We have built our business on a set of core values, and we attempt to hire and retain employees who are committed to these values and our culture of providing exceptional service to our customers. In order to compete and to continue to grow, we must attract, retain and motivate our employees. We need qualified managers and skilled employees with technical and industry experience to operate our business successfully. If we are unable to attract and retain qualified individuals, or if our costs to do so increase significantly, or if internal realignment of responsibilities are not executed properly, our business and financial results could be adversely affected.</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litigation that could adversely impact our business, financial results, and reputation.</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are, or may become, a party to litigation that arises in the normal course of our business operations, including product liability and recall (strict liability and negligence) claims, patent and trademark matters, contract disputes and environmental, employment and other litigation matters. We face an inherent risk that our competitors will allege that aspects of our products infringe their intellectual property or that our intellectual property is invalid, such that we could be prevented from manufacturing and selling our products or prevented from stopping others from manufacturing and selling competing products. We face an inherent business risk of exposure to product liability claims in the event that the use of our products is alleged to have resulted in injury or other damage. To date, we have not incurred material costs related to these types of claims. However, while we currently maintain insurance coverage for certain types of claims that we believe is adequate, we cannot be certain that we will be able to maintain this insurance on acceptable terms or that this insurance will provide sufficient coverage against potential liabilities that may arise. Any claims brought against us, with or without merit, may have an adverse effect on our business, financial results and reputation as a result of potential adverse outcomes. The expenses associated with defending such claims and the diversion of our management’s resources and time may have an adverse effect on our business and financial results.</w:t>
      </w:r>
    </w:p>
    <w:p>
      <w:pPr>
        <w:spacing w:after="0" w:line="136"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Global climate change and related emphasis on environmental matters by various stakeholders could negatively affect our business and financial results.</w:t>
      </w:r>
    </w:p>
    <w:p>
      <w:pPr>
        <w:spacing w:after="0" w:line="10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Increased public awareness and concern regarding global climate change may result in more regional and/or federal requirements to reduce or mitigate the effects of greenhouse gas emissions. There continues to be a lack of consistent climate legislation, which creates economic and regulatory uncertainty. Further, our customers and the markets we serve may impose emissions or other environmental standards through regulation, market-based emissions policies or consumer preference that we may not be able to timely meet due to the required level of capital investment or technological advancement.</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Additionally, the enhanced stakeholder focus on Environmental, Social and Governance (“ESG”) issues relating to our business requires the continuous monitoring of various and evolving standards and the associated reporting requirements. A failure to adequately meet stakeholder expectations may result in the loss of business, diluted market valuation, an inability to attract customers or an inability to attract and retain top talent.</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and Security Ownership Risks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The global nature of our business exposes us to foreign currency fluctuations that could adversely affect our business and financial results.</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Approximately 50% of our sales are derived outside the United States. Sales and purchases in currencies other than the U.S. dollar expose us to fluctuations in foreign currencies relative to the U.S. dollar, and may adversely affect our financial results. Increased strength of the U.S. dollar could increase the effective price of our products sold in currencies other than U.S. dollars into other countries. Decreased strength of the U.S. dollar could adversely affect the cost of materials, products, and services purchased overseas. Our sales and expenses are translated into U.S. dollars for reporting purposes, and further strengthening of the U.S. dollar could result in unfavorable translation effects. In addition, certain of our subsidiaries may invoice customers in a currency other than its functional currency or may be invoiced by suppliers in a currency other than its functional currency, which could result in unfavorable translation effects on our business and financial results.</w:t>
      </w:r>
    </w:p>
    <w:p>
      <w:pPr>
        <w:spacing w:after="0" w:line="131"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tax legislation or tax rates could adversely affect results of operations and financial statements. Additionally, audits by taxing authorities could result in tax payments for prior periods.</w:t>
      </w:r>
    </w:p>
    <w:p>
      <w:pPr>
        <w:spacing w:after="0" w:line="10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subject to income taxes in the U.S. and in many non-U.S. jurisdictions. As such, our income is subject to risk due to changing tax laws and tax rates around the world. Our tax filings are subject to audit by U.S. federal, state and local tax authorities and by non-U.S. tax authorities. If these audits result in payments or assessments that differ from our reserves, our future net income may be adversely impacted.</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July 4, 2025, the U.S. government enacted tax legislation commonly referred to as the One Big Beautiful Bill Act (“OBBBA”). The OBBBA made permanent or extended several provisions from the Tax Cuts and Jobs Act of 2017, including restoration of 100% bonus depreciation, an EBITDA-based limitation on interest expense deductions, and immediate expensing of domestic research and development expenditures. Future changes to these or other tax laws, as well as related regulations and interpretations, could materially affect our financial results.</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review the probability of the realization of our deferred tax assets quarterly based on forecasts of taxable income in both the U.S. and foreign jurisdictions. As part of this review, we utilize historical results, projected future operating results, eligible carry-forward periods, tax planning opportunities, and other relevant considerations. Changes in profitability and financial outlook in both the U.S. and/or foreign jurisdictions, or changes in our geographic footprint may require modifications in the valuation allowance for deferred tax assets.</w:t>
      </w:r>
    </w:p>
    <w:p>
      <w:pPr>
        <w:spacing w:after="0" w:line="12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Globally, many countries have enacted, or plan to enact, legislation and other guidance to align with the Organisation for Economic Co-operation and Development’s (“OECD”) Inclusive Framework on Base Erosion and Profit Shifting Pillar Two (“Pillar Two”) model rules, which aim to establish a global minimum tax rate of 15 percent for large multinational enterprise groups. The OECD has continued to issue new administrative guidance on the Pillar Two model rules throughout 2025. Significant uncertainty remains regarding the interpretation and consistent implementation of the Pillar Two model rules across jurisdictions, their interaction with existing national tax laws, and their alignment with current tax treaty obligations. Final adoption and implementation of Pillar Two in the jurisdictions where we operate could adversely affect our business and financial results. While it is impossible to predict whether other tax proposals will be enacted, many could have an impact on our business and financial results.</w:t>
      </w:r>
    </w:p>
    <w:p>
      <w:pPr>
        <w:spacing w:after="0" w:line="131"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execute our strategies could result in impairment of goodwill or other intangible assets, which may negatively impact income and profitability</w:t>
      </w:r>
      <w:r>
        <w:rPr>
          <w:rFonts w:ascii="Times New Roman" w:cs="Times New Roman" w:eastAsia="Times New Roman" w:hAnsi="Times New Roman"/>
          <w:sz w:val="18"/>
          <w:szCs w:val="18"/>
          <w:b w:val="1"/>
          <w:bCs w:val="1"/>
          <w:color w:val="auto"/>
        </w:rPr>
        <w:t>.</w:t>
      </w:r>
    </w:p>
    <w:p>
      <w:pPr>
        <w:spacing w:after="0" w:line="10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have goodwill of $676.9 million and other intangible assets of $105.4 million as of July 31, 2025, which represent 45.1% of our total assets, and we have recognized impairment charges in the past. We evaluate goodwill and other intangible assets for impairment on an annual basis, or more frequently if impairment indicators are present, based upon the fair value of each respective asset. The valuations prepared for the required impairment test include management's estimates of sales, profitability, cash flow generation, capital structure, cost of debt, interest rates, capital expenditures, and other assumptions. Significant negative industry or economic trends, disruptions to our business, inability to achieve sales projections or cost savings, inability to effectively integrate acquired businesses, unexpected changes in the use of the assets, and divestitures may adversely impact the assumptions used in the valuations. If the estimated fair value of our goodwill or other intangible assets change in future periods, we may be required to record an impairment charge, which would reduce net income in such period.</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Substantially all of our voting stock is controlled by two shareholders, while our public investors hold non-voting stock. The interests of the voting and non-voting shareholders could differ, potentially resulting in decisions that affect the value of the non-voting shares.</w:t>
      </w:r>
    </w:p>
    <w:p>
      <w:pPr>
        <w:spacing w:after="0" w:line="10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Substantially all of our voting stock is controlled by Elizabeth P. Bruno, one of our directors, and William H. Brady III, both of whom are descendants of the Company's founder. All of our publicly traded shares are non-voting. Therefore, the voting shareholders have control in most matters requiring approval or acquiescence by shareholders, including the composition of our Board of Directors and many corporate actions, and their interests may not align with those of the non-voting shareholders. Such concentration of ownership may discourage a potential acquirer from making a purchase offer that our public shareholders may find favorable and it may adversely affect the trading price for our non-voting common stock because investors may perceive disadvantages in owning stock in companies whose voting stock is controlled by a limited number of shareholders. Additionally, certain private investors, mutual funds and index sponsors have implemented rules restricting ownership, or excluding from indices, companies with non-voting publicly traded shares. For example, the Company was removed from the Russell 2000 Index in the fourth quarter of fiscal year 2023 for not meeting the minimum voting rights hurdle.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1B. </w:t>
      </w:r>
      <w:r>
        <w:rPr>
          <w:rFonts w:ascii="Times New Roman" w:cs="Times New Roman" w:eastAsia="Times New Roman" w:hAnsi="Times New Roman"/>
          <w:sz w:val="18"/>
          <w:szCs w:val="18"/>
          <w:b w:val="1"/>
          <w:bCs w:val="1"/>
          <w:i w:val="1"/>
          <w:iCs w:val="1"/>
          <w:color w:val="auto"/>
        </w:rPr>
        <w:t>Unresolved Staff Comments</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1C. </w:t>
      </w:r>
      <w:r>
        <w:rPr>
          <w:rFonts w:ascii="Times New Roman" w:cs="Times New Roman" w:eastAsia="Times New Roman" w:hAnsi="Times New Roman"/>
          <w:sz w:val="18"/>
          <w:szCs w:val="18"/>
          <w:b w:val="1"/>
          <w:bCs w:val="1"/>
          <w:i w:val="1"/>
          <w:iCs w:val="1"/>
          <w:color w:val="auto"/>
        </w:rPr>
        <w:t>Cybersecurity</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Brady has strategically included cybersecurity risk management into our integrated Company-wide risk management framework, which consists of administrative, operational, physical, and technical processes that we believe are appropriate to the scope and nature of our business. We believe this integrated approach allows cybersecurity considerations to form an integral part of our corporate and strategic decision-making processes. Management works closely with our information technology security team to continuously evaluate and address cybersecurity risks in alignment with our business and operational needs. Our cybersecurity policies and practices follow the cybersecurity framework of the Center for Internet Security (“CIS”) Controls.</w:t>
      </w:r>
    </w:p>
    <w:p>
      <w:pPr>
        <w:spacing w:after="0" w:line="1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cybersecurity strategy focuses on continued strengthening of our cybersecurity defense model, improvement of cybersecurity operational efficiencies, and preparedness for evolving business and technology needs including the detection, analysis, and response to known, anticipated and unexpected cybersecurity threats, management of material risks related to cybersecurity threats and resilience against cybersecurity incidents. We regularly assess potential threats and make investments to mitigate the risk of these threats against our critical information and assets by implementing a broad set of information security and cybersecurity measures, including comprehensive monitoring and enhancement of our networks and systems, intrusion prevention defense, rapid detection and response, and threat management capabilities. To supplement our internal resources, we engage external consultants to conduct independent assessments, perform penetration testing, and provide other cybersecurity-related services as needed. In addition, we engage external vendors to review and test key controls within our cybersecurity program.</w:t>
      </w:r>
    </w:p>
    <w:p>
      <w:pPr>
        <w:spacing w:after="0" w:line="13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Cybersecurity awareness training is provided to new employees and annually for current Brady employees, which is designed to educate employees on recognizing information security and cybersecurity concerns, how they can help protect the organization and how to inform the information technology security team of potential incidents. In addition, we implement processes to manage risks associated with our third-party providers, including security assessments prior to engagement and monitoring their compliance with our cybersecurity standards on an ongoing basis.</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Audit Committee of our Board of Directors is responsible for the oversight of risks from cybersecurity threats. Management updates the Audit Committee on a quarterly basis regarding our cybersecurity programs. As part of its oversight responsibilities, the Audit Committee regularly discusses and reviews with management, among other items, Brady’s compliance and cybersecurity programs, and any significant cybersecurity matters and related strategic risk management decisions are escalated to the Board of Directors.</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information technology security team reports to our Chief Information Officer (the “CIO”) and is headed by our Information Technology Director (the “IT Director”). Our CIO is an experienced information technology professional with extensive cybersecurity and information technology risk management experience. The information technology security team regularly informs our CIO, General Counsel and Chief Financial Officer with regard to cybersecurity risks and incidents, and our executive management team evaluates cybersecurity issues quarterly or as needed.</w:t>
      </w:r>
    </w:p>
    <w:p>
      <w:pPr>
        <w:spacing w:after="0" w:line="12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Brady has a detailed incident response plan that provides the process and workflow of communication for escalation of cybersecurity incidents to executive leadership to determine if there is a breach warranting further action. The information</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technology security team, in conjunction with various departments, including finance, corporate communications, legal, regional presidents and the CIO, are charged with reviewing any incident under our materiality framework to assess whether further escalation and reporting is required and if an incident could constitute a material cybersecurity incident.</w:t>
      </w:r>
    </w:p>
    <w:p>
      <w:pPr>
        <w:spacing w:after="0" w:line="12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Although we have not experienced any material cybersecurity incidents to date, cybersecurity threats could materially affect the implementation of our business strategy, results of operations, or financial condition, as further discussed in our risk factors in Part I, Item 1A of this report.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Properties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currently operates 41 manufacturing and distribution facilities across the globe and are split by reporting segment as follows:</w:t>
      </w:r>
    </w:p>
    <w:p>
      <w:pPr>
        <w:spacing w:after="0" w:line="167"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Americas &amp; Asia: </w:t>
      </w:r>
      <w:r>
        <w:rPr>
          <w:rFonts w:ascii="Times New Roman" w:cs="Times New Roman" w:eastAsia="Times New Roman" w:hAnsi="Times New Roman"/>
          <w:sz w:val="18"/>
          <w:szCs w:val="18"/>
          <w:color w:val="auto"/>
        </w:rPr>
        <w:t>Twenty-four manufacturing and distribution facilities are used for our Americas &amp; Asia business. Eight facilities are located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United States; four in China; two each in Brazil, India, and Mexico; and one each in Canada, Japan, Malaysia, Philippines, Singapore, and Thailand.</w:t>
      </w:r>
    </w:p>
    <w:p>
      <w:pPr>
        <w:spacing w:after="0" w:line="101"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Europe &amp; Australia: </w:t>
      </w:r>
      <w:r>
        <w:rPr>
          <w:rFonts w:ascii="Times New Roman" w:cs="Times New Roman" w:eastAsia="Times New Roman" w:hAnsi="Times New Roman"/>
          <w:sz w:val="18"/>
          <w:szCs w:val="18"/>
          <w:color w:val="auto"/>
        </w:rPr>
        <w:t>Seventeen manufacturing and distribution facilities are used for our Europe &amp; Australia business. Four facilities each are located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France and the United Kingdom, two each in Belgium and Australia; and one each in Austria, Germany, Norway, South Africa, and Turkey.</w:t>
      </w:r>
    </w:p>
    <w:p>
      <w:pPr>
        <w:spacing w:after="0" w:line="1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believes that its equipment and facilities are modern, well maintained, and adequate for present needs.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Legal Proceedings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is, and may in the future be, named as a defendant in various legal proceedings and claims that arise in the normal course of business in which claims are asserted against the Company. The Company records a liability for these legal actions when a loss is known or considered probable and the amount can be reasonably estimated. The Company is not currently a party to any material pending legal proceedings in which management believes the ultimate resolution would have a material effect on the Company’s consolidated financial statements.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Mine Safety Disclosures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Market for Registrant’s Common Equity, Related Stockholder Matters and Issuer Purchases of Equity Securities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Market Information</w:t>
      </w:r>
    </w:p>
    <w:p>
      <w:pPr>
        <w:spacing w:after="0" w:line="17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Brady Corporation Class A Nonvoting Common Stock trades on the New York Stock Exchange (“NYSE”) under the symbol BRC. There is no trading market for the Company’s Class B Voting Common Stock.</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Holders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August 31, 2025, there were approximately 1,000 Class A Common Stock shareholders of record and approximately 17,000 beneficial shareholders. There are three Class B Common Stock shareholders.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has historically paid quarterly dividends on outstanding common stock. Before any dividend may be paid on the Class B Common Stock, holders of the Class A Common Stock are entitled to receive an annual, noncumulative cash dividend of $0.01665 per share (subject to adjustment in the event of future stock splits, stock dividends or similar events involving shares of Class A Common Stock). Thereafter, any further dividend in that fiscal year must be paid on all shares of Class A Common Stock and Class B Common Stock on an equal basis. The Company believes that based on its historic dividend practice, this requirement will not impede it in following a similar dividend practice in the future.</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During the two most recent years ended July 31 and for the first quarter of fiscal 2026, the Company declared the following dividends per share on its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 A and Class B Common Stock:</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7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r>
      <w:tr>
        <w:trPr>
          <w:trHeight w:val="211"/>
        </w:trPr>
        <w:tc>
          <w:tcPr>
            <w:tcW w:w="2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1st Qtr</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1st Qtr</w:t>
            </w:r>
          </w:p>
        </w:tc>
        <w:tc>
          <w:tcPr>
            <w:tcW w:w="140" w:type="dxa"/>
            <w:vAlign w:val="bottom"/>
          </w:tcPr>
          <w:p>
            <w:pPr>
              <w:spacing w:after="0"/>
              <w:rPr>
                <w:sz w:val="18"/>
                <w:szCs w:val="18"/>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2nd Qtr</w:t>
            </w:r>
          </w:p>
        </w:tc>
        <w:tc>
          <w:tcPr>
            <w:tcW w:w="160" w:type="dxa"/>
            <w:vAlign w:val="bottom"/>
          </w:tcPr>
          <w:p>
            <w:pPr>
              <w:spacing w:after="0"/>
              <w:rPr>
                <w:sz w:val="18"/>
                <w:szCs w:val="18"/>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3rd Qtr</w:t>
            </w:r>
          </w:p>
        </w:tc>
        <w:tc>
          <w:tcPr>
            <w:tcW w:w="160" w:type="dxa"/>
            <w:vAlign w:val="bottom"/>
          </w:tcPr>
          <w:p>
            <w:pPr>
              <w:spacing w:after="0"/>
              <w:rPr>
                <w:sz w:val="18"/>
                <w:szCs w:val="18"/>
                <w:color w:val="auto"/>
              </w:rPr>
            </w:pPr>
          </w:p>
        </w:tc>
        <w:tc>
          <w:tcPr>
            <w:tcW w:w="76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4th Qtr</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1st Qtr</w:t>
            </w:r>
          </w:p>
        </w:tc>
        <w:tc>
          <w:tcPr>
            <w:tcW w:w="140" w:type="dxa"/>
            <w:vAlign w:val="bottom"/>
          </w:tcPr>
          <w:p>
            <w:pPr>
              <w:spacing w:after="0"/>
              <w:rPr>
                <w:sz w:val="18"/>
                <w:szCs w:val="18"/>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2nd Qtr</w:t>
            </w:r>
          </w:p>
        </w:tc>
        <w:tc>
          <w:tcPr>
            <w:tcW w:w="140" w:type="dxa"/>
            <w:vAlign w:val="bottom"/>
          </w:tcPr>
          <w:p>
            <w:pPr>
              <w:spacing w:after="0"/>
              <w:rPr>
                <w:sz w:val="18"/>
                <w:szCs w:val="18"/>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3rd Qtr</w:t>
            </w:r>
          </w:p>
        </w:tc>
        <w:tc>
          <w:tcPr>
            <w:tcW w:w="140" w:type="dxa"/>
            <w:vAlign w:val="bottom"/>
          </w:tcPr>
          <w:p>
            <w:pPr>
              <w:spacing w:after="0"/>
              <w:rPr>
                <w:sz w:val="18"/>
                <w:szCs w:val="18"/>
                <w:color w:val="auto"/>
              </w:rPr>
            </w:pPr>
          </w:p>
        </w:tc>
        <w:tc>
          <w:tcPr>
            <w:tcW w:w="78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4th Qtr</w:t>
            </w:r>
          </w:p>
        </w:tc>
      </w:tr>
      <w:tr>
        <w:trPr>
          <w:trHeight w:val="211"/>
        </w:trPr>
        <w:tc>
          <w:tcPr>
            <w:tcW w:w="2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Class A</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0.2450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0.2400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0.2400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0.2400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0.2400</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0.2350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0.2350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0.2350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0.2350</w:t>
            </w:r>
          </w:p>
        </w:tc>
      </w:tr>
      <w:tr>
        <w:trPr>
          <w:trHeight w:val="210"/>
        </w:trPr>
        <w:tc>
          <w:tcPr>
            <w:tcW w:w="2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Class B</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0.2284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0.2234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0.2400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0.2400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0.2400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0.2184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0.2350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0.2350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0.2350</w:t>
            </w:r>
          </w:p>
        </w:tc>
      </w:tr>
    </w:tbl>
    <w:p>
      <w:pPr>
        <w:spacing w:after="0" w:line="24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maintains a share repurchase program for the Company’s Class A Nonvoting Common Stock. The program may be implemented by purchasing shares in the open market or in privately negotiated transactions, with repurchased shares delivered to treasury and available for use in connection with the Company’s stock-based plans and for other corporate purposes. On September 4, 2024, the Company's Board of Directors authorized an increase in the Company's share repurchase program, authorizing the repurchase of an additional $100.0 million of the Company's Class A Nonvoting Common Stock, with no expiration date associated with the authorization. As of July 31, 2025, there were $87.0 million worth of shares authorized to purchase remaining pursuant to this share repurchase program.</w:t>
      </w:r>
    </w:p>
    <w:p>
      <w:pPr>
        <w:spacing w:after="0" w:line="13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with respect to the purchases by the Company of Class A Nonvoting Common Stock during the three months ended July 31, 2025:</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Total Number of Shares</w:t>
            </w:r>
          </w:p>
        </w:tc>
        <w:tc>
          <w:tcPr>
            <w:tcW w:w="20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Approximate Dollar Value of</w:t>
            </w:r>
          </w:p>
        </w:tc>
        <w:tc>
          <w:tcPr>
            <w:tcW w:w="0" w:type="dxa"/>
            <w:vAlign w:val="bottom"/>
          </w:tcPr>
          <w:p>
            <w:pPr>
              <w:spacing w:after="0"/>
              <w:rPr>
                <w:sz w:val="1"/>
                <w:szCs w:val="1"/>
                <w:color w:val="auto"/>
              </w:rPr>
            </w:pPr>
          </w:p>
        </w:tc>
      </w:tr>
      <w:tr>
        <w:trPr>
          <w:trHeight w:val="162"/>
        </w:trPr>
        <w:tc>
          <w:tcPr>
            <w:tcW w:w="2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Total Number of Shares</w:t>
            </w:r>
          </w:p>
        </w:tc>
        <w:tc>
          <w:tcPr>
            <w:tcW w:w="180" w:type="dxa"/>
            <w:vAlign w:val="bottom"/>
          </w:tcPr>
          <w:p>
            <w:pPr>
              <w:spacing w:after="0"/>
              <w:rPr>
                <w:sz w:val="14"/>
                <w:szCs w:val="14"/>
                <w:color w:val="auto"/>
              </w:rPr>
            </w:pPr>
          </w:p>
        </w:tc>
        <w:tc>
          <w:tcPr>
            <w:tcW w:w="19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Average Price Paid per</w:t>
            </w:r>
          </w:p>
        </w:tc>
        <w:tc>
          <w:tcPr>
            <w:tcW w:w="21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tcPr>
          <w:p>
            <w:pPr>
              <w:jc w:val="center"/>
              <w:ind w:right="39"/>
              <w:spacing w:after="0" w:line="162" w:lineRule="exact"/>
              <w:rPr>
                <w:sz w:val="20"/>
                <w:szCs w:val="20"/>
                <w:color w:val="auto"/>
              </w:rPr>
            </w:pPr>
            <w:r>
              <w:rPr>
                <w:rFonts w:ascii="Times New Roman" w:cs="Times New Roman" w:eastAsia="Times New Roman" w:hAnsi="Times New Roman"/>
                <w:sz w:val="16"/>
                <w:szCs w:val="16"/>
                <w:b w:val="1"/>
                <w:bCs w:val="1"/>
                <w:color w:val="auto"/>
              </w:rPr>
              <w:t>Shares that May Yet Be</w:t>
            </w:r>
          </w:p>
        </w:tc>
        <w:tc>
          <w:tcPr>
            <w:tcW w:w="0" w:type="dxa"/>
            <w:vAlign w:val="bottom"/>
          </w:tcPr>
          <w:p>
            <w:pPr>
              <w:spacing w:after="0"/>
              <w:rPr>
                <w:sz w:val="1"/>
                <w:szCs w:val="1"/>
                <w:color w:val="auto"/>
              </w:rPr>
            </w:pPr>
          </w:p>
        </w:tc>
      </w:tr>
      <w:tr>
        <w:trPr>
          <w:trHeight w:val="162"/>
        </w:trPr>
        <w:tc>
          <w:tcPr>
            <w:tcW w:w="2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21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980" w:type="dxa"/>
            <w:vAlign w:val="bottom"/>
            <w:gridSpan w:val="2"/>
            <w:vMerge w:val="continue"/>
          </w:tcPr>
          <w:p>
            <w:pPr>
              <w:spacing w:after="0"/>
              <w:rPr>
                <w:sz w:val="14"/>
                <w:szCs w:val="14"/>
                <w:color w:val="auto"/>
              </w:rPr>
            </w:pPr>
          </w:p>
        </w:tc>
        <w:tc>
          <w:tcPr>
            <w:tcW w:w="218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Purchased as Part of Publicly</w:t>
            </w:r>
          </w:p>
        </w:tc>
        <w:tc>
          <w:tcPr>
            <w:tcW w:w="120" w:type="dxa"/>
            <w:vAlign w:val="bottom"/>
          </w:tcPr>
          <w:p>
            <w:pPr>
              <w:spacing w:after="0"/>
              <w:rPr>
                <w:sz w:val="14"/>
                <w:szCs w:val="14"/>
                <w:color w:val="auto"/>
              </w:rPr>
            </w:pPr>
          </w:p>
        </w:tc>
        <w:tc>
          <w:tcPr>
            <w:tcW w:w="1960" w:type="dxa"/>
            <w:vAlign w:val="bottom"/>
          </w:tcPr>
          <w:p>
            <w:pPr>
              <w:jc w:val="center"/>
              <w:ind w:right="19"/>
              <w:spacing w:after="0" w:line="162" w:lineRule="exact"/>
              <w:rPr>
                <w:sz w:val="20"/>
                <w:szCs w:val="20"/>
                <w:color w:val="auto"/>
              </w:rPr>
            </w:pPr>
            <w:r>
              <w:rPr>
                <w:rFonts w:ascii="Times New Roman" w:cs="Times New Roman" w:eastAsia="Times New Roman" w:hAnsi="Times New Roman"/>
                <w:sz w:val="16"/>
                <w:szCs w:val="16"/>
                <w:b w:val="1"/>
                <w:bCs w:val="1"/>
                <w:color w:val="auto"/>
              </w:rPr>
              <w:t>Purchased Under the Plan</w:t>
            </w:r>
          </w:p>
        </w:tc>
        <w:tc>
          <w:tcPr>
            <w:tcW w:w="0" w:type="dxa"/>
            <w:vAlign w:val="bottom"/>
          </w:tcPr>
          <w:p>
            <w:pPr>
              <w:spacing w:after="0"/>
              <w:rPr>
                <w:sz w:val="1"/>
                <w:szCs w:val="1"/>
                <w:color w:val="auto"/>
              </w:rPr>
            </w:pPr>
          </w:p>
        </w:tc>
      </w:tr>
      <w:tr>
        <w:trPr>
          <w:trHeight w:val="214"/>
        </w:trPr>
        <w:tc>
          <w:tcPr>
            <w:tcW w:w="2660" w:type="dxa"/>
            <w:vAlign w:val="bottom"/>
            <w:gridSpan w:val="2"/>
            <w:vMerge w:val="continue"/>
          </w:tcPr>
          <w:p>
            <w:pPr>
              <w:spacing w:after="0"/>
              <w:rPr>
                <w:sz w:val="18"/>
                <w:szCs w:val="18"/>
                <w:color w:val="auto"/>
              </w:rPr>
            </w:pPr>
          </w:p>
        </w:tc>
        <w:tc>
          <w:tcPr>
            <w:tcW w:w="21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Purchased</w:t>
            </w:r>
          </w:p>
        </w:tc>
        <w:tc>
          <w:tcPr>
            <w:tcW w:w="180" w:type="dxa"/>
            <w:vAlign w:val="bottom"/>
          </w:tcPr>
          <w:p>
            <w:pPr>
              <w:spacing w:after="0"/>
              <w:rPr>
                <w:sz w:val="18"/>
                <w:szCs w:val="18"/>
                <w:color w:val="auto"/>
              </w:rPr>
            </w:pPr>
          </w:p>
        </w:tc>
        <w:tc>
          <w:tcPr>
            <w:tcW w:w="19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Share</w:t>
            </w:r>
          </w:p>
        </w:tc>
        <w:tc>
          <w:tcPr>
            <w:tcW w:w="21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Announced Plans</w:t>
            </w:r>
          </w:p>
        </w:tc>
        <w:tc>
          <w:tcPr>
            <w:tcW w:w="120" w:type="dxa"/>
            <w:vAlign w:val="bottom"/>
          </w:tcPr>
          <w:p>
            <w:pPr>
              <w:spacing w:after="0"/>
              <w:rPr>
                <w:sz w:val="18"/>
                <w:szCs w:val="18"/>
                <w:color w:val="auto"/>
              </w:rPr>
            </w:pPr>
          </w:p>
        </w:tc>
        <w:tc>
          <w:tcPr>
            <w:tcW w:w="196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0" w:type="dxa"/>
            <w:vAlign w:val="bottom"/>
          </w:tcPr>
          <w:p>
            <w:pPr>
              <w:spacing w:after="0"/>
              <w:rPr>
                <w:sz w:val="1"/>
                <w:szCs w:val="1"/>
                <w:color w:val="auto"/>
              </w:rPr>
            </w:pPr>
          </w:p>
        </w:tc>
      </w:tr>
      <w:tr>
        <w:trPr>
          <w:trHeight w:val="211"/>
        </w:trPr>
        <w:tc>
          <w:tcPr>
            <w:tcW w:w="2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May 1, 2025 - May 31, 2025</w:t>
            </w:r>
          </w:p>
        </w:tc>
        <w:tc>
          <w:tcPr>
            <w:tcW w:w="80" w:type="dxa"/>
            <w:vAlign w:val="bottom"/>
            <w:tcBorders>
              <w:top w:val="single" w:sz="8" w:color="CCEEFF"/>
            </w:tcBorders>
            <w:shd w:val="clear" w:color="auto" w:fill="CCEEFF"/>
          </w:tcPr>
          <w:p>
            <w:pPr>
              <w:spacing w:after="0"/>
              <w:rPr>
                <w:sz w:val="18"/>
                <w:szCs w:val="18"/>
                <w:color w:val="auto"/>
              </w:rPr>
            </w:pPr>
          </w:p>
        </w:tc>
        <w:tc>
          <w:tcPr>
            <w:tcW w:w="2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29,740</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69.63</w:t>
            </w:r>
          </w:p>
        </w:tc>
        <w:tc>
          <w:tcPr>
            <w:tcW w:w="80" w:type="dxa"/>
            <w:vAlign w:val="bottom"/>
            <w:tcBorders>
              <w:top w:val="single" w:sz="8" w:color="CCEEFF"/>
            </w:tcBorders>
            <w:shd w:val="clear" w:color="auto" w:fill="CCEEFF"/>
          </w:tcPr>
          <w:p>
            <w:pPr>
              <w:spacing w:after="0"/>
              <w:rPr>
                <w:sz w:val="18"/>
                <w:szCs w:val="18"/>
                <w:color w:val="auto"/>
              </w:rPr>
            </w:pPr>
          </w:p>
        </w:tc>
        <w:tc>
          <w:tcPr>
            <w:tcW w:w="2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29,740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102,562</w:t>
            </w:r>
          </w:p>
        </w:tc>
        <w:tc>
          <w:tcPr>
            <w:tcW w:w="0" w:type="dxa"/>
            <w:vAlign w:val="bottom"/>
          </w:tcPr>
          <w:p>
            <w:pPr>
              <w:spacing w:after="0"/>
              <w:rPr>
                <w:sz w:val="1"/>
                <w:szCs w:val="1"/>
                <w:color w:val="auto"/>
              </w:rPr>
            </w:pPr>
          </w:p>
        </w:tc>
      </w:tr>
      <w:tr>
        <w:trPr>
          <w:trHeight w:val="213"/>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June 1, 2025 - June 30, 2025</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140,555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68.39</w:t>
            </w:r>
          </w:p>
        </w:tc>
        <w:tc>
          <w:tcPr>
            <w:tcW w:w="8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140,555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92,950</w:t>
            </w:r>
          </w:p>
        </w:tc>
        <w:tc>
          <w:tcPr>
            <w:tcW w:w="0" w:type="dxa"/>
            <w:vAlign w:val="bottom"/>
          </w:tcPr>
          <w:p>
            <w:pPr>
              <w:spacing w:after="0"/>
              <w:rPr>
                <w:sz w:val="1"/>
                <w:szCs w:val="1"/>
                <w:color w:val="auto"/>
              </w:rPr>
            </w:pPr>
          </w:p>
        </w:tc>
      </w:tr>
      <w:tr>
        <w:trPr>
          <w:trHeight w:val="219"/>
        </w:trPr>
        <w:tc>
          <w:tcPr>
            <w:tcW w:w="2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July 1, 2025 - July 31, 2025</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86,987</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68.97</w:t>
            </w:r>
          </w:p>
        </w:tc>
        <w:tc>
          <w:tcPr>
            <w:tcW w:w="80" w:type="dxa"/>
            <w:vAlign w:val="bottom"/>
            <w:shd w:val="clear" w:color="auto" w:fill="CCEEFF"/>
          </w:tcPr>
          <w:p>
            <w:pPr>
              <w:spacing w:after="0"/>
              <w:rPr>
                <w:sz w:val="19"/>
                <w:szCs w:val="19"/>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86,987</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86,951</w:t>
            </w:r>
          </w:p>
        </w:tc>
        <w:tc>
          <w:tcPr>
            <w:tcW w:w="0" w:type="dxa"/>
            <w:vAlign w:val="bottom"/>
          </w:tcPr>
          <w:p>
            <w:pPr>
              <w:spacing w:after="0"/>
              <w:rPr>
                <w:sz w:val="1"/>
                <w:szCs w:val="1"/>
                <w:color w:val="auto"/>
              </w:rPr>
            </w:pPr>
          </w:p>
        </w:tc>
      </w:tr>
      <w:tr>
        <w:trPr>
          <w:trHeight w:val="207"/>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257,282</w:t>
            </w: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68.73</w:t>
            </w:r>
          </w:p>
        </w:tc>
        <w:tc>
          <w:tcPr>
            <w:tcW w:w="80" w:type="dxa"/>
            <w:vAlign w:val="bottom"/>
          </w:tcPr>
          <w:p>
            <w:pPr>
              <w:spacing w:after="0"/>
              <w:rPr>
                <w:sz w:val="17"/>
                <w:szCs w:val="17"/>
                <w:color w:val="auto"/>
              </w:rPr>
            </w:pP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257,282</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86,951</w:t>
            </w:r>
          </w:p>
        </w:tc>
        <w:tc>
          <w:tcPr>
            <w:tcW w:w="0" w:type="dxa"/>
            <w:vAlign w:val="bottom"/>
          </w:tcPr>
          <w:p>
            <w:pPr>
              <w:spacing w:after="0"/>
              <w:rPr>
                <w:sz w:val="1"/>
                <w:szCs w:val="1"/>
                <w:color w:val="auto"/>
              </w:rPr>
            </w:pPr>
          </w:p>
        </w:tc>
      </w:tr>
      <w:tr>
        <w:trPr>
          <w:trHeight w:val="23"/>
        </w:trPr>
        <w:tc>
          <w:tcPr>
            <w:tcW w:w="2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Common Stock Price Performance Graph</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graph below shows a comparison of the cumulative return over the last five fiscal years had $100 been invested at the close of business on July 31, 2020, in each of Brady Corporation Class A Common Stock, the Standard &amp; Poor’s (“S&amp;P”) 500 Index, the S&amp;P SmallCap 600 Industrials Index, and the Russell 2000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88900</wp:posOffset>
            </wp:positionV>
            <wp:extent cx="5863590" cy="35058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863590" cy="3505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6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2"/>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Brady Corporation</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121.03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107.87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118.55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167.16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166.97</w:t>
            </w:r>
          </w:p>
        </w:tc>
      </w:tr>
      <w:tr>
        <w:trPr>
          <w:trHeight w:val="213"/>
        </w:trPr>
        <w:tc>
          <w:tcPr>
            <w:tcW w:w="3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S&amp;P 500 Index</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136.45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130.11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147.05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179.62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208.95</w:t>
            </w:r>
          </w:p>
        </w:tc>
      </w:tr>
      <w:tr>
        <w:trPr>
          <w:trHeight w:val="219"/>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S&amp;P SmallCap 600 Industrials Index</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151.04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150.74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178.72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225.09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240.03</w:t>
            </w:r>
          </w:p>
        </w:tc>
      </w:tr>
      <w:tr>
        <w:trPr>
          <w:trHeight w:val="210"/>
        </w:trPr>
        <w:tc>
          <w:tcPr>
            <w:tcW w:w="3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Russell 2000 Index</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151.97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130.25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140.55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160.58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159.69</w:t>
            </w:r>
          </w:p>
        </w:tc>
      </w:tr>
    </w:tbl>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Copyright (C) 2025, Standard &amp; Poor’s, Inc. and Russell Investments. All rights reserved.</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[Reserved]</w:t>
      </w:r>
    </w:p>
    <w:p>
      <w:pPr>
        <w:spacing w:after="0" w:line="200" w:lineRule="exact"/>
        <w:rPr>
          <w:sz w:val="20"/>
          <w:szCs w:val="20"/>
          <w:color w:val="auto"/>
        </w:rPr>
      </w:pPr>
    </w:p>
    <w:p>
      <w:pPr>
        <w:spacing w:after="0" w:line="376" w:lineRule="exact"/>
        <w:rPr>
          <w:sz w:val="20"/>
          <w:szCs w:val="20"/>
          <w:color w:val="auto"/>
        </w:rPr>
      </w:pPr>
    </w:p>
    <w:p>
      <w:pPr>
        <w:ind w:right="3980"/>
        <w:spacing w:after="0" w:line="440" w:lineRule="auto"/>
        <w:rPr>
          <w:sz w:val="20"/>
          <w:szCs w:val="20"/>
          <w:color w:val="auto"/>
        </w:rPr>
      </w:pPr>
      <w:r>
        <w:rPr>
          <w:rFonts w:ascii="Times New Roman" w:cs="Times New Roman" w:eastAsia="Times New Roman" w:hAnsi="Times New Roman"/>
          <w:sz w:val="18"/>
          <w:szCs w:val="18"/>
          <w:b w:val="1"/>
          <w:bCs w:val="1"/>
          <w:color w:val="auto"/>
        </w:rPr>
        <w:t xml:space="preserve">Item 7.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Overview</w:t>
      </w:r>
    </w:p>
    <w:p>
      <w:pPr>
        <w:spacing w:after="0" w:line="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Brady Corporation is a global manufacturer and supplier of identification solutions and workplace safety products that identify and protect premises, products and people. The Company is organized and managed on a geographic basis with two reportable segments: Americas &amp; Asia and Europe &amp; Australia.</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should be read in conjunction with our audited consolidated financial statements and the notes to those statements (Item 8) in this Annual Report on Form 10-K. The following discussion is intended to help the reader understand the results of operations and financial condition of the Company for the year ended July 31, 2025 compared to the year ended July 31, 2024.</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 discussion regarding our financial condition and results of operations for fiscal 2024 compared to fiscal 2023 can be found under Item 7 in our Annual Report on Form 10-K for the year ended July 31, 2024, filed with the SEC on September 6, 2024, which is available on the SEC's website at www.sec.gov and our corporate website at www.bradyid.com/corporate/investors and such information is incorporated by reference herein.</w:t>
      </w:r>
    </w:p>
    <w:p>
      <w:pPr>
        <w:spacing w:after="0" w:line="12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References in this Annual Report on Form 10-K to “organic sales” refer to sales calculated in accordance with U.S. GAAP, excluding the impact of foreign currency translation, sales recorded from divested companies up to the first anniversary of their divestiture and sales recorded from acquired companies prior to the first anniversary date of their acquisition. The Company’s organic sales disclosures exclude the effects of foreign currency translation as foreign currency translation is subject to volatility that can obscure underlying business trends. Management believes that the non-GAAP financial measure of organic sales is meaningful to investors as it provides them with useful information to aid in identifying underlying sales trends in our businesses and facilitating comparisons of our sales performance with prior periods.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Macroeconomic Conditions and Trends</w:t>
      </w:r>
    </w:p>
    <w:p>
      <w:pPr>
        <w:spacing w:after="0" w:line="17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operations and financial performance are subject to the risks and uncertainties inherent in the global economic environment, including inflationary pressures, supply chain disruptions, and other macroeconomic challenges. These pressures may impact the Company's business, financial condition and results of operations as the global economic outlook remains uncertain.</w:t>
      </w:r>
    </w:p>
    <w:p>
      <w:pPr>
        <w:spacing w:after="0" w:line="12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recent months, the U.S. government introduced incremental import tariffs on goods imported into the U.S. from numerous countries, triggering reciprocal tariffs and other actions from many countries on goods exported from the U.S. Trade policies of the U.S. and other countries, including China, are complex and rapidly evolving. Our strategy of manufacturing products near the point of sale reduces our overall exposure to tariffs, though certain sourced inputs and manufactured items remain subject to incremental tariffs. Our business has incurred, and expects to continue to incur, additional costs as it relates to these incremental tariffs for the foreseeable future. The Company has taken and will continue to take action to mitigate inflationary pressures caused by the incremental tariffs through a combination of targeted price increases and surcharges, strategic sourcing adjustments, product portfolio optimization, as well as our ongoing efforts to drive sustainable efficiency gains in our operations and administrative structures.</w:t>
      </w:r>
    </w:p>
    <w:p>
      <w:pPr>
        <w:spacing w:after="0" w:line="13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Notwithstanding the uncertain situation relating to tariffs, we believe our financial strength positions us well to continue investing in acquisitions and organic growth opportunities, such as expanded sales channels, marketing programs, and research and development (“R&amp;D”). We remain focused on driving sustainable efficiency gains and automation across our operations and selling, general and administrative (“SG&amp;A”) functions, while also returning capital to our shareholders through dividends and share repurchases. At July 31, 2025, we had cash of $174.3 million, as well as a credit agreement with $198.1 million available for future borrowing, which can be increased up to $1,093.1 million at the Company's option and subject to certain conditions, for total available liquidity of $1,267.4 million.</w:t>
      </w:r>
    </w:p>
    <w:p>
      <w:pPr>
        <w:spacing w:after="0" w:line="13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believe that our financial resources and liquidity levels, including the undrawn portion of our credit agreement and our ability to increase that credit line as necessary, are sufficient to support the execution of our growth strategy and to manage the impact of economic or geopolitical events that could potentially reduce sales, net income, or cash provided by operating activities. Refer to Risk Factors, included in Part I, Item 1A of this Annual Report on Form 10-K for the year ended July 31, 2025, for further discussion of the possible impact of global economic or geopolitical events on our business.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Results of Operations</w:t>
      </w:r>
    </w:p>
    <w:p>
      <w:pPr>
        <w:spacing w:after="0" w:line="17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comparability of the operating results for the year ended July 31, 2025 to the year ended July 31, 2024 has been impacted by the acquisitions of Gravotech Holding (“Gravotech”) on August 1, 2024, American Barcode and RFID Incorporated (“AB&amp;R”) on October 1, 2024 and the Microfluidic Solutions business unit of Funai Electric Co., Ltd. (“Microfluidic Solutions”) on April 1, 2025. The operating results of Gravotech, AB&amp;R and Microfluidic Solutions have been included since their acquisition dates. Gravotech has been included in both reportable segments, and AB&amp;R and Microfluidic Solutions have been included in the Americas &amp; Asia reportable segment. The comparability of the operating results for the Americas &amp; Asia segment has also been impacted by the divestiture of two non-core businesses, one in March 2023 and another in October 2023.</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comparison of results of operating income for the years ended July 31, 2025, 2024, and 2023 is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3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340" w:type="dxa"/>
            <w:vAlign w:val="bottom"/>
          </w:tcPr>
          <w:p>
            <w:pPr>
              <w:spacing w:after="0"/>
              <w:rPr>
                <w:sz w:val="18"/>
                <w:szCs w:val="18"/>
                <w:color w:val="auto"/>
              </w:rPr>
            </w:pPr>
          </w:p>
        </w:tc>
        <w:tc>
          <w:tcPr>
            <w:tcW w:w="1180" w:type="dxa"/>
            <w:vAlign w:val="bottom"/>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1340" w:type="dxa"/>
            <w:vAlign w:val="bottom"/>
            <w:gridSpan w:val="3"/>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 Sales</w:t>
            </w:r>
          </w:p>
        </w:tc>
        <w:tc>
          <w:tcPr>
            <w:tcW w:w="1180" w:type="dxa"/>
            <w:vAlign w:val="bottom"/>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1360" w:type="dxa"/>
            <w:vAlign w:val="bottom"/>
            <w:gridSpan w:val="3"/>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 Sales</w:t>
            </w:r>
          </w:p>
        </w:tc>
        <w:tc>
          <w:tcPr>
            <w:tcW w:w="1180" w:type="dxa"/>
            <w:vAlign w:val="bottom"/>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92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 Sales</w:t>
            </w:r>
          </w:p>
        </w:tc>
      </w:tr>
      <w:tr>
        <w:trPr>
          <w:trHeight w:val="213"/>
        </w:trPr>
        <w:tc>
          <w:tcPr>
            <w:tcW w:w="3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1,513,605</w:t>
            </w: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1,341,393</w:t>
            </w: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1,331,863</w:t>
            </w: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r>
      <w:tr>
        <w:trPr>
          <w:trHeight w:val="214"/>
        </w:trPr>
        <w:tc>
          <w:tcPr>
            <w:tcW w:w="33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Gross margin</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760,822</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687,884</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51.3 %</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657,275</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49.4 %</w:t>
            </w:r>
          </w:p>
        </w:tc>
      </w:tr>
      <w:tr>
        <w:trPr>
          <w:trHeight w:val="218"/>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3"/>
        </w:trPr>
        <w:tc>
          <w:tcPr>
            <w:tcW w:w="33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79,889</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67,748</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5.1 %</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61,365</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4.6 %</w:t>
            </w:r>
          </w:p>
        </w:tc>
      </w:tr>
      <w:tr>
        <w:trPr>
          <w:trHeight w:val="219"/>
        </w:trPr>
        <w:tc>
          <w:tcPr>
            <w:tcW w:w="3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444,295</w:t>
            </w: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29.4 %</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376,722</w:t>
            </w: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28.1 %</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370,697</w:t>
            </w:r>
          </w:p>
        </w:tc>
        <w:tc>
          <w:tcPr>
            <w:tcW w:w="1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27.8 %</w:t>
            </w:r>
          </w:p>
        </w:tc>
      </w:tr>
      <w:tr>
        <w:trPr>
          <w:trHeight w:val="207"/>
        </w:trPr>
        <w:tc>
          <w:tcPr>
            <w:tcW w:w="3380" w:type="dxa"/>
            <w:vAlign w:val="bottom"/>
            <w:tcBorders>
              <w:bottom w:val="single" w:sz="8" w:color="CCEEFF"/>
            </w:tcBorders>
          </w:tcPr>
          <w:p>
            <w:pPr>
              <w:ind w:left="58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524,184</w:t>
            </w:r>
          </w:p>
        </w:tc>
        <w:tc>
          <w:tcPr>
            <w:tcW w:w="1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34.6 %</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444,470</w:t>
            </w:r>
          </w:p>
        </w:tc>
        <w:tc>
          <w:tcPr>
            <w:tcW w:w="1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33.1 %</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432,062</w:t>
            </w:r>
          </w:p>
        </w:tc>
        <w:tc>
          <w:tcPr>
            <w:tcW w:w="10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32.4 %</w:t>
            </w:r>
          </w:p>
        </w:tc>
      </w:tr>
      <w:tr>
        <w:trPr>
          <w:trHeight w:val="234"/>
        </w:trPr>
        <w:tc>
          <w:tcPr>
            <w:tcW w:w="3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236,638</w:t>
            </w: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15.6 %</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243,414</w:t>
            </w: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18.1 %</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225,213</w:t>
            </w: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16.9 %</w:t>
            </w: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sales increased 12.8% to $1,513.6 million in fiscal 2025 compared to $1,341.4 million in fiscal 2024, which consisted of organic sales growth of 2.6% and sales growth from acquisitions of 10.5%, which was partially offset by a decrease of 0.3% due to divestitures. Organic sales grew 4.8% in the Americas &amp; Asia segment, while organic sales declined 1.8% in the Europe &amp; Australia segment.</w:t>
      </w:r>
    </w:p>
    <w:p>
      <w:pPr>
        <w:spacing w:after="0" w:line="12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Gross margin increased 10.6% to $760.8 million in fiscal 2025 compared to $687.9 million in fiscal 2024. As a percentage of net sales, gross margin decreased to 50.3% in fiscal 2025 from 51.3% in fiscal 2024. The decrease in gross margin as a percentage of net sales was primarily due to a non-recurring increase in cost of goods sold of $4.1 million related to the fair value adjustment to inventory from acquisitions, facility closure and other reorganization costs of $4.9 million, as well as the impact of incremental tariffs, which were partially offset by organic sales growth in higher gross margin product lines.</w:t>
      </w:r>
    </w:p>
    <w:p>
      <w:pPr>
        <w:spacing w:after="0" w:line="1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R&amp;D expenses increased 17.9% to $79.9 million in fiscal 2025 compared to $67.7 million in fiscal 2024. As a percentage of net sales, R&amp;D expenses increased to 5.3% in fiscal 2025 compared to 5.1% in fiscal 2024. The increase in R&amp;D spending in fiscal 2025 was primarily due to the acquisition of Gravotech, and, to a lesser extent, an increase in R&amp;D headcount within the Company's organic business. The Company remains committed to investing in new innovative product development to drive long-term organic sales growth. Investments in new printing systems, pressure sensitive materials, scanners and software are the primary focus of R&amp;D expenditures in fiscal 2026.</w:t>
      </w:r>
    </w:p>
    <w:p>
      <w:pPr>
        <w:spacing w:after="0" w:line="1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SG&amp;A expenses include selling and administrative costs directly attributed to the Americas &amp; Asia and Europe &amp; Australia segments, as well as certain other corporate administrative expenses including finance, information technology, human resources and other administrative expenses. SG&amp;A expenses increased 17.9% to $444.3 million in fiscal 2025 compared to $376.7 million in fiscal 2024. As a percentage of net sales, SG&amp;A expense increased to 29.4% in fiscal 2025 compared to 28.1% in fiscal 2024 primarily due to incremental amortization expense from acquired intangible assets of $9.5 million and facility closure and other reorganization costs of $13.6 million.</w:t>
      </w:r>
    </w:p>
    <w:p>
      <w:pPr>
        <w:spacing w:after="0" w:line="1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Operating income decreased 2.8% to $236.6 million in fiscal 2025 compared to $243.4 million in fiscal 2024. As a percentage of sales, operating income decreased to 15.6% in fiscal 2025 compared to 18.1% in fiscal 2024. The decrease in operating income in fiscal 2025 was primarily due to facility closure and other reorganization costs, incremental amortization expense related to acquired businesses, and the fair value adjustment to inventory from acquisitions.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 TO NET INCOME</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reconciliation of operating income to net income for the years ended July 31:</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5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240" w:type="dxa"/>
            <w:vAlign w:val="bottom"/>
          </w:tcPr>
          <w:p>
            <w:pPr>
              <w:spacing w:after="0"/>
              <w:rPr>
                <w:sz w:val="18"/>
                <w:szCs w:val="18"/>
                <w:color w:val="auto"/>
              </w:rPr>
            </w:pPr>
          </w:p>
        </w:tc>
        <w:tc>
          <w:tcPr>
            <w:tcW w:w="84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108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 Sales</w:t>
            </w:r>
          </w:p>
        </w:tc>
        <w:tc>
          <w:tcPr>
            <w:tcW w:w="240" w:type="dxa"/>
            <w:vAlign w:val="bottom"/>
          </w:tcPr>
          <w:p>
            <w:pPr>
              <w:spacing w:after="0"/>
              <w:rPr>
                <w:sz w:val="18"/>
                <w:szCs w:val="18"/>
                <w:color w:val="auto"/>
              </w:rPr>
            </w:pPr>
          </w:p>
        </w:tc>
        <w:tc>
          <w:tcPr>
            <w:tcW w:w="84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108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 Sales</w:t>
            </w:r>
          </w:p>
        </w:tc>
        <w:tc>
          <w:tcPr>
            <w:tcW w:w="240" w:type="dxa"/>
            <w:vAlign w:val="bottom"/>
          </w:tcPr>
          <w:p>
            <w:pPr>
              <w:spacing w:after="0"/>
              <w:rPr>
                <w:sz w:val="18"/>
                <w:szCs w:val="18"/>
                <w:color w:val="auto"/>
              </w:rPr>
            </w:pPr>
          </w:p>
        </w:tc>
        <w:tc>
          <w:tcPr>
            <w:tcW w:w="84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98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 Sales</w:t>
            </w:r>
          </w:p>
        </w:tc>
      </w:tr>
      <w:tr>
        <w:trPr>
          <w:trHeight w:val="212"/>
        </w:trPr>
        <w:tc>
          <w:tcPr>
            <w:tcW w:w="4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236,638</w:t>
            </w: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15.6 %</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243,414</w:t>
            </w:r>
          </w:p>
        </w:tc>
        <w:tc>
          <w:tcPr>
            <w:tcW w:w="1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18.1 %</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225,213</w:t>
            </w:r>
          </w:p>
        </w:tc>
        <w:tc>
          <w:tcPr>
            <w:tcW w:w="1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16.9 %</w:t>
            </w:r>
          </w:p>
        </w:tc>
      </w:tr>
      <w:tr>
        <w:trPr>
          <w:trHeight w:val="213"/>
        </w:trPr>
        <w:tc>
          <w:tcPr>
            <w:tcW w:w="4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9"/>
        </w:trPr>
        <w:tc>
          <w:tcPr>
            <w:tcW w:w="45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Investment and other income</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5,206</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7,553</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4,022</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0.3 %</w:t>
            </w:r>
          </w:p>
        </w:tc>
      </w:tr>
      <w:tr>
        <w:trPr>
          <w:trHeight w:val="213"/>
        </w:trPr>
        <w:tc>
          <w:tcPr>
            <w:tcW w:w="452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6"/>
                <w:szCs w:val="16"/>
                <w:color w:val="auto"/>
              </w:rPr>
              <w:t>Interest expense</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(4,747)</w:t>
            </w: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(3,126)</w:t>
            </w:r>
          </w:p>
        </w:tc>
        <w:tc>
          <w:tcPr>
            <w:tcW w:w="12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(3,539)</w:t>
            </w:r>
          </w:p>
        </w:tc>
        <w:tc>
          <w:tcPr>
            <w:tcW w:w="12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w:t>
            </w:r>
          </w:p>
        </w:tc>
      </w:tr>
      <w:tr>
        <w:trPr>
          <w:trHeight w:val="212"/>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237,097</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247,841</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18.5 %</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225,696</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16.9 %</w:t>
            </w:r>
          </w:p>
        </w:tc>
      </w:tr>
      <w:tr>
        <w:trPr>
          <w:trHeight w:val="213"/>
        </w:trPr>
        <w:tc>
          <w:tcPr>
            <w:tcW w:w="4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47,841</w:t>
            </w: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3.2 %</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50,626</w:t>
            </w:r>
          </w:p>
        </w:tc>
        <w:tc>
          <w:tcPr>
            <w:tcW w:w="12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3.8 %</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50,839</w:t>
            </w:r>
          </w:p>
        </w:tc>
        <w:tc>
          <w:tcPr>
            <w:tcW w:w="12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3.8 %</w:t>
            </w:r>
          </w:p>
        </w:tc>
      </w:tr>
      <w:tr>
        <w:trPr>
          <w:trHeight w:val="237"/>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189,256</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12.5 %</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197,215</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14.7 %</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174,857</w:t>
            </w: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13.1 %</w:t>
            </w: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Investment and other income was $5.2 million in fiscal 2025 compared to $7.6 million in fiscal 2024. The decrease in investment and other income in fiscal 2025 was primarily due to a decrease in interest income resulting from a reduced cash balance and lower interest rates.</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Interest expense increased to $4.7 million in fiscal 2025 compared to $3.1 million in fiscal 2024. The increase in interest expense in fiscal 2025 was primarily due to an increase in outstanding borrowings on the Company's credit agreement to fund acquisitions, which was partially offset by a decrease in the weighted average interest rate compared to fiscal 2024.</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income tax rate was 20.2% in fiscal 2025 compared to 20.4% in fiscal 2024. Refer to Item 8, Note 11, “Income Taxes” for additional information on the Company's income tax rates.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Segment Operating Results</w:t>
      </w:r>
    </w:p>
    <w:p>
      <w:pPr>
        <w:spacing w:after="0" w:line="17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evaluates short-term segment performance based on segment profit and customer sales. Interest expense, investment and other income, income tax expense, and certain corporate administrative expenses are excluded when evaluating segment performance.</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summary of segment information for the years ended July 31:</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800" w:type="dxa"/>
            <w:vAlign w:val="bottom"/>
            <w:gridSpan w:val="2"/>
          </w:tcPr>
          <w:p>
            <w:pPr>
              <w:ind w:left="7460"/>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4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9"/>
        </w:trPr>
        <w:tc>
          <w:tcPr>
            <w:tcW w:w="6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SALES GROWTH INFORMATION</w:t>
            </w:r>
          </w:p>
        </w:tc>
        <w:tc>
          <w:tcPr>
            <w:tcW w:w="8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r>
      <w:tr>
        <w:trPr>
          <w:trHeight w:val="215"/>
        </w:trPr>
        <w:tc>
          <w:tcPr>
            <w:tcW w:w="78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Americas &amp; Asia</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7"/>
        </w:trPr>
        <w:tc>
          <w:tcPr>
            <w:tcW w:w="78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Organic</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4.8 %</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3.1 %</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4.4 %</w:t>
            </w:r>
          </w:p>
        </w:tc>
      </w:tr>
      <w:tr>
        <w:trPr>
          <w:trHeight w:val="213"/>
        </w:trPr>
        <w:tc>
          <w:tcPr>
            <w:tcW w:w="780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Acquisitions</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8.3 %</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19"/>
        </w:trPr>
        <w:tc>
          <w:tcPr>
            <w:tcW w:w="78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Currency</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r>
      <w:tr>
        <w:trPr>
          <w:trHeight w:val="213"/>
        </w:trPr>
        <w:tc>
          <w:tcPr>
            <w:tcW w:w="780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Divestiture</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r>
      <w:tr>
        <w:trPr>
          <w:trHeight w:val="212"/>
        </w:trPr>
        <w:tc>
          <w:tcPr>
            <w:tcW w:w="694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86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12.1 %</w:t>
            </w:r>
          </w:p>
        </w:tc>
        <w:tc>
          <w:tcPr>
            <w:tcW w:w="1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3.2 %</w:t>
            </w:r>
          </w:p>
        </w:tc>
      </w:tr>
      <w:tr>
        <w:trPr>
          <w:trHeight w:val="195"/>
        </w:trPr>
        <w:tc>
          <w:tcPr>
            <w:tcW w:w="6940" w:type="dxa"/>
            <w:vAlign w:val="bottom"/>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Europe &amp; Australia</w:t>
            </w:r>
          </w:p>
        </w:tc>
        <w:tc>
          <w:tcPr>
            <w:tcW w:w="8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17"/>
        </w:trPr>
        <w:tc>
          <w:tcPr>
            <w:tcW w:w="78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Organic</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7.6 %</w:t>
            </w:r>
          </w:p>
        </w:tc>
      </w:tr>
      <w:tr>
        <w:trPr>
          <w:trHeight w:val="213"/>
        </w:trPr>
        <w:tc>
          <w:tcPr>
            <w:tcW w:w="780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Acquisitions</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14.7 %</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19"/>
        </w:trPr>
        <w:tc>
          <w:tcPr>
            <w:tcW w:w="78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Currency</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r>
      <w:tr>
        <w:trPr>
          <w:trHeight w:val="207"/>
        </w:trPr>
        <w:tc>
          <w:tcPr>
            <w:tcW w:w="69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86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14.3 %</w:t>
            </w:r>
          </w:p>
        </w:tc>
        <w:tc>
          <w:tcPr>
            <w:tcW w:w="100" w:type="dxa"/>
            <w:vAlign w:val="bottom"/>
            <w:tcBorders>
              <w:bottom w:val="single" w:sz="8" w:color="CCEEFF"/>
            </w:tcBorders>
          </w:tcPr>
          <w:p>
            <w:pPr>
              <w:spacing w:after="0"/>
              <w:rPr>
                <w:sz w:val="17"/>
                <w:szCs w:val="17"/>
                <w:color w:val="auto"/>
              </w:rPr>
            </w:pPr>
          </w:p>
        </w:tc>
        <w:tc>
          <w:tcPr>
            <w:tcW w:w="86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2.7 %</w:t>
            </w:r>
          </w:p>
        </w:tc>
        <w:tc>
          <w:tcPr>
            <w:tcW w:w="120" w:type="dxa"/>
            <w:vAlign w:val="bottom"/>
            <w:tcBorders>
              <w:bottom w:val="single" w:sz="8" w:color="CCEEFF"/>
            </w:tcBorders>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0.5 %</w:t>
            </w:r>
          </w:p>
        </w:tc>
      </w:tr>
      <w:tr>
        <w:trPr>
          <w:trHeight w:val="199"/>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Total Company</w:t>
            </w: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13"/>
        </w:trPr>
        <w:tc>
          <w:tcPr>
            <w:tcW w:w="780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Organic</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2.6 %</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2.6 %</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5.5 %</w:t>
            </w:r>
          </w:p>
        </w:tc>
      </w:tr>
      <w:tr>
        <w:trPr>
          <w:trHeight w:val="219"/>
        </w:trPr>
        <w:tc>
          <w:tcPr>
            <w:tcW w:w="78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Acquisitions</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10.5 %</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13"/>
        </w:trPr>
        <w:tc>
          <w:tcPr>
            <w:tcW w:w="780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Currency</w:t>
            </w:r>
          </w:p>
        </w:tc>
        <w:tc>
          <w:tcPr>
            <w:tcW w:w="1460" w:type="dxa"/>
            <w:vAlign w:val="bottom"/>
            <w:gridSpan w:val="3"/>
          </w:tcPr>
          <w:p>
            <w:pPr>
              <w:jc w:val="right"/>
              <w:ind w:right="980"/>
              <w:spacing w:after="0"/>
              <w:rPr>
                <w:sz w:val="20"/>
                <w:szCs w:val="20"/>
                <w:color w:val="auto"/>
              </w:rPr>
            </w:pPr>
            <w:r>
              <w:rPr>
                <w:rFonts w:ascii="Times New Roman" w:cs="Times New Roman" w:eastAsia="Times New Roman" w:hAnsi="Times New Roman"/>
                <w:sz w:val="16"/>
                <w:szCs w:val="16"/>
                <w:color w:val="auto"/>
              </w:rPr>
              <w:t>— %</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0.2 %</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219"/>
        </w:trPr>
        <w:tc>
          <w:tcPr>
            <w:tcW w:w="78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Divestiture</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207"/>
        </w:trPr>
        <w:tc>
          <w:tcPr>
            <w:tcW w:w="69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86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12.8 %</w:t>
            </w:r>
          </w:p>
        </w:tc>
        <w:tc>
          <w:tcPr>
            <w:tcW w:w="100" w:type="dxa"/>
            <w:vAlign w:val="bottom"/>
            <w:tcBorders>
              <w:bottom w:val="single" w:sz="8" w:color="CCEEFF"/>
            </w:tcBorders>
          </w:tcPr>
          <w:p>
            <w:pPr>
              <w:spacing w:after="0"/>
              <w:rPr>
                <w:sz w:val="17"/>
                <w:szCs w:val="17"/>
                <w:color w:val="auto"/>
              </w:rPr>
            </w:pPr>
          </w:p>
        </w:tc>
        <w:tc>
          <w:tcPr>
            <w:tcW w:w="86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0.7 %</w:t>
            </w:r>
          </w:p>
        </w:tc>
        <w:tc>
          <w:tcPr>
            <w:tcW w:w="120" w:type="dxa"/>
            <w:vAlign w:val="bottom"/>
            <w:tcBorders>
              <w:bottom w:val="single" w:sz="8" w:color="CCEEFF"/>
            </w:tcBorders>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2.3 %</w:t>
            </w:r>
          </w:p>
        </w:tc>
      </w:tr>
      <w:tr>
        <w:trPr>
          <w:trHeight w:val="199"/>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SEGMENT PROFIT AS A PERCENT OF NET SALES</w:t>
            </w: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13"/>
        </w:trPr>
        <w:tc>
          <w:tcPr>
            <w:tcW w:w="780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Americas &amp; Asia</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21.1 %</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22.2 %</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20.3 %</w:t>
            </w:r>
          </w:p>
        </w:tc>
      </w:tr>
      <w:tr>
        <w:trPr>
          <w:trHeight w:val="219"/>
        </w:trPr>
        <w:tc>
          <w:tcPr>
            <w:tcW w:w="78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Europe &amp; Australia</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11.0 %</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15.5 %</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14.8 %</w:t>
            </w:r>
          </w:p>
        </w:tc>
      </w:tr>
      <w:tr>
        <w:trPr>
          <w:trHeight w:val="207"/>
        </w:trPr>
        <w:tc>
          <w:tcPr>
            <w:tcW w:w="6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86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17.6 %</w:t>
            </w:r>
          </w:p>
        </w:tc>
        <w:tc>
          <w:tcPr>
            <w:tcW w:w="100" w:type="dxa"/>
            <w:vAlign w:val="bottom"/>
          </w:tcPr>
          <w:p>
            <w:pPr>
              <w:spacing w:after="0"/>
              <w:rPr>
                <w:sz w:val="17"/>
                <w:szCs w:val="17"/>
                <w:color w:val="auto"/>
              </w:rPr>
            </w:pPr>
          </w:p>
        </w:tc>
        <w:tc>
          <w:tcPr>
            <w:tcW w:w="86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19.9 %</w:t>
            </w:r>
          </w:p>
        </w:tc>
        <w:tc>
          <w:tcPr>
            <w:tcW w:w="120" w:type="dxa"/>
            <w:vAlign w:val="bottom"/>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18.5 %</w:t>
            </w:r>
          </w:p>
        </w:tc>
      </w:tr>
      <w:tr>
        <w:trPr>
          <w:trHeight w:val="23"/>
        </w:trPr>
        <w:tc>
          <w:tcPr>
            <w:tcW w:w="69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Americas &amp; Asia</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Americas &amp; Asia net sales increased 12.1% to $993.7 million in fiscal 2025 compared to $886.5 million in fiscal 2024, which consisted of organic sales growth of 4.8% and sales growth from acquisitions of 8.3%, which were partially offset by a decrease from foreign currency translation of 0.6% and a decrease due to a divestiture of 0.4%. Organic sales growth reflected strong execution of our commercial strategies, supported by steady industrial demand in North America, continued expansion in key end markets across Latin America, and resilient demand in Asia despite mixed economic conditions in certain countries.</w:t>
      </w:r>
    </w:p>
    <w:p>
      <w:pPr>
        <w:spacing w:after="0" w:line="1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Organic sales in the Americas increased in the low-single digits in fiscal 2025. The increase in organic sales was primarily due to growth in the wire identification, safety and facility identification and product identification product lines, which was partially offset by a decline in the people identification and healthcare identification product lines.</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Organic sales in Asia increased approximately 13% in fiscal 2025. The organic sales increase was primarily driven by higher demand from electronics manufacturing services providers, technology companies, and industrial suppliers across Japan, India, Malaysia and Singapore. This growth was partially offset by lower volumes in China.</w:t>
      </w:r>
    </w:p>
    <w:p>
      <w:pPr>
        <w:spacing w:after="0" w:line="12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Segment profit increased 6.6% to $209.8 million in fiscal 2025 from $196.8 million in fiscal 2024. As a percent of net sales, segment profit decreased to 21.1% in fiscal 2025 from 22.2% in fiscal 2024. The increase in segment profit was primarily due to increased profit from organic sales growth, which was partially offset by facility closure and other reorganization costs and incremental amortization expense related to acquired businesses. The decrease in segment profit as a percentage of sales was primarily due to costs associated with the closure of two facilities, incremental amortization from acquired businesses and purchase accounting adjustments, which was partially offset by increased profit from organic sales growth.</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Europe &amp; Australia</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Europe &amp; Australia sales increased 14.3% to $519.9 million in fiscal 2025 compared to $454.9 million in fiscal 2024. The increase consisted of sales growth from acquisitions of 14.7% and an increase from foreign currency translation of 1.4%, which was partially offset by an organic sales decline of 1.8%. Organic sales declined due to softer industrial demand, driven by lower manufacturing output and ongoing economic uncertainty in Europe, particularly the United Kingdom and Germany, and by a weaker growth outlook in Australia. Looking ahead, the Company remains focused on leveraging its capabilities and market presence to drive growth in key markets over the long term.</w:t>
      </w:r>
    </w:p>
    <w:p>
      <w:pPr>
        <w:spacing w:after="0" w:line="1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Organic sales in Europe declined in the low-single digits in fiscal 2025. The decline was driven by the safety and facility identification and people identification product lines, which was partially offset by growth in the wire identification product line. The decline was driven by the United Kingdom and Western Europe Regions, which was partially offset by growth in the Middle East and Nordic Regions.</w:t>
      </w:r>
    </w:p>
    <w:p>
      <w:pPr>
        <w:spacing w:after="0" w:line="12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Organic sales in Australia declined in the mid-single digits in fiscal 2025. The organic sales decline was primarily driven by a decrease in volume in the safety and facility and wire identification product lines.</w:t>
      </w:r>
    </w:p>
    <w:p>
      <w:pPr>
        <w:spacing w:after="0" w:line="10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Segment profit decreased 19.4% to $56.9 million in fiscal 2025 compared to $70.6 million in fiscal 2024. As a percentage of net sales, segment profit decreased to 11.0% in fiscal 2025 compared to 15.5% in fiscal 2024. The decrease in segment profit and segment profit as a percentage of sales was primarily due to incremental amortization from acquired businesses, purchase accounting adjustments and reorganization costs in order to streamline our operating structure.</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Financial Condition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 &amp; Capital Resources</w:t>
      </w:r>
    </w:p>
    <w:p>
      <w:pPr>
        <w:spacing w:after="0" w:line="17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Company's cash balances are generated and held in numerous locations throughout the world. At July 31, 2025, approximately 97% of the Company's cash and cash equivalents were held outside the United States. The Company's organic and inorganic growth has historically been funded by a combination of cash provided by operating activities and debt financing. The Company believes that its cash flow from operating activities and its borrowing capacity are sufficient to fund its anticipated requirements for working capital, capital expenditures, research and development, common stock repurchases, dividend payments, and strategic acquisitions for the next 12 months and beyond. Although the Company believes these sources of cash are currently sufficient to fund domestic operations, annual cash needs could require repatriation of cash to the U.S. from foreign jurisdictions, which may result in additional tax payments.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w:t>
      </w:r>
    </w:p>
    <w:p>
      <w:pPr>
        <w:spacing w:after="0" w:line="17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Cash and cash equivalents were $174.3 million at July 31, 2025, a decrease of $75.8 million from July 31, 2024. The following summarizes the cash flow statement for the years ended July 31:</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flow provided by (used in):</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13"/>
        </w:trPr>
        <w:tc>
          <w:tcPr>
            <w:tcW w:w="76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Operating activities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181,196</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255,074</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209,149</w:t>
            </w:r>
          </w:p>
        </w:tc>
      </w:tr>
      <w:tr>
        <w:trPr>
          <w:trHeight w:val="219"/>
        </w:trPr>
        <w:tc>
          <w:tcPr>
            <w:tcW w:w="7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Investing activities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(171,254)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(81,047)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(11,214)</w:t>
            </w:r>
          </w:p>
        </w:tc>
      </w:tr>
      <w:tr>
        <w:trPr>
          <w:trHeight w:val="213"/>
        </w:trPr>
        <w:tc>
          <w:tcPr>
            <w:tcW w:w="76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Financing activities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(83,871)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(70,528)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(163,568)</w:t>
            </w:r>
          </w:p>
        </w:tc>
      </w:tr>
      <w:tr>
        <w:trPr>
          <w:trHeight w:val="216"/>
        </w:trPr>
        <w:tc>
          <w:tcPr>
            <w:tcW w:w="7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Effect of exchange rate changes on cash</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(1,840)</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(4,913)</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3,096</w:t>
            </w:r>
          </w:p>
        </w:tc>
      </w:tr>
      <w:tr>
        <w:trPr>
          <w:trHeight w:val="212"/>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(decrease) increase in cash and cash equivalents</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(75,769)</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98,586</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37,463</w:t>
            </w:r>
          </w:p>
        </w:tc>
      </w:tr>
      <w:tr>
        <w:trPr>
          <w:trHeight w:val="20"/>
        </w:trPr>
        <w:tc>
          <w:tcPr>
            <w:tcW w:w="7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Net cash provided by operating activities was $181.2 million during fiscal 2025 compared to $255.1 million in fiscal 2024. The decrease in cash provided by operating activities was primarily due to changes in working capital, including inventory growth to maintain high service levels and align with customer needs, higher receivables from strong organic growth in the Americas &amp; Asia segment, and lower payroll-related accruals and accounts payable due to the timing of payments.</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$171.3 million during fiscal 2025, which primarily consisted of the acquisition of businesses of $144.5 million and capital expenditures of $27.6 million. Net cash used in investing activities was $81.0 million in fiscal 2024, which primarily consisted of capital expenditures, which included the purchase of a previously leased facility in Mexico and facility construction costs in Belgium.</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Net cash used in financing activities was $83.9 million during fiscal 2025 compared to $70.5 million in fiscal 2024. The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increase in cash used in financing activities was primarily due to increased net repayments on borrowings on our credit agreement following the funding of acquisitions in fiscal 2025, which was partially offset by a decline in share repurchases compared to the prior year.</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Material Cash Requirements</w:t>
      </w:r>
    </w:p>
    <w:p>
      <w:pPr>
        <w:spacing w:after="0" w:line="17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material cash requirements for known contractual obligations include capital expenditures, borrowings on our credit agreement and lease obligations. We believe that net cash provided by operating activities will continue to be adequate to meet our liquidity and capital needs for these items over the next 12 months and in the long-term beyond the next 12 months. We also have cash requirements for purchase orders and contracts for the purchase of inventory and other goods and services, which are based on current and anticipated customer needs and are fulfilled by our suppliers within short time horizons. We do not have significant agreements for the purchase of inventory or other goods or services specifying minimum order quantities. In addition, we may have liabilities for uncertain tax positions, but we do not believe that the cash requirements to meet any of these liabilities will be material. A discussion of income taxes is contained in Note 11 of the notes to consolidated financial statements.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 and Covenant Compliance</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Refer to Item 8, Note 6, “Debt” for information regarding the Company's credit agreement and covenant compliance.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 and Changing Prices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Essentially all of the Company’s revenue is derived from the sale of its products and services in competitive markets. Because prices are influenced by market conditions, it is not always possible to fully recover cost increases through pricing. Changes in product mix from year to year, timing differences in instituting price changes, and the large amount of custom products make it impracticable to accurately define the impact of inflation on profit margins.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Management’s discussion and analysis of the Company’s financial condition and results of operations are based upon the company’s consolidated financial statements, which have been prepared in accordance with accounting principles generally accepted in the United States. The preparation of these financial statements requires management to make estimates and judgments that affect the reported amounts of assets, liabilities, revenues and expenses, and related disclosure of contingent assets and liabilities. The Company bases these estimates and judgments on historical experience and on various other assumptions that are believed to be reasonable under the circumstances. Actual results may differ from these estimates and judgments.</w:t>
      </w:r>
    </w:p>
    <w:p>
      <w:pPr>
        <w:spacing w:after="0" w:line="1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believes the following accounting estimates are most critical to an understanding of its financial statements. Estimates are considered to be critical if they meet both of the following criteria: (1) the estimate requires assumptions about material matters that are uncertain at the time the accounting estimates are made, and (2) material changes in the estimates are reasonably likely from period to period. For a detailed discussion on the application of these and other accounting estimates, refer to Note 1 to the company’s consolidated financial statements.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operates in numerous taxing jurisdictions and is subject to regular examinations by U.S. federal, state and non-U.S. taxing authorities. Its income tax positions are based on research and interpretations of the income tax laws and rulings in each of the jurisdictions in which the Company does business. Due to the ambiguity of laws and rulings in each jurisdiction, the differences and interplay in tax laws between those jurisdictions, the uncertainty of how underlying facts may be construed and the inherent uncertainty in estimating the final resolution of complex tax audit matters, the Company's estimates of income tax liabilities may differ from actual payments or assessments.</w:t>
      </w:r>
    </w:p>
    <w:p>
      <w:pPr>
        <w:spacing w:after="0" w:line="129"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While the Company has support for the positions it takes on tax returns, taxing authorities may assert different interpretations of laws and facts and may challenge cross-jurisdictional transactions. The Company generally re-evaluates the technical merits of its tax positions and recognizes an uncertain tax benefit when (i) there is completion of a tax audit; (ii) there is a change in applicable tax laws including a tax case ruling or legislative guidance; or</w:t>
      </w:r>
    </w:p>
    <w:p>
      <w:pPr>
        <w:spacing w:after="0" w:line="1" w:lineRule="exact"/>
        <w:rPr>
          <w:sz w:val="20"/>
          <w:szCs w:val="20"/>
          <w:color w:val="auto"/>
        </w:rPr>
      </w:pPr>
    </w:p>
    <w:p>
      <w:pPr>
        <w:jc w:val="both"/>
        <w:ind w:firstLine="8"/>
        <w:spacing w:after="0" w:line="252" w:lineRule="auto"/>
        <w:tabs>
          <w:tab w:leader="none" w:pos="32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an expiration of the statute of limitations. The liability for unrecognized tax benefits, excluding interest and penalties, was $21.8 million and $22.6 million as of July 31, 2025 and 2024, respectively. If recognized, $18.3 million of unrecognized tax benefits would reduce the Company's income tax rate as of both July 31, 2025 and 2024. Accrued interest and penalties related to unrecognized tax benefits were $6.6 million and $6.1 million as of July 31, 2025 and 2024, respectively. The Company recognizes interest and penalties related to unrecognized tax benefits in income tax expense on the consolidated statements of income. The Company believes it is reasonably possible that the amount of gross unrecognized tax benefits could be reduced by up to $3.1 million in</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next 12 months as a result of the resolution of worldwide tax matters, tax audit settlements, amended tax filings, and/or statute expirations, which would be the maximum amount that would be recognized as an income tax benefit in the consolidated statements of income.</w:t>
      </w:r>
    </w:p>
    <w:p>
      <w:pPr>
        <w:spacing w:after="0" w:line="10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recognizes deferred tax assets and liabilities for differences between the financial statement and tax basis of assets and liabilities that will result in taxable or deductible amounts in the future, based on enacted tax laws and rates applicable to the periods in which the differences are expected to affect taxable income. The Company establishes valuation allowances for its deferred tax assets if it is more likely than not that some or all of the deferred tax asset will not be realized. This requires management to make judgments regarding: (i) the timing and amount of the reversal of taxable temporary differences, (ii) expected future taxable income or loss, and (iii) the impact of tax planning strategies. The Company recognized valuation allowances for its deferred tax assets of $82.2 million and $47.2 million as of July 31, 2025 and 2024, respectively, which were primarily related to foreign tax credit carryforwards and net operating loss carryforwards in its various tax jurisdictions.</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Goodwill and Other Intangible Assets</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allocation of purchase price for business combinations requires management estimates and judgment as to expectations for future cash flows of the acquired business and the allocation of those cash flows to identifiable intangible assets in determining the estimated fair value. If the actual results differ from these estimates, it could result in an impairment of intangible assets and goodwill or require acceleration of the amortization expense of finite-lived intangible assets. In addition, goodwill and other indefinite-lived intangible assets must be tested for impairment at least annually. If circumstances or events prior to the date of the required annual assessment indicate that, in management's judgment, it is more likely than not that there has been a reduction of fair value of a reporting unit below its carrying value, the Company performs an impairment analysis at the time of such circumstance or event. Changes in management's estimates or judgments could result in an impairment charge, and such a charge could have an adverse effect on the Company's financial condition and results of operations.</w:t>
      </w:r>
    </w:p>
    <w:p>
      <w:pPr>
        <w:spacing w:after="0" w:line="138"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Company has identified six reporting units within its two reportable segments, Americas &amp; Asia and Europe &amp; Australia, with the following goodwill balances as of July 31, 2025: North America, $494.8 million; Europe, $179.3 million; and Latin America, $2.9 million. The other three identified reporting units each have a goodwill balance of zero. The Company has the option to first assess qualitative factors to determine if it is more likely than not that the fair value of the reporting unit is greater than its respective carrying value. If the qualitative assessment leads to a determination that the fair value of a reporting unit may be less than its carrying value, or if the Company elects to bypass the qualitative assessment altogether, the Company performs a quantitative impairment test by calculating the fair value of the reporting unit and comparing the fair value with its associated carrying value. When the Company performs the quantitative test for goodwill, the Company establishes the fair value for the reporting unit based on the income approach, in which a discounted cash flow model is utilized, the market approach, in which market multiples of comparable companies are utilized, or a combination of both approaches. The income approach requires the use of significant estimates and assumptions, including forecasted sales growth, operating income projections, and discount rates and changes in these assumptions may adversely impact the fair value assessments. The market approach requires significant assumptions related to the selection of comparable publicly traded companies and the market multiples. Significant negative industry or macroeconomic trends, disruptions to the Company's business, loss of significant customers, inability to effectively integrate acquired businesses, unexpected significant changes or planned changes in use of the assets or in entity structure, and divestitures may adversely impact the assumptions used in the valuations.</w:t>
      </w:r>
    </w:p>
    <w:p>
      <w:pPr>
        <w:spacing w:after="0" w:line="13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completes its annual goodwill impairment analysis on May 1 of each fiscal year and evaluates its reporting units for potential triggering events on a quarterly basis in accordance with ASC 350, “Intangibles - Goodwill and Other.” In addition to the metrics listed above, the Company considers multiple internal and external factors when evaluating its reporting units for potential impairment, including (i) GDP growth for the respective geography, (ii) industry and market factors such as competition and changes in the market for the reporting unit's products, (iii) new product development,</w:t>
      </w:r>
    </w:p>
    <w:p>
      <w:pPr>
        <w:spacing w:after="0" w:line="3" w:lineRule="exact"/>
        <w:rPr>
          <w:sz w:val="20"/>
          <w:szCs w:val="20"/>
          <w:color w:val="auto"/>
        </w:rPr>
      </w:pPr>
    </w:p>
    <w:p>
      <w:pPr>
        <w:jc w:val="both"/>
        <w:ind w:firstLine="8"/>
        <w:spacing w:after="0" w:line="253" w:lineRule="auto"/>
        <w:tabs>
          <w:tab w:leader="none" w:pos="32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competing technologies, (v) overall financial performance such as cash flows, actual and planned revenue and profitability, and (vi) changes in the strategy of the reporting unit. In the event the fair value of a reporting unit is less than the carrying value, the Company would recognize an impairment charge for the amount by which the carrying amount of the reporting unit exceeds the fair value. If necessary, the Company may consult valuation specialists to assist with the assessment of the estimated fair value of the reporting unit.</w:t>
      </w:r>
    </w:p>
    <w:p>
      <w:pPr>
        <w:spacing w:after="0" w:line="13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On May 1, 2025, the Company performed the qualitative assessment for all three reporting units with goodwill balances and determined that it was more likely than not that the fair value exceeds the carrying value for each reporting unit, and as such, goodwill was not considered impaired.</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Company uses the acquisition method of accounting to allocate the purchase price of an acquired business to the assets acquired and liabilities assumed based on their estimated fair values at the date of acquisition. The excess of the purchase price over the estimated fair value of assets and liabilities is recorded as goodwill. If the fair value of net assets acquired exceeds the purchase price, the Company records the excess as a bargain purchase gain in earnings after reassessing the estimated values. Assigning fair market values to the assets acquired and liabilities assumed at the date of an acquisition requires knowledge of current market values and the values of assets in use and often requires the application of judgment regarding estimates and assumptions. While the ultimate responsibility resides with management, for material acquisitions, we retain the services of certified valuation specialists to assist with assigning estimated values to certain acquired assets, including intangible assets and significant tangible long-lived assets. The valuation methods used to determine the estimated fair value of intangible assets included the multi-period excess earnings method for customer relationships using customer inputs and contributory charges, and the relief from royalty method for tradenames and technological know-how. Several assumptions and estimates were involved in the application of these valuation methods, including forecasted sales growth, margin, and cash flows attributable to existing customers, obsolescence factor, royalty rate, contributory asset charges, customer attrition rate, tax rates, and discount rates. Tangible long-lived assets are valued using a combination of the income, cost and market value approaches. While we believe expectations and assumptions utilized for historical business combinations have been reasonable, they are inherently uncertain and include significant management judgment.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Standards</w:t>
      </w:r>
    </w:p>
    <w:p>
      <w:pPr>
        <w:spacing w:after="0" w:line="17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provided in Note 1 of the notes to consolidated financial statements contained in Item 8 — Financial Statements and Supplementary Data.</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7A.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business operations give rise to market risk exposure due to changes in foreign exchange rates. To manage that risk effectively, the Company enters into hedging transactions according to established guidelines and policies that enable it to mitigate the adverse effects of this financial market risk.</w:t>
      </w:r>
    </w:p>
    <w:p>
      <w:pPr>
        <w:spacing w:after="0" w:line="12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global nature of the Company’s business requires active participation in the foreign exchange markets. The Company has manufacturing facilities and sells and distributes its products throughout the world and therefore has assets, liabilities and cash flows in currencies other than the U.S. dollar. As a result, the Company’s financial results could be significantly affected by factors such as changes in foreign currency exchange rates or weak macroeconomic conditions in the foreign markets in which the Company manufactures, distributes and sells its products. The Company’s operating results are principally exposed to changes in exchange rates between the U.S. dollar and the Euro, the British Pound, the Mexican Peso, the Canadian dollar, the Australian dollar, the Singapore dollar, the Malaysian Ringgit, and the Chinese Yuan.</w:t>
      </w:r>
    </w:p>
    <w:p>
      <w:pPr>
        <w:spacing w:after="0" w:line="13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objective of the Company’s foreign currency exchange risk management is to minimize the impact of currency movements on non-functional currency transactions. To achieve this objective, the Company hedges a portion of known exposures using forward contracts. As of July 31, 2025, the notional amount of outstanding forward foreign exchange contracts designated as cash flow hedges was $53.5 million. The Company uses Euro-denominated debt of $50.2 million and British Pound-denominated debt of $10.6 million designated as hedge instruments to hedge portions of the Company’s net investment in its Euro-denominated and British Pound-denominated businesses. The Company's multi-currency revolving credit agreement allows it to borrow up to $200 million in currencies other than U.S. dollars. Debt issued in currencies other than U.S. dollars acts as a natural hedge to the Company's exposure to the associated currency.</w:t>
      </w:r>
    </w:p>
    <w:p>
      <w:pPr>
        <w:spacing w:after="0" w:line="13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also faces exchange rate risk from transactions with customers in countries outside the United States and from intercompany transactions between affiliates. Although the Company has a U.S. dollar functional currency for reporting purposes, it has manufacturing sites throughout the world and a significant portion of its sales are generated in foreign currencies. Costs incurred and sales recorded by subsidiaries operating outside of the United States are translated into U.S. dollars using exchange rates in effect during the respective period. As a result, the Company is exposed to movements in the exchange rates of various currencies against the U.S. dollar. In particular, the Company has more sales in European currencies than it has expenses in those currencies. Therefore, when European currencies strengthen or weaken against the U.S. dollar, operating profits are increased or decreased, respectively. In fiscal 2025, the fluctuation in currency exchange rates had a negligible effect on sales; however, the effect was more pronounced in interim periods compared to fiscal 2024 as the U.S. dollar depreciated, on average, against other major currencies throughout the year.</w:t>
      </w:r>
    </w:p>
    <w:p>
      <w:pPr>
        <w:spacing w:after="0" w:line="13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Changes in foreign currency exchange rates for the Company’s foreign subsidiaries reporting in local currencies are generally reported as a component of stockholders’ equity. The Company’s currency translation adjustments recorded during the years ended July 31, 2025, 2024, and 2023, as a separate component of stockholders’ equity, were favorable by $18.2 million, unfavorable by $14.5 million, and favorable by $16.0 million, respectively. As of July 31, 2025 and 2024, the Company’s foreign subsidiaries had net current assets (defined as current assets less current liabilities) subject to foreign currency translation risk of $259.2 million and $324.5 million, respectively. The potential decrease in net current assets as of July 31, 2025, from a hypothetical 10 percent adverse change in quoted foreign currency exchange rates would be approximately $25.9 million. This sensitivity analysis assumes a parallel shift in all major foreign currency exchange rates versus the U.S. dollar. Exchange rates rarely move in the same direction relative to the U.S. dollar due to positive and negative correlations of the various global currencies. This assumption may overstate the impact of changing exchange rates on individual assets and liabilities denominated in a foreign currency.</w:t>
      </w:r>
    </w:p>
    <w:p>
      <w:pPr>
        <w:spacing w:after="0" w:line="13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could be exposed to interest rate risk through its corporate borrowing activities. The objective of the Company’s interest rate risk management activities is to manage the levels of the Company’s fixed and floating interest rate exposure to be consistent with the Company’s preferred mix. The interest rate risk management program allows the Company to enter into approved interest rate derivatives if there is a desire to modify the Company’s exposure to interest rates. As of July 31, 2025, the Company had no interest rate derivatives and no fixed rate debt outstanding.</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8. </w:t>
      </w:r>
      <w:r>
        <w:rPr>
          <w:rFonts w:ascii="Times New Roman" w:cs="Times New Roman" w:eastAsia="Times New Roman" w:hAnsi="Times New Roman"/>
          <w:sz w:val="18"/>
          <w:szCs w:val="18"/>
          <w:b w:val="1"/>
          <w:bCs w:val="1"/>
          <w:i w:val="1"/>
          <w:iCs w:val="1"/>
          <w:color w:val="auto"/>
        </w:rPr>
        <w:t>Financial Statements and Supplementary Data</w:t>
      </w:r>
    </w:p>
    <w:p>
      <w:pPr>
        <w:spacing w:after="0" w:line="171"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BRADY CORPORATION &amp; SUBSIDIARIES</w:t>
      </w:r>
    </w:p>
    <w:p>
      <w:pPr>
        <w:spacing w:after="0" w:line="17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209"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9320" w:type="dxa"/>
            <w:vAlign w:val="bottom"/>
          </w:tcPr>
          <w:p>
            <w:pPr>
              <w:spacing w:after="0"/>
              <w:rPr>
                <w:sz w:val="16"/>
                <w:szCs w:val="16"/>
                <w:color w:val="auto"/>
              </w:rPr>
            </w:pPr>
          </w:p>
        </w:tc>
        <w:tc>
          <w:tcPr>
            <w:tcW w:w="1900" w:type="dxa"/>
            <w:vAlign w:val="bottom"/>
          </w:tcPr>
          <w:p>
            <w:pPr>
              <w:jc w:val="right"/>
              <w:ind w:right="712"/>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932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 (PCAOB ID: 34)</w:t>
            </w: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9320" w:type="dxa"/>
            <w:vAlign w:val="bottom"/>
            <w:vMerge w:val="continue"/>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26</w:t>
            </w:r>
          </w:p>
        </w:tc>
        <w:tc>
          <w:tcPr>
            <w:tcW w:w="0" w:type="dxa"/>
            <w:vAlign w:val="bottom"/>
          </w:tcPr>
          <w:p>
            <w:pPr>
              <w:spacing w:after="0"/>
              <w:rPr>
                <w:sz w:val="1"/>
                <w:szCs w:val="1"/>
                <w:color w:val="auto"/>
              </w:rPr>
            </w:pPr>
          </w:p>
        </w:tc>
      </w:tr>
      <w:tr>
        <w:trPr>
          <w:trHeight w:val="230"/>
        </w:trPr>
        <w:tc>
          <w:tcPr>
            <w:tcW w:w="9320" w:type="dxa"/>
            <w:vAlign w:val="bottom"/>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320" w:type="dxa"/>
            <w:vAlign w:val="bottom"/>
          </w:tcPr>
          <w:p>
            <w:pPr>
              <w:spacing w:after="0"/>
              <w:rPr>
                <w:sz w:val="20"/>
                <w:szCs w:val="20"/>
                <w:color w:val="auto"/>
              </w:rPr>
            </w:pPr>
            <w:r>
              <w:rPr>
                <w:rFonts w:ascii="Times New Roman" w:cs="Times New Roman" w:eastAsia="Times New Roman" w:hAnsi="Times New Roman"/>
                <w:sz w:val="18"/>
                <w:szCs w:val="18"/>
                <w:color w:val="0000FF"/>
              </w:rPr>
              <w:t>Consolidated Balance Sheets — July 31, 2025 and 2024</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28</w:t>
            </w:r>
          </w:p>
        </w:tc>
        <w:tc>
          <w:tcPr>
            <w:tcW w:w="0" w:type="dxa"/>
            <w:vAlign w:val="bottom"/>
          </w:tcPr>
          <w:p>
            <w:pPr>
              <w:spacing w:after="0"/>
              <w:rPr>
                <w:sz w:val="1"/>
                <w:szCs w:val="1"/>
                <w:color w:val="auto"/>
              </w:rPr>
            </w:pPr>
          </w:p>
        </w:tc>
      </w:tr>
      <w:tr>
        <w:trPr>
          <w:trHeight w:val="229"/>
        </w:trPr>
        <w:tc>
          <w:tcPr>
            <w:tcW w:w="9320" w:type="dxa"/>
            <w:vAlign w:val="bottom"/>
          </w:tcPr>
          <w:p>
            <w:pPr>
              <w:spacing w:after="0"/>
              <w:rPr>
                <w:sz w:val="20"/>
                <w:szCs w:val="20"/>
                <w:color w:val="auto"/>
              </w:rPr>
            </w:pPr>
            <w:r>
              <w:rPr>
                <w:rFonts w:ascii="Times New Roman" w:cs="Times New Roman" w:eastAsia="Times New Roman" w:hAnsi="Times New Roman"/>
                <w:sz w:val="18"/>
                <w:szCs w:val="18"/>
                <w:color w:val="0000FF"/>
              </w:rPr>
              <w:t>Consolidated Statements of Income — Years Ended July 31, 2025, 2024, and 2023</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29</w:t>
            </w:r>
          </w:p>
        </w:tc>
        <w:tc>
          <w:tcPr>
            <w:tcW w:w="0" w:type="dxa"/>
            <w:vAlign w:val="bottom"/>
          </w:tcPr>
          <w:p>
            <w:pPr>
              <w:spacing w:after="0"/>
              <w:rPr>
                <w:sz w:val="1"/>
                <w:szCs w:val="1"/>
                <w:color w:val="auto"/>
              </w:rPr>
            </w:pPr>
          </w:p>
        </w:tc>
      </w:tr>
      <w:tr>
        <w:trPr>
          <w:trHeight w:val="230"/>
        </w:trPr>
        <w:tc>
          <w:tcPr>
            <w:tcW w:w="9320" w:type="dxa"/>
            <w:vAlign w:val="bottom"/>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 — Years Ended July 31, 2025, 2024, and 2023</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30</w:t>
            </w:r>
          </w:p>
        </w:tc>
        <w:tc>
          <w:tcPr>
            <w:tcW w:w="0" w:type="dxa"/>
            <w:vAlign w:val="bottom"/>
          </w:tcPr>
          <w:p>
            <w:pPr>
              <w:spacing w:after="0"/>
              <w:rPr>
                <w:sz w:val="1"/>
                <w:szCs w:val="1"/>
                <w:color w:val="auto"/>
              </w:rPr>
            </w:pPr>
          </w:p>
        </w:tc>
      </w:tr>
      <w:tr>
        <w:trPr>
          <w:trHeight w:val="229"/>
        </w:trPr>
        <w:tc>
          <w:tcPr>
            <w:tcW w:w="9320" w:type="dxa"/>
            <w:vAlign w:val="bottom"/>
          </w:tcPr>
          <w:p>
            <w:pPr>
              <w:spacing w:after="0"/>
              <w:rPr>
                <w:sz w:val="20"/>
                <w:szCs w:val="20"/>
                <w:color w:val="auto"/>
              </w:rPr>
            </w:pPr>
            <w:r>
              <w:rPr>
                <w:rFonts w:ascii="Times New Roman" w:cs="Times New Roman" w:eastAsia="Times New Roman" w:hAnsi="Times New Roman"/>
                <w:sz w:val="18"/>
                <w:szCs w:val="18"/>
                <w:color w:val="0000FF"/>
              </w:rPr>
              <w:t>Consolidated Statements of Stockholders' Equity — Years Ended July 31, 2025, 2024, and 2023</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31</w:t>
            </w:r>
          </w:p>
        </w:tc>
        <w:tc>
          <w:tcPr>
            <w:tcW w:w="0" w:type="dxa"/>
            <w:vAlign w:val="bottom"/>
          </w:tcPr>
          <w:p>
            <w:pPr>
              <w:spacing w:after="0"/>
              <w:rPr>
                <w:sz w:val="1"/>
                <w:szCs w:val="1"/>
                <w:color w:val="auto"/>
              </w:rPr>
            </w:pPr>
          </w:p>
        </w:tc>
      </w:tr>
      <w:tr>
        <w:trPr>
          <w:trHeight w:val="230"/>
        </w:trPr>
        <w:tc>
          <w:tcPr>
            <w:tcW w:w="9320" w:type="dxa"/>
            <w:vAlign w:val="bottom"/>
          </w:tcPr>
          <w:p>
            <w:pPr>
              <w:spacing w:after="0"/>
              <w:rPr>
                <w:sz w:val="20"/>
                <w:szCs w:val="20"/>
                <w:color w:val="auto"/>
              </w:rPr>
            </w:pPr>
            <w:r>
              <w:rPr>
                <w:rFonts w:ascii="Times New Roman" w:cs="Times New Roman" w:eastAsia="Times New Roman" w:hAnsi="Times New Roman"/>
                <w:sz w:val="18"/>
                <w:szCs w:val="18"/>
                <w:color w:val="0000FF"/>
              </w:rPr>
              <w:t>Consolidated Statements of Cash Flows — Years Ended July 31, 2025, 2024, and 2023</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32</w:t>
            </w:r>
          </w:p>
        </w:tc>
        <w:tc>
          <w:tcPr>
            <w:tcW w:w="0" w:type="dxa"/>
            <w:vAlign w:val="bottom"/>
          </w:tcPr>
          <w:p>
            <w:pPr>
              <w:spacing w:after="0"/>
              <w:rPr>
                <w:sz w:val="1"/>
                <w:szCs w:val="1"/>
                <w:color w:val="auto"/>
              </w:rPr>
            </w:pPr>
          </w:p>
        </w:tc>
      </w:tr>
      <w:tr>
        <w:trPr>
          <w:trHeight w:val="234"/>
        </w:trPr>
        <w:tc>
          <w:tcPr>
            <w:tcW w:w="9320" w:type="dxa"/>
            <w:vAlign w:val="bottom"/>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 — Years Ended July 31, 2025, 2024, and 2023</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Brady Corporation</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Brady Corporation and subsidiaries (the “Company”) as of July 31, 2025 and 2024, the related consolidated statements of income, comprehensive income, stockholders' equity, and cash flows, for each of the three years in the period ended July 31, 2025, and the related notes and the schedule listed in the Index at Item 15 (collectively referred to as the “financial statements”). In our opinion, the financial statements present fairly, in all material respects, the financial position of the Company as of July 31, 2025 and 2024, and the results of its operations and its cash flows for each of the three years in the period ended July 31, 2025, in conformity with accounting principles generally accepted in the United States of America.</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(PCAOB), the Company's internal control over financial reporting as of July 31, 2025,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September 4, 2025, expressed an unqualified opinion on the Company's internal control over financial reporting.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5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Taxes — Valuation Allowances — Refer to Notes 1 and 11 to the financial statements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recognizes deferred income tax assets and liabilities for the estimated future tax effects attributable to temporary differences and carryforwards. Valuation allowances are established when necessary to reduce deferred tax assets to the amounts expected to be realized in the future. Future realization of deferred tax assets depends on the existence of sufficient taxable income within the carryback or carryforward period of the appropriate character under the relevant tax law. Sources of taxable income include future reversals of deferred tax assets and liabilities, future taxable income (exclusive of the reversals of deferred tax assets and liabilities), taxable income in prior carryback year(s) if permitted under the tax law, and tax planning strategies. The Company’s valuation allowance for deferred tax assets was $82.2 million as of July 31, 2025.</w:t>
      </w:r>
    </w:p>
    <w:p>
      <w:pPr>
        <w:spacing w:after="0" w:line="21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determination of the valuation allowance involves estimates. Management’s primary estimate in determining whether a valuation allowance should be established is the projection of future sources of taxable income. Auditing</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management’s estimate of future sources of taxable income, which affects the recorded valuation allowances, required a high degree of auditor judgment and an increased extent of effort, including the need to involve our income tax specialists.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procedures related to estimated future sources of taxable income included the following, among others:</w:t>
      </w:r>
    </w:p>
    <w:p>
      <w:pPr>
        <w:spacing w:after="0" w:line="252"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management’s controls over the estimates of future sources of taxable income.</w:t>
      </w:r>
    </w:p>
    <w:p>
      <w:pPr>
        <w:spacing w:after="0" w:line="27"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our income tax specialists, we considered relevant tax laws and regulations in evaluating (1) the appropriateness of management’s estimates of future sources of taxable income, including whether the future sources were of the appropriate character, and (2) the appropriateness of the carryforward periods utilized by management.</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management’s ability to accurately estimate future sources of taxable income by comparing actual results to management’s historical estimates. Further, we evaluated the reasonableness of management’s estimates of future sources of taxable income by comparing the estimates to historical sources of taxable income or losses and evaluating whether there have been any changes that would affect management's estimates of future sources of taxable income.</w:t>
      </w:r>
    </w:p>
    <w:p>
      <w:pPr>
        <w:spacing w:after="0" w:line="1" w:lineRule="exact"/>
        <w:rPr>
          <w:rFonts w:ascii="Times New Roman" w:cs="Times New Roman" w:eastAsia="Times New Roman" w:hAnsi="Times New Roman"/>
          <w:sz w:val="18"/>
          <w:szCs w:val="18"/>
          <w:color w:val="auto"/>
        </w:rPr>
      </w:pPr>
    </w:p>
    <w:p>
      <w:pPr>
        <w:ind w:left="660" w:hanging="328"/>
        <w:spacing w:after="0" w:line="260"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management’s assessment that it is more likely than not that sufficient taxable income will be generated in the future to utilize the net deferred tax assets.</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Milwaukee, Wisconsin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4, 2025</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at least since 1981; however, an earlier year cannot be reliably determined.</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BRADY CORPORATION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July 31, 2025 and 2024</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 w:type="dxa"/>
            <w:vAlign w:val="bottom"/>
          </w:tcPr>
          <w:p>
            <w:pPr>
              <w:spacing w:after="0"/>
              <w:rPr>
                <w:sz w:val="18"/>
                <w:szCs w:val="18"/>
                <w:color w:val="auto"/>
              </w:rPr>
            </w:pPr>
          </w:p>
        </w:tc>
        <w:tc>
          <w:tcPr>
            <w:tcW w:w="84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8480" w:type="dxa"/>
            <w:vAlign w:val="bottom"/>
            <w:shd w:val="clear" w:color="auto" w:fill="CCEEFF"/>
          </w:tcPr>
          <w:p>
            <w:pPr>
              <w:ind w:left="394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8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174,349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250,118</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84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Accounts receivable, net of allowance for credit losses of $7,876 and $6,749, respectively</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231,944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185,486</w:t>
            </w: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8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Inventories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200,881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152,729</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84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14,661</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11,382</w:t>
            </w: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84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current assets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621,835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599,715</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plant and equipment—net</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225,572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195,758</w:t>
            </w: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676,945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589,611</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intangible assets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105,374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51,839</w:t>
            </w: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taxes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20,862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15,596</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assets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58,422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38,504</w:t>
            </w: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25,243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24,546</w:t>
            </w: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1,734,253</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1,515,569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4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0" w:type="dxa"/>
            <w:vAlign w:val="bottom"/>
          </w:tcPr>
          <w:p>
            <w:pPr>
              <w:spacing w:after="0"/>
              <w:rPr>
                <w:sz w:val="16"/>
                <w:szCs w:val="16"/>
                <w:color w:val="auto"/>
              </w:rPr>
            </w:pPr>
          </w:p>
        </w:tc>
        <w:tc>
          <w:tcPr>
            <w:tcW w:w="8480" w:type="dxa"/>
            <w:vAlign w:val="bottom"/>
            <w:shd w:val="clear" w:color="auto" w:fill="CCEEFF"/>
          </w:tcPr>
          <w:p>
            <w:pPr>
              <w:ind w:left="248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8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Accounts payable</w:t>
            </w:r>
          </w:p>
        </w:tc>
        <w:tc>
          <w:tcPr>
            <w:tcW w:w="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105,028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84,691</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84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Accrued compensation and benefits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92,657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77,954</w:t>
            </w: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8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Taxes, other than income taxes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21,537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14,061</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84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Accrued income taxes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5,547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7,424</w:t>
            </w: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8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Current operating lease liabilities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15,234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13,382</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84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90,329</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67,170</w:t>
            </w: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84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330,332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264,682</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99,766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90,935</w:t>
            </w: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operating lease liabilities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43,565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25,342</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68,379</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67,952</w:t>
            </w: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84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liabilities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542,042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448,911</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8480" w:type="dxa"/>
            <w:vAlign w:val="bottom"/>
            <w:shd w:val="clear" w:color="auto" w:fill="CCEEFF"/>
          </w:tcPr>
          <w:p>
            <w:pPr>
              <w:ind w:left="340"/>
              <w:spacing w:after="0" w:line="165" w:lineRule="exact"/>
              <w:rPr>
                <w:sz w:val="20"/>
                <w:szCs w:val="20"/>
                <w:color w:val="auto"/>
              </w:rPr>
            </w:pPr>
            <w:r>
              <w:rPr>
                <w:rFonts w:ascii="Times New Roman" w:cs="Times New Roman" w:eastAsia="Times New Roman" w:hAnsi="Times New Roman"/>
                <w:sz w:val="16"/>
                <w:szCs w:val="16"/>
                <w:color w:val="auto"/>
              </w:rPr>
              <w:t>Class A nonvoting common stock — Issued 51,261,487 shares, and outstanding 43,530,012 and 44,042,462 shares,</w:t>
            </w:r>
          </w:p>
        </w:tc>
        <w:tc>
          <w:tcPr>
            <w:tcW w:w="28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8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respectively (aggregate liquidation preference of $42,716)</w:t>
            </w:r>
          </w:p>
        </w:tc>
        <w:tc>
          <w:tcPr>
            <w:tcW w:w="28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84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Class B voting common stock — Issued and outstanding 3,538,628 shares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8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359,269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353,654</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84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Retained earnings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1,317,739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1,174,025</w:t>
            </w: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8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Treasury stock — 7,731,475 and 7,219,025 shares, respectively, of Class A nonvoting common stock, at cost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(393,186)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(351,947)</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84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(92,159)</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(109,622)</w:t>
            </w: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84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1,192,211</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1,066,658</w:t>
            </w: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1,734,253</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1,515,569</w:t>
            </w:r>
          </w:p>
        </w:tc>
        <w:tc>
          <w:tcPr>
            <w:tcW w:w="0" w:type="dxa"/>
            <w:vAlign w:val="bottom"/>
          </w:tcPr>
          <w:p>
            <w:pPr>
              <w:spacing w:after="0"/>
              <w:rPr>
                <w:sz w:val="1"/>
                <w:szCs w:val="1"/>
                <w:color w:val="auto"/>
              </w:rPr>
            </w:pPr>
          </w:p>
        </w:tc>
      </w:tr>
      <w:tr>
        <w:trPr>
          <w:trHeight w:val="26"/>
        </w:trPr>
        <w:tc>
          <w:tcPr>
            <w:tcW w:w="85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See Notes to Consolidated Financial Statements.</w:t>
            </w: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27"/>
        </w:trPr>
        <w:tc>
          <w:tcPr>
            <w:tcW w:w="852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6228715</wp:posOffset>
            </wp:positionH>
            <wp:positionV relativeFrom="paragraph">
              <wp:posOffset>-5481955</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BRADY CORPORATION AND SUBSIDIARIES</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Years Ended July 31, 2025, 2024 and 2023</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(Dollars in thousands, except per share amounts)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00" w:type="dxa"/>
            <w:vAlign w:val="bottom"/>
          </w:tcPr>
          <w:p>
            <w:pPr>
              <w:spacing w:after="0"/>
              <w:rPr>
                <w:sz w:val="18"/>
                <w:szCs w:val="18"/>
                <w:color w:val="auto"/>
              </w:rPr>
            </w:pPr>
          </w:p>
        </w:tc>
        <w:tc>
          <w:tcPr>
            <w:tcW w:w="69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2"/>
        </w:trPr>
        <w:tc>
          <w:tcPr>
            <w:tcW w:w="100" w:type="dxa"/>
            <w:vAlign w:val="bottom"/>
          </w:tcPr>
          <w:p>
            <w:pPr>
              <w:spacing w:after="0"/>
              <w:rPr>
                <w:sz w:val="18"/>
                <w:szCs w:val="18"/>
                <w:color w:val="auto"/>
              </w:rPr>
            </w:pPr>
          </w:p>
        </w:tc>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1,513,605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1,341,393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1,331,863</w:t>
            </w:r>
          </w:p>
        </w:tc>
      </w:tr>
      <w:tr>
        <w:trPr>
          <w:trHeight w:val="213"/>
        </w:trPr>
        <w:tc>
          <w:tcPr>
            <w:tcW w:w="100" w:type="dxa"/>
            <w:vAlign w:val="bottom"/>
          </w:tcPr>
          <w:p>
            <w:pPr>
              <w:spacing w:after="0"/>
              <w:rPr>
                <w:sz w:val="18"/>
                <w:szCs w:val="18"/>
                <w:color w:val="auto"/>
              </w:rPr>
            </w:pPr>
          </w:p>
        </w:tc>
        <w:tc>
          <w:tcPr>
            <w:tcW w:w="6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goods sold</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752,783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653,509</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674,588</w:t>
            </w:r>
          </w:p>
        </w:tc>
      </w:tr>
      <w:tr>
        <w:trPr>
          <w:trHeight w:val="212"/>
        </w:trPr>
        <w:tc>
          <w:tcPr>
            <w:tcW w:w="100" w:type="dxa"/>
            <w:vAlign w:val="bottom"/>
          </w:tcPr>
          <w:p>
            <w:pPr>
              <w:spacing w:after="0"/>
              <w:rPr>
                <w:sz w:val="18"/>
                <w:szCs w:val="18"/>
                <w:color w:val="auto"/>
              </w:rPr>
            </w:pPr>
          </w:p>
        </w:tc>
        <w:tc>
          <w:tcPr>
            <w:tcW w:w="6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Gross margin</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760,822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687,884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657,275</w:t>
            </w:r>
          </w:p>
        </w:tc>
      </w:tr>
      <w:tr>
        <w:trPr>
          <w:trHeight w:val="213"/>
        </w:trPr>
        <w:tc>
          <w:tcPr>
            <w:tcW w:w="100" w:type="dxa"/>
            <w:vAlign w:val="bottom"/>
          </w:tcPr>
          <w:p>
            <w:pPr>
              <w:spacing w:after="0"/>
              <w:rPr>
                <w:sz w:val="18"/>
                <w:szCs w:val="18"/>
                <w:color w:val="auto"/>
              </w:rPr>
            </w:pPr>
          </w:p>
        </w:tc>
        <w:tc>
          <w:tcPr>
            <w:tcW w:w="6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9"/>
        </w:trPr>
        <w:tc>
          <w:tcPr>
            <w:tcW w:w="100" w:type="dxa"/>
            <w:vAlign w:val="bottom"/>
          </w:tcPr>
          <w:p>
            <w:pPr>
              <w:spacing w:after="0"/>
              <w:rPr>
                <w:sz w:val="19"/>
                <w:szCs w:val="19"/>
                <w:color w:val="auto"/>
              </w:rPr>
            </w:pPr>
          </w:p>
        </w:tc>
        <w:tc>
          <w:tcPr>
            <w:tcW w:w="6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79,889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67,748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61,365</w:t>
            </w:r>
          </w:p>
        </w:tc>
      </w:tr>
      <w:tr>
        <w:trPr>
          <w:trHeight w:val="213"/>
        </w:trPr>
        <w:tc>
          <w:tcPr>
            <w:tcW w:w="100" w:type="dxa"/>
            <w:vAlign w:val="bottom"/>
          </w:tcPr>
          <w:p>
            <w:pPr>
              <w:spacing w:after="0"/>
              <w:rPr>
                <w:sz w:val="18"/>
                <w:szCs w:val="18"/>
                <w:color w:val="auto"/>
              </w:rPr>
            </w:pPr>
          </w:p>
        </w:tc>
        <w:tc>
          <w:tcPr>
            <w:tcW w:w="69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444,295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376,722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370,697</w:t>
            </w:r>
          </w:p>
        </w:tc>
      </w:tr>
      <w:tr>
        <w:trPr>
          <w:trHeight w:val="212"/>
        </w:trPr>
        <w:tc>
          <w:tcPr>
            <w:tcW w:w="100" w:type="dxa"/>
            <w:vAlign w:val="bottom"/>
          </w:tcPr>
          <w:p>
            <w:pPr>
              <w:spacing w:after="0"/>
              <w:rPr>
                <w:sz w:val="18"/>
                <w:szCs w:val="18"/>
                <w:color w:val="auto"/>
              </w:rPr>
            </w:pPr>
          </w:p>
        </w:tc>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524,184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444,470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432,062</w:t>
            </w:r>
          </w:p>
        </w:tc>
      </w:tr>
      <w:tr>
        <w:trPr>
          <w:trHeight w:val="213"/>
        </w:trPr>
        <w:tc>
          <w:tcPr>
            <w:tcW w:w="100" w:type="dxa"/>
            <w:vAlign w:val="bottom"/>
          </w:tcPr>
          <w:p>
            <w:pPr>
              <w:spacing w:after="0"/>
              <w:rPr>
                <w:sz w:val="18"/>
                <w:szCs w:val="18"/>
                <w:color w:val="auto"/>
              </w:rPr>
            </w:pPr>
          </w:p>
        </w:tc>
        <w:tc>
          <w:tcPr>
            <w:tcW w:w="6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236,638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243,414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225,213</w:t>
            </w:r>
          </w:p>
        </w:tc>
      </w:tr>
      <w:tr>
        <w:trPr>
          <w:trHeight w:val="219"/>
        </w:trPr>
        <w:tc>
          <w:tcPr>
            <w:tcW w:w="100" w:type="dxa"/>
            <w:vAlign w:val="bottom"/>
          </w:tcPr>
          <w:p>
            <w:pPr>
              <w:spacing w:after="0"/>
              <w:rPr>
                <w:sz w:val="19"/>
                <w:szCs w:val="19"/>
                <w:color w:val="auto"/>
              </w:rPr>
            </w:pPr>
          </w:p>
        </w:tc>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3"/>
        </w:trPr>
        <w:tc>
          <w:tcPr>
            <w:tcW w:w="100" w:type="dxa"/>
            <w:vAlign w:val="bottom"/>
          </w:tcPr>
          <w:p>
            <w:pPr>
              <w:spacing w:after="0"/>
              <w:rPr>
                <w:sz w:val="18"/>
                <w:szCs w:val="18"/>
                <w:color w:val="auto"/>
              </w:rPr>
            </w:pPr>
          </w:p>
        </w:tc>
        <w:tc>
          <w:tcPr>
            <w:tcW w:w="69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Investment and other income</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7,553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4,022</w:t>
            </w:r>
          </w:p>
        </w:tc>
      </w:tr>
      <w:tr>
        <w:trPr>
          <w:trHeight w:val="219"/>
        </w:trPr>
        <w:tc>
          <w:tcPr>
            <w:tcW w:w="100" w:type="dxa"/>
            <w:vAlign w:val="bottom"/>
          </w:tcPr>
          <w:p>
            <w:pPr>
              <w:spacing w:after="0"/>
              <w:rPr>
                <w:sz w:val="19"/>
                <w:szCs w:val="19"/>
                <w:color w:val="auto"/>
              </w:rPr>
            </w:pPr>
          </w:p>
        </w:tc>
        <w:tc>
          <w:tcPr>
            <w:tcW w:w="6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 expense</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(3,539)</w:t>
            </w:r>
          </w:p>
        </w:tc>
      </w:tr>
      <w:tr>
        <w:trPr>
          <w:trHeight w:val="207"/>
        </w:trPr>
        <w:tc>
          <w:tcPr>
            <w:tcW w:w="100" w:type="dxa"/>
            <w:vAlign w:val="bottom"/>
          </w:tcPr>
          <w:p>
            <w:pPr>
              <w:spacing w:after="0"/>
              <w:rPr>
                <w:sz w:val="17"/>
                <w:szCs w:val="17"/>
                <w:color w:val="auto"/>
              </w:rPr>
            </w:pPr>
          </w:p>
        </w:tc>
        <w:tc>
          <w:tcPr>
            <w:tcW w:w="6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237,097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247,841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225,696</w:t>
            </w:r>
          </w:p>
        </w:tc>
      </w:tr>
      <w:tr>
        <w:trPr>
          <w:trHeight w:val="216"/>
        </w:trPr>
        <w:tc>
          <w:tcPr>
            <w:tcW w:w="100" w:type="dxa"/>
            <w:vAlign w:val="bottom"/>
          </w:tcPr>
          <w:p>
            <w:pPr>
              <w:spacing w:after="0"/>
              <w:rPr>
                <w:sz w:val="18"/>
                <w:szCs w:val="18"/>
                <w:color w:val="auto"/>
              </w:rPr>
            </w:pPr>
          </w:p>
        </w:tc>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47,841</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50,626</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50,839</w:t>
            </w:r>
          </w:p>
        </w:tc>
      </w:tr>
      <w:tr>
        <w:trPr>
          <w:trHeight w:val="212"/>
        </w:trPr>
        <w:tc>
          <w:tcPr>
            <w:tcW w:w="100" w:type="dxa"/>
            <w:vAlign w:val="bottom"/>
          </w:tcPr>
          <w:p>
            <w:pPr>
              <w:spacing w:after="0"/>
              <w:rPr>
                <w:sz w:val="18"/>
                <w:szCs w:val="18"/>
                <w:color w:val="auto"/>
              </w:rPr>
            </w:pPr>
          </w:p>
        </w:tc>
        <w:tc>
          <w:tcPr>
            <w:tcW w:w="6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189,256</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197,215</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174,857</w:t>
            </w:r>
          </w:p>
        </w:tc>
      </w:tr>
      <w:tr>
        <w:trPr>
          <w:trHeight w:val="20"/>
        </w:trPr>
        <w:tc>
          <w:tcPr>
            <w:tcW w:w="100" w:type="dxa"/>
            <w:vAlign w:val="bottom"/>
          </w:tcPr>
          <w:p>
            <w:pPr>
              <w:spacing w:after="0" w:line="20" w:lineRule="exact"/>
              <w:rPr>
                <w:sz w:val="1"/>
                <w:szCs w:val="1"/>
                <w:color w:val="auto"/>
              </w:rPr>
            </w:pPr>
          </w:p>
        </w:tc>
        <w:tc>
          <w:tcPr>
            <w:tcW w:w="69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83"/>
        </w:trPr>
        <w:tc>
          <w:tcPr>
            <w:tcW w:w="100" w:type="dxa"/>
            <w:vAlign w:val="bottom"/>
          </w:tcPr>
          <w:p>
            <w:pPr>
              <w:spacing w:after="0"/>
              <w:rPr>
                <w:sz w:val="15"/>
                <w:szCs w:val="15"/>
                <w:color w:val="auto"/>
              </w:rPr>
            </w:pPr>
          </w:p>
        </w:tc>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per Class A Nonvoting Common Share:</w:t>
            </w: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213"/>
        </w:trPr>
        <w:tc>
          <w:tcPr>
            <w:tcW w:w="100" w:type="dxa"/>
            <w:vAlign w:val="bottom"/>
          </w:tcPr>
          <w:p>
            <w:pPr>
              <w:spacing w:after="0"/>
              <w:rPr>
                <w:sz w:val="18"/>
                <w:szCs w:val="18"/>
                <w:color w:val="auto"/>
              </w:rPr>
            </w:pPr>
          </w:p>
        </w:tc>
        <w:tc>
          <w:tcPr>
            <w:tcW w:w="69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Basic</w:t>
            </w: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w:t>
            </w:r>
          </w:p>
        </w:tc>
      </w:tr>
      <w:tr>
        <w:trPr>
          <w:trHeight w:val="219"/>
        </w:trPr>
        <w:tc>
          <w:tcPr>
            <w:tcW w:w="100" w:type="dxa"/>
            <w:vAlign w:val="bottom"/>
          </w:tcPr>
          <w:p>
            <w:pPr>
              <w:spacing w:after="0"/>
              <w:rPr>
                <w:sz w:val="19"/>
                <w:szCs w:val="19"/>
                <w:color w:val="auto"/>
              </w:rPr>
            </w:pPr>
          </w:p>
        </w:tc>
        <w:tc>
          <w:tcPr>
            <w:tcW w:w="6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Diluted</w:t>
            </w:r>
          </w:p>
        </w:tc>
        <w:tc>
          <w:tcPr>
            <w:tcW w:w="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w:t>
            </w:r>
          </w:p>
        </w:tc>
      </w:tr>
      <w:tr>
        <w:trPr>
          <w:trHeight w:val="213"/>
        </w:trPr>
        <w:tc>
          <w:tcPr>
            <w:tcW w:w="100" w:type="dxa"/>
            <w:vAlign w:val="bottom"/>
          </w:tcPr>
          <w:p>
            <w:pPr>
              <w:spacing w:after="0"/>
              <w:rPr>
                <w:sz w:val="18"/>
                <w:szCs w:val="18"/>
                <w:color w:val="auto"/>
              </w:rPr>
            </w:pPr>
          </w:p>
        </w:tc>
        <w:tc>
          <w:tcPr>
            <w:tcW w:w="6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per Class B Voting Common Share:</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9"/>
        </w:trPr>
        <w:tc>
          <w:tcPr>
            <w:tcW w:w="100" w:type="dxa"/>
            <w:vAlign w:val="bottom"/>
          </w:tcPr>
          <w:p>
            <w:pPr>
              <w:spacing w:after="0"/>
              <w:rPr>
                <w:sz w:val="19"/>
                <w:szCs w:val="19"/>
                <w:color w:val="auto"/>
              </w:rPr>
            </w:pPr>
          </w:p>
        </w:tc>
        <w:tc>
          <w:tcPr>
            <w:tcW w:w="6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Basic</w:t>
            </w:r>
          </w:p>
        </w:tc>
        <w:tc>
          <w:tcPr>
            <w:tcW w:w="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w:t>
            </w:r>
          </w:p>
        </w:tc>
      </w:tr>
      <w:tr>
        <w:trPr>
          <w:trHeight w:val="213"/>
        </w:trPr>
        <w:tc>
          <w:tcPr>
            <w:tcW w:w="100" w:type="dxa"/>
            <w:vAlign w:val="bottom"/>
          </w:tcPr>
          <w:p>
            <w:pPr>
              <w:spacing w:after="0"/>
              <w:rPr>
                <w:sz w:val="18"/>
                <w:szCs w:val="18"/>
                <w:color w:val="auto"/>
              </w:rPr>
            </w:pPr>
          </w:p>
        </w:tc>
        <w:tc>
          <w:tcPr>
            <w:tcW w:w="69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Diluted</w:t>
            </w: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w:t>
            </w:r>
          </w:p>
        </w:tc>
      </w:tr>
      <w:tr>
        <w:trPr>
          <w:trHeight w:val="219"/>
        </w:trPr>
        <w:tc>
          <w:tcPr>
            <w:tcW w:w="100" w:type="dxa"/>
            <w:vAlign w:val="bottom"/>
          </w:tcPr>
          <w:p>
            <w:pPr>
              <w:spacing w:after="0"/>
              <w:rPr>
                <w:sz w:val="19"/>
                <w:szCs w:val="19"/>
                <w:color w:val="auto"/>
              </w:rPr>
            </w:pPr>
          </w:p>
        </w:tc>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 outstanding:</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3"/>
        </w:trPr>
        <w:tc>
          <w:tcPr>
            <w:tcW w:w="100" w:type="dxa"/>
            <w:vAlign w:val="bottom"/>
          </w:tcPr>
          <w:p>
            <w:pPr>
              <w:spacing w:after="0"/>
              <w:rPr>
                <w:sz w:val="18"/>
                <w:szCs w:val="18"/>
                <w:color w:val="auto"/>
              </w:rPr>
            </w:pPr>
          </w:p>
        </w:tc>
        <w:tc>
          <w:tcPr>
            <w:tcW w:w="69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Basic</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47,641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48,119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49,591</w:t>
            </w:r>
          </w:p>
        </w:tc>
      </w:tr>
      <w:tr>
        <w:trPr>
          <w:trHeight w:val="219"/>
        </w:trPr>
        <w:tc>
          <w:tcPr>
            <w:tcW w:w="100" w:type="dxa"/>
            <w:vAlign w:val="bottom"/>
          </w:tcPr>
          <w:p>
            <w:pPr>
              <w:spacing w:after="0"/>
              <w:rPr>
                <w:sz w:val="19"/>
                <w:szCs w:val="19"/>
                <w:color w:val="auto"/>
              </w:rPr>
            </w:pPr>
          </w:p>
        </w:tc>
        <w:tc>
          <w:tcPr>
            <w:tcW w:w="6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Diluted</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48,092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48,496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49,869</w:t>
            </w:r>
          </w:p>
        </w:tc>
      </w:tr>
      <w:tr>
        <w:trPr>
          <w:trHeight w:val="534"/>
        </w:trPr>
        <w:tc>
          <w:tcPr>
            <w:tcW w:w="7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See Notes to Consolidated Financial Statements.</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6194425</wp:posOffset>
            </wp:positionH>
            <wp:positionV relativeFrom="paragraph">
              <wp:posOffset>-3552825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-3552825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BRADY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July 31, 2025, 2024 and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3"/>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189,256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197,215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174,857</w:t>
            </w:r>
          </w:p>
        </w:tc>
      </w:tr>
      <w:tr>
        <w:trPr>
          <w:trHeight w:val="213"/>
        </w:trPr>
        <w:tc>
          <w:tcPr>
            <w:tcW w:w="7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9"/>
        </w:trPr>
        <w:tc>
          <w:tcPr>
            <w:tcW w:w="7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18,165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(14,477)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16,009</w:t>
            </w:r>
          </w:p>
        </w:tc>
      </w:tr>
      <w:tr>
        <w:trPr>
          <w:trHeight w:val="256"/>
        </w:trPr>
        <w:tc>
          <w:tcPr>
            <w:tcW w:w="7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16"/>
        </w:trPr>
        <w:tc>
          <w:tcPr>
            <w:tcW w:w="7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Cash flow hedges: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3"/>
        </w:trPr>
        <w:tc>
          <w:tcPr>
            <w:tcW w:w="71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Net (loss) gain recognized in other comprehensive income (loss)</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2,680</w:t>
            </w:r>
          </w:p>
        </w:tc>
      </w:tr>
      <w:tr>
        <w:trPr>
          <w:trHeight w:val="216"/>
        </w:trPr>
        <w:tc>
          <w:tcPr>
            <w:tcW w:w="71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Reclassification adjustment for losses (gains) included in net income</w:t>
            </w: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594</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(2,140)</w:t>
            </w:r>
          </w:p>
        </w:tc>
      </w:tr>
      <w:tr>
        <w:trPr>
          <w:trHeight w:val="209"/>
        </w:trPr>
        <w:tc>
          <w:tcPr>
            <w:tcW w:w="7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w:t>
            </w:r>
          </w:p>
        </w:tc>
      </w:tr>
      <w:tr>
        <w:trPr>
          <w:trHeight w:val="219"/>
        </w:trPr>
        <w:tc>
          <w:tcPr>
            <w:tcW w:w="7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Pension and other post-retirement benefits: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13"/>
        </w:trPr>
        <w:tc>
          <w:tcPr>
            <w:tcW w:w="71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Net (loss) gain recognized in other comprehensive income (loss)</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w:t>
            </w:r>
          </w:p>
        </w:tc>
      </w:tr>
      <w:tr>
        <w:trPr>
          <w:trHeight w:val="216"/>
        </w:trPr>
        <w:tc>
          <w:tcPr>
            <w:tcW w:w="71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Net actuarial gain amortization</w:t>
            </w: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w:t>
            </w:r>
          </w:p>
        </w:tc>
      </w:tr>
      <w:tr>
        <w:trPr>
          <w:trHeight w:val="209"/>
        </w:trPr>
        <w:tc>
          <w:tcPr>
            <w:tcW w:w="7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(882)</w:t>
            </w:r>
          </w:p>
        </w:tc>
      </w:tr>
      <w:tr>
        <w:trPr>
          <w:trHeight w:val="259"/>
        </w:trPr>
        <w:tc>
          <w:tcPr>
            <w:tcW w:w="71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r>
      <w:tr>
        <w:trPr>
          <w:trHeight w:val="213"/>
        </w:trPr>
        <w:tc>
          <w:tcPr>
            <w:tcW w:w="7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before tax</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17,176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(16,559)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15,667</w:t>
            </w:r>
          </w:p>
        </w:tc>
      </w:tr>
      <w:tr>
        <w:trPr>
          <w:trHeight w:val="219"/>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benefit (expense) related to items of other comprehensive income (loss)</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w:t>
            </w:r>
          </w:p>
        </w:tc>
      </w:tr>
      <w:tr>
        <w:trPr>
          <w:trHeight w:val="207"/>
        </w:trPr>
        <w:tc>
          <w:tcPr>
            <w:tcW w:w="7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17,463</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(16,561)</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16,016</w:t>
            </w:r>
          </w:p>
        </w:tc>
      </w:tr>
      <w:tr>
        <w:trPr>
          <w:trHeight w:val="234"/>
        </w:trPr>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206,719</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180,654</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190,873</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6245860</wp:posOffset>
            </wp:positionH>
            <wp:positionV relativeFrom="paragraph">
              <wp:posOffset>-2459355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-2459355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BRADY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July 31, 2025, 2024 and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amounts)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0" w:type="dxa"/>
            <w:vAlign w:val="bottom"/>
          </w:tcPr>
          <w:p>
            <w:pPr>
              <w:spacing w:after="0"/>
              <w:rPr>
                <w:sz w:val="1"/>
                <w:szCs w:val="1"/>
                <w:color w:val="auto"/>
              </w:rPr>
            </w:pPr>
          </w:p>
        </w:tc>
      </w:tr>
      <w:tr>
        <w:trPr>
          <w:trHeight w:val="162"/>
        </w:trPr>
        <w:tc>
          <w:tcPr>
            <w:tcW w:w="4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Additional Paid-In</w:t>
            </w: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jc w:val="center"/>
              <w:ind w:right="39"/>
              <w:spacing w:after="0" w:line="162" w:lineRule="exact"/>
              <w:rPr>
                <w:sz w:val="20"/>
                <w:szCs w:val="20"/>
                <w:color w:val="auto"/>
              </w:rPr>
            </w:pPr>
            <w:r>
              <w:rPr>
                <w:rFonts w:ascii="Times New Roman" w:cs="Times New Roman" w:eastAsia="Times New Roman" w:hAnsi="Times New Roman"/>
                <w:sz w:val="16"/>
                <w:szCs w:val="16"/>
                <w:b w:val="1"/>
                <w:bCs w:val="1"/>
                <w:color w:val="auto"/>
                <w:w w:val="97"/>
              </w:rPr>
              <w:t>Other</w:t>
            </w:r>
          </w:p>
        </w:tc>
        <w:tc>
          <w:tcPr>
            <w:tcW w:w="0" w:type="dxa"/>
            <w:vAlign w:val="bottom"/>
          </w:tcPr>
          <w:p>
            <w:pPr>
              <w:spacing w:after="0"/>
              <w:rPr>
                <w:sz w:val="1"/>
                <w:szCs w:val="1"/>
                <w:color w:val="auto"/>
              </w:rPr>
            </w:pPr>
          </w:p>
        </w:tc>
      </w:tr>
      <w:tr>
        <w:trPr>
          <w:trHeight w:val="162"/>
        </w:trPr>
        <w:tc>
          <w:tcPr>
            <w:tcW w:w="4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460" w:type="dxa"/>
            <w:vAlign w:val="bottom"/>
            <w:gridSpan w:val="3"/>
            <w:vMerge w:val="continue"/>
          </w:tcPr>
          <w:p>
            <w:pPr>
              <w:spacing w:after="0"/>
              <w:rPr>
                <w:sz w:val="14"/>
                <w:szCs w:val="14"/>
                <w:color w:val="auto"/>
              </w:rPr>
            </w:pPr>
          </w:p>
        </w:tc>
        <w:tc>
          <w:tcPr>
            <w:tcW w:w="146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Retained Earnings</w:t>
            </w:r>
          </w:p>
        </w:tc>
        <w:tc>
          <w:tcPr>
            <w:tcW w:w="120" w:type="dxa"/>
            <w:vAlign w:val="bottom"/>
          </w:tcPr>
          <w:p>
            <w:pPr>
              <w:spacing w:after="0"/>
              <w:rPr>
                <w:sz w:val="14"/>
                <w:szCs w:val="14"/>
                <w:color w:val="auto"/>
              </w:rPr>
            </w:pPr>
          </w:p>
        </w:tc>
        <w:tc>
          <w:tcPr>
            <w:tcW w:w="1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120" w:type="dxa"/>
            <w:vAlign w:val="bottom"/>
          </w:tcPr>
          <w:p>
            <w:pPr>
              <w:spacing w:after="0"/>
              <w:rPr>
                <w:sz w:val="14"/>
                <w:szCs w:val="14"/>
                <w:color w:val="auto"/>
              </w:rPr>
            </w:pPr>
          </w:p>
        </w:tc>
        <w:tc>
          <w:tcPr>
            <w:tcW w:w="1240" w:type="dxa"/>
            <w:vAlign w:val="bottom"/>
          </w:tcPr>
          <w:p>
            <w:pPr>
              <w:jc w:val="center"/>
              <w:ind w:right="39"/>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0" w:type="dxa"/>
            <w:vAlign w:val="bottom"/>
          </w:tcPr>
          <w:p>
            <w:pPr>
              <w:spacing w:after="0"/>
              <w:rPr>
                <w:sz w:val="1"/>
                <w:szCs w:val="1"/>
                <w:color w:val="auto"/>
              </w:rPr>
            </w:pPr>
          </w:p>
        </w:tc>
      </w:tr>
      <w:tr>
        <w:trPr>
          <w:trHeight w:val="214"/>
        </w:trPr>
        <w:tc>
          <w:tcPr>
            <w:tcW w:w="4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46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Loss</w:t>
            </w:r>
          </w:p>
        </w:tc>
        <w:tc>
          <w:tcPr>
            <w:tcW w:w="0" w:type="dxa"/>
            <w:vAlign w:val="bottom"/>
          </w:tcPr>
          <w:p>
            <w:pPr>
              <w:spacing w:after="0"/>
              <w:rPr>
                <w:sz w:val="1"/>
                <w:szCs w:val="1"/>
                <w:color w:val="auto"/>
              </w:rPr>
            </w:pPr>
          </w:p>
        </w:tc>
      </w:tr>
      <w:tr>
        <w:trPr>
          <w:trHeight w:val="211"/>
        </w:trPr>
        <w:tc>
          <w:tcPr>
            <w:tcW w:w="4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July 31, 2022</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345,266</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892,417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(217,856)</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(109,077)</w:t>
            </w:r>
          </w:p>
        </w:tc>
        <w:tc>
          <w:tcPr>
            <w:tcW w:w="0" w:type="dxa"/>
            <w:vAlign w:val="bottom"/>
          </w:tcPr>
          <w:p>
            <w:pPr>
              <w:spacing w:after="0"/>
              <w:rPr>
                <w:sz w:val="1"/>
                <w:szCs w:val="1"/>
                <w:color w:val="auto"/>
              </w:rPr>
            </w:pPr>
          </w:p>
        </w:tc>
      </w:tr>
      <w:tr>
        <w:trPr>
          <w:trHeight w:val="207"/>
        </w:trPr>
        <w:tc>
          <w:tcPr>
            <w:tcW w:w="4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174,857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16,016</w:t>
            </w:r>
          </w:p>
        </w:tc>
        <w:tc>
          <w:tcPr>
            <w:tcW w:w="0" w:type="dxa"/>
            <w:vAlign w:val="bottom"/>
          </w:tcPr>
          <w:p>
            <w:pPr>
              <w:spacing w:after="0"/>
              <w:rPr>
                <w:sz w:val="1"/>
                <w:szCs w:val="1"/>
                <w:color w:val="auto"/>
              </w:rPr>
            </w:pPr>
          </w:p>
        </w:tc>
      </w:tr>
      <w:tr>
        <w:trPr>
          <w:trHeight w:val="162"/>
        </w:trPr>
        <w:tc>
          <w:tcPr>
            <w:tcW w:w="404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Issuance of shares of Class A Common Stock under stock</w:t>
            </w:r>
          </w:p>
        </w:tc>
        <w:tc>
          <w:tcPr>
            <w:tcW w:w="120" w:type="dxa"/>
            <w:vAlign w:val="bottom"/>
          </w:tcPr>
          <w:p>
            <w:pPr>
              <w:spacing w:after="0"/>
              <w:rPr>
                <w:sz w:val="14"/>
                <w:szCs w:val="14"/>
                <w:color w:val="auto"/>
              </w:rPr>
            </w:pPr>
          </w:p>
        </w:tc>
        <w:tc>
          <w:tcPr>
            <w:tcW w:w="13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(1,069)</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3,119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plan</w:t>
            </w:r>
          </w:p>
        </w:tc>
        <w:tc>
          <w:tcPr>
            <w:tcW w:w="12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404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Tax benefit and withholdings from deferred compensation</w:t>
            </w:r>
          </w:p>
        </w:tc>
        <w:tc>
          <w:tcPr>
            <w:tcW w:w="120" w:type="dxa"/>
            <w:vAlign w:val="bottom"/>
            <w:shd w:val="clear" w:color="auto" w:fill="CCEEFF"/>
          </w:tcPr>
          <w:p>
            <w:pPr>
              <w:spacing w:after="0"/>
              <w:rPr>
                <w:sz w:val="14"/>
                <w:szCs w:val="14"/>
                <w:color w:val="auto"/>
              </w:rPr>
            </w:pPr>
          </w:p>
        </w:tc>
        <w:tc>
          <w:tcPr>
            <w:tcW w:w="13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3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distributions</w:t>
            </w:r>
          </w:p>
        </w:tc>
        <w:tc>
          <w:tcPr>
            <w:tcW w:w="120" w:type="dxa"/>
            <w:vAlign w:val="bottom"/>
            <w:shd w:val="clear" w:color="auto" w:fill="CCEEFF"/>
          </w:tcPr>
          <w:p>
            <w:pPr>
              <w:spacing w:after="0"/>
              <w:rPr>
                <w:sz w:val="18"/>
                <w:szCs w:val="18"/>
                <w:color w:val="auto"/>
              </w:rPr>
            </w:pPr>
          </w:p>
        </w:tc>
        <w:tc>
          <w:tcPr>
            <w:tcW w:w="134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Stock-based compensation expense (Note 7)</w:t>
            </w:r>
          </w:p>
        </w:tc>
        <w:tc>
          <w:tcPr>
            <w:tcW w:w="1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5"/>
        </w:trPr>
        <w:tc>
          <w:tcPr>
            <w:tcW w:w="404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Repurchase of shares of Class A Common Stock,</w:t>
            </w:r>
          </w:p>
        </w:tc>
        <w:tc>
          <w:tcPr>
            <w:tcW w:w="120" w:type="dxa"/>
            <w:vAlign w:val="bottom"/>
            <w:shd w:val="clear" w:color="auto" w:fill="CCEEFF"/>
          </w:tcPr>
          <w:p>
            <w:pPr>
              <w:spacing w:after="0"/>
              <w:rPr>
                <w:sz w:val="14"/>
                <w:szCs w:val="14"/>
                <w:color w:val="auto"/>
              </w:rPr>
            </w:pPr>
          </w:p>
        </w:tc>
        <w:tc>
          <w:tcPr>
            <w:tcW w:w="13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4"/>
                <w:szCs w:val="14"/>
                <w:color w:val="auto"/>
              </w:rPr>
            </w:pPr>
          </w:p>
        </w:tc>
        <w:tc>
          <w:tcPr>
            <w:tcW w:w="12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(75,472)</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including excise taxes</w:t>
            </w:r>
          </w:p>
        </w:tc>
        <w:tc>
          <w:tcPr>
            <w:tcW w:w="120" w:type="dxa"/>
            <w:vAlign w:val="bottom"/>
            <w:shd w:val="clear" w:color="auto" w:fill="CCEEFF"/>
          </w:tcPr>
          <w:p>
            <w:pPr>
              <w:spacing w:after="0"/>
              <w:rPr>
                <w:sz w:val="18"/>
                <w:szCs w:val="18"/>
                <w:color w:val="auto"/>
              </w:rPr>
            </w:pPr>
          </w:p>
        </w:tc>
        <w:tc>
          <w:tcPr>
            <w:tcW w:w="134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dividends on Common Stock:</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Class A — $0.92 per share</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(42,207)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0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Class B — $0.90 per share</w:t>
            </w:r>
          </w:p>
        </w:tc>
        <w:tc>
          <w:tcPr>
            <w:tcW w:w="1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4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July 31, 2023</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351,771</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1,021,870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(290,209)</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(93,061)</w:t>
            </w:r>
          </w:p>
        </w:tc>
        <w:tc>
          <w:tcPr>
            <w:tcW w:w="0" w:type="dxa"/>
            <w:vAlign w:val="bottom"/>
          </w:tcPr>
          <w:p>
            <w:pPr>
              <w:spacing w:after="0"/>
              <w:rPr>
                <w:sz w:val="1"/>
                <w:szCs w:val="1"/>
                <w:color w:val="auto"/>
              </w:rPr>
            </w:pPr>
          </w:p>
        </w:tc>
      </w:tr>
      <w:tr>
        <w:trPr>
          <w:trHeight w:val="207"/>
        </w:trPr>
        <w:tc>
          <w:tcPr>
            <w:tcW w:w="4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197,215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comprehensive loss, net of tax</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(16,561)</w:t>
            </w:r>
          </w:p>
        </w:tc>
        <w:tc>
          <w:tcPr>
            <w:tcW w:w="0" w:type="dxa"/>
            <w:vAlign w:val="bottom"/>
          </w:tcPr>
          <w:p>
            <w:pPr>
              <w:spacing w:after="0"/>
              <w:rPr>
                <w:sz w:val="1"/>
                <w:szCs w:val="1"/>
                <w:color w:val="auto"/>
              </w:rPr>
            </w:pPr>
          </w:p>
        </w:tc>
      </w:tr>
      <w:tr>
        <w:trPr>
          <w:trHeight w:val="162"/>
        </w:trPr>
        <w:tc>
          <w:tcPr>
            <w:tcW w:w="404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Issuance of shares of Class A Common Stock under stock</w:t>
            </w:r>
          </w:p>
        </w:tc>
        <w:tc>
          <w:tcPr>
            <w:tcW w:w="120" w:type="dxa"/>
            <w:vAlign w:val="bottom"/>
          </w:tcPr>
          <w:p>
            <w:pPr>
              <w:spacing w:after="0"/>
              <w:rPr>
                <w:sz w:val="14"/>
                <w:szCs w:val="14"/>
                <w:color w:val="auto"/>
              </w:rPr>
            </w:pPr>
          </w:p>
        </w:tc>
        <w:tc>
          <w:tcPr>
            <w:tcW w:w="13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(5,627)</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11,016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plan</w:t>
            </w:r>
          </w:p>
        </w:tc>
        <w:tc>
          <w:tcPr>
            <w:tcW w:w="12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404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Tax benefit and withholdings from deferred compensation</w:t>
            </w:r>
          </w:p>
        </w:tc>
        <w:tc>
          <w:tcPr>
            <w:tcW w:w="120" w:type="dxa"/>
            <w:vAlign w:val="bottom"/>
            <w:shd w:val="clear" w:color="auto" w:fill="CCEEFF"/>
          </w:tcPr>
          <w:p>
            <w:pPr>
              <w:spacing w:after="0"/>
              <w:rPr>
                <w:sz w:val="14"/>
                <w:szCs w:val="14"/>
                <w:color w:val="auto"/>
              </w:rPr>
            </w:pPr>
          </w:p>
        </w:tc>
        <w:tc>
          <w:tcPr>
            <w:tcW w:w="13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3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distributions</w:t>
            </w:r>
          </w:p>
        </w:tc>
        <w:tc>
          <w:tcPr>
            <w:tcW w:w="120" w:type="dxa"/>
            <w:vAlign w:val="bottom"/>
            <w:shd w:val="clear" w:color="auto" w:fill="CCEEFF"/>
          </w:tcPr>
          <w:p>
            <w:pPr>
              <w:spacing w:after="0"/>
              <w:rPr>
                <w:sz w:val="18"/>
                <w:szCs w:val="18"/>
                <w:color w:val="auto"/>
              </w:rPr>
            </w:pPr>
          </w:p>
        </w:tc>
        <w:tc>
          <w:tcPr>
            <w:tcW w:w="134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Stock-based compensation expense (Note 7)</w:t>
            </w:r>
          </w:p>
        </w:tc>
        <w:tc>
          <w:tcPr>
            <w:tcW w:w="1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7,361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5"/>
        </w:trPr>
        <w:tc>
          <w:tcPr>
            <w:tcW w:w="404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Repurchase of shares of Class A Common Stock,</w:t>
            </w:r>
          </w:p>
        </w:tc>
        <w:tc>
          <w:tcPr>
            <w:tcW w:w="120" w:type="dxa"/>
            <w:vAlign w:val="bottom"/>
            <w:shd w:val="clear" w:color="auto" w:fill="CCEEFF"/>
          </w:tcPr>
          <w:p>
            <w:pPr>
              <w:spacing w:after="0"/>
              <w:rPr>
                <w:sz w:val="14"/>
                <w:szCs w:val="14"/>
                <w:color w:val="auto"/>
              </w:rPr>
            </w:pPr>
          </w:p>
        </w:tc>
        <w:tc>
          <w:tcPr>
            <w:tcW w:w="13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4"/>
                <w:szCs w:val="14"/>
                <w:color w:val="auto"/>
              </w:rPr>
            </w:pPr>
          </w:p>
        </w:tc>
        <w:tc>
          <w:tcPr>
            <w:tcW w:w="12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(72,754)</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including excise taxes</w:t>
            </w:r>
          </w:p>
        </w:tc>
        <w:tc>
          <w:tcPr>
            <w:tcW w:w="120" w:type="dxa"/>
            <w:vAlign w:val="bottom"/>
            <w:shd w:val="clear" w:color="auto" w:fill="CCEEFF"/>
          </w:tcPr>
          <w:p>
            <w:pPr>
              <w:spacing w:after="0"/>
              <w:rPr>
                <w:sz w:val="18"/>
                <w:szCs w:val="18"/>
                <w:color w:val="auto"/>
              </w:rPr>
            </w:pPr>
          </w:p>
        </w:tc>
        <w:tc>
          <w:tcPr>
            <w:tcW w:w="134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dividends on Common Stock:</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Class A — $0.94 per share</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(41,793)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0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Class B — $0.92 per share</w:t>
            </w:r>
          </w:p>
        </w:tc>
        <w:tc>
          <w:tcPr>
            <w:tcW w:w="1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4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July 31, 2024</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353,654</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1,174,025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(351,947)</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(109,622)</w:t>
            </w:r>
          </w:p>
        </w:tc>
        <w:tc>
          <w:tcPr>
            <w:tcW w:w="0" w:type="dxa"/>
            <w:vAlign w:val="bottom"/>
          </w:tcPr>
          <w:p>
            <w:pPr>
              <w:spacing w:after="0"/>
              <w:rPr>
                <w:sz w:val="1"/>
                <w:szCs w:val="1"/>
                <w:color w:val="auto"/>
              </w:rPr>
            </w:pPr>
          </w:p>
        </w:tc>
      </w:tr>
      <w:tr>
        <w:trPr>
          <w:trHeight w:val="207"/>
        </w:trPr>
        <w:tc>
          <w:tcPr>
            <w:tcW w:w="4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189,256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17,463</w:t>
            </w:r>
          </w:p>
        </w:tc>
        <w:tc>
          <w:tcPr>
            <w:tcW w:w="0" w:type="dxa"/>
            <w:vAlign w:val="bottom"/>
          </w:tcPr>
          <w:p>
            <w:pPr>
              <w:spacing w:after="0"/>
              <w:rPr>
                <w:sz w:val="1"/>
                <w:szCs w:val="1"/>
                <w:color w:val="auto"/>
              </w:rPr>
            </w:pPr>
          </w:p>
        </w:tc>
      </w:tr>
      <w:tr>
        <w:trPr>
          <w:trHeight w:val="162"/>
        </w:trPr>
        <w:tc>
          <w:tcPr>
            <w:tcW w:w="404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Issuance of shares of Class A Common Stock under stock</w:t>
            </w:r>
          </w:p>
        </w:tc>
        <w:tc>
          <w:tcPr>
            <w:tcW w:w="120" w:type="dxa"/>
            <w:vAlign w:val="bottom"/>
          </w:tcPr>
          <w:p>
            <w:pPr>
              <w:spacing w:after="0"/>
              <w:rPr>
                <w:sz w:val="14"/>
                <w:szCs w:val="14"/>
                <w:color w:val="auto"/>
              </w:rPr>
            </w:pPr>
          </w:p>
        </w:tc>
        <w:tc>
          <w:tcPr>
            <w:tcW w:w="13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(6,457)</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9,945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plan</w:t>
            </w:r>
          </w:p>
        </w:tc>
        <w:tc>
          <w:tcPr>
            <w:tcW w:w="12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404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Tax benefit and withholdings from deferred compensation</w:t>
            </w:r>
          </w:p>
        </w:tc>
        <w:tc>
          <w:tcPr>
            <w:tcW w:w="120" w:type="dxa"/>
            <w:vAlign w:val="bottom"/>
            <w:shd w:val="clear" w:color="auto" w:fill="CCEEFF"/>
          </w:tcPr>
          <w:p>
            <w:pPr>
              <w:spacing w:after="0"/>
              <w:rPr>
                <w:sz w:val="14"/>
                <w:szCs w:val="14"/>
                <w:color w:val="auto"/>
              </w:rPr>
            </w:pPr>
          </w:p>
        </w:tc>
        <w:tc>
          <w:tcPr>
            <w:tcW w:w="13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3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distributions</w:t>
            </w:r>
          </w:p>
        </w:tc>
        <w:tc>
          <w:tcPr>
            <w:tcW w:w="120" w:type="dxa"/>
            <w:vAlign w:val="bottom"/>
            <w:shd w:val="clear" w:color="auto" w:fill="CCEEFF"/>
          </w:tcPr>
          <w:p>
            <w:pPr>
              <w:spacing w:after="0"/>
              <w:rPr>
                <w:sz w:val="18"/>
                <w:szCs w:val="18"/>
                <w:color w:val="auto"/>
              </w:rPr>
            </w:pPr>
          </w:p>
        </w:tc>
        <w:tc>
          <w:tcPr>
            <w:tcW w:w="134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Stock-based compensation expense (Note 7)</w:t>
            </w:r>
          </w:p>
        </w:tc>
        <w:tc>
          <w:tcPr>
            <w:tcW w:w="1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11,882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5"/>
        </w:trPr>
        <w:tc>
          <w:tcPr>
            <w:tcW w:w="404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Repurchase of shares of Class A Common Stock,</w:t>
            </w:r>
          </w:p>
        </w:tc>
        <w:tc>
          <w:tcPr>
            <w:tcW w:w="120" w:type="dxa"/>
            <w:vAlign w:val="bottom"/>
            <w:shd w:val="clear" w:color="auto" w:fill="CCEEFF"/>
          </w:tcPr>
          <w:p>
            <w:pPr>
              <w:spacing w:after="0"/>
              <w:rPr>
                <w:sz w:val="14"/>
                <w:szCs w:val="14"/>
                <w:color w:val="auto"/>
              </w:rPr>
            </w:pPr>
          </w:p>
        </w:tc>
        <w:tc>
          <w:tcPr>
            <w:tcW w:w="13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4"/>
                <w:szCs w:val="14"/>
                <w:color w:val="auto"/>
              </w:rPr>
            </w:pPr>
          </w:p>
        </w:tc>
        <w:tc>
          <w:tcPr>
            <w:tcW w:w="12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(51,184)</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including excise taxes</w:t>
            </w:r>
          </w:p>
        </w:tc>
        <w:tc>
          <w:tcPr>
            <w:tcW w:w="120" w:type="dxa"/>
            <w:vAlign w:val="bottom"/>
            <w:shd w:val="clear" w:color="auto" w:fill="CCEEFF"/>
          </w:tcPr>
          <w:p>
            <w:pPr>
              <w:spacing w:after="0"/>
              <w:rPr>
                <w:sz w:val="18"/>
                <w:szCs w:val="18"/>
                <w:color w:val="auto"/>
              </w:rPr>
            </w:pPr>
          </w:p>
        </w:tc>
        <w:tc>
          <w:tcPr>
            <w:tcW w:w="134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dividends on Common Stock:</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Class A — $0.96 per share</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(42,204)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0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Class B — $0.94 per share</w:t>
            </w:r>
          </w:p>
        </w:tc>
        <w:tc>
          <w:tcPr>
            <w:tcW w:w="1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5"/>
        </w:trPr>
        <w:tc>
          <w:tcPr>
            <w:tcW w:w="4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July 31, 2025</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359,269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1,317,739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(393,186)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(92,159)</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6202680</wp:posOffset>
            </wp:positionH>
            <wp:positionV relativeFrom="paragraph">
              <wp:posOffset>-5271135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-5271135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-5271135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-5271135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Notes to Consolidated Financial Statements.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BRADY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July 31, 2025, 2024 and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9"/>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activities:</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13"/>
        </w:trPr>
        <w:tc>
          <w:tcPr>
            <w:tcW w:w="71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income</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189,256</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197,215</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174,857</w:t>
            </w:r>
          </w:p>
        </w:tc>
      </w:tr>
      <w:tr>
        <w:trPr>
          <w:trHeight w:val="219"/>
        </w:trPr>
        <w:tc>
          <w:tcPr>
            <w:tcW w:w="7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13"/>
        </w:trPr>
        <w:tc>
          <w:tcPr>
            <w:tcW w:w="71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40,639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29,873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32,370</w:t>
            </w:r>
          </w:p>
        </w:tc>
      </w:tr>
      <w:tr>
        <w:trPr>
          <w:trHeight w:val="219"/>
        </w:trPr>
        <w:tc>
          <w:tcPr>
            <w:tcW w:w="71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11,882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7,361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7,508</w:t>
            </w:r>
          </w:p>
        </w:tc>
      </w:tr>
      <w:tr>
        <w:trPr>
          <w:trHeight w:val="213"/>
        </w:trPr>
        <w:tc>
          <w:tcPr>
            <w:tcW w:w="71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Gain on sale of business</w:t>
            </w:r>
          </w:p>
        </w:tc>
        <w:tc>
          <w:tcPr>
            <w:tcW w:w="2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(3,770)</w:t>
            </w:r>
          </w:p>
        </w:tc>
      </w:tr>
      <w:tr>
        <w:trPr>
          <w:trHeight w:val="219"/>
        </w:trPr>
        <w:tc>
          <w:tcPr>
            <w:tcW w:w="71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Deferred income taxes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(7,623)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(9,399)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(12,472)</w:t>
            </w:r>
          </w:p>
        </w:tc>
      </w:tr>
      <w:tr>
        <w:trPr>
          <w:trHeight w:val="213"/>
        </w:trPr>
        <w:tc>
          <w:tcPr>
            <w:tcW w:w="71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Other</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w:t>
            </w:r>
          </w:p>
        </w:tc>
      </w:tr>
      <w:tr>
        <w:trPr>
          <w:trHeight w:val="219"/>
        </w:trPr>
        <w:tc>
          <w:tcPr>
            <w:tcW w:w="71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Changes in operating assets and liabilities (net of effects of business acquisitions):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13"/>
        </w:trPr>
        <w:tc>
          <w:tcPr>
            <w:tcW w:w="7140" w:type="dxa"/>
            <w:vAlign w:val="bottom"/>
          </w:tcPr>
          <w:p>
            <w:pPr>
              <w:ind w:left="1120"/>
              <w:spacing w:after="0"/>
              <w:rPr>
                <w:sz w:val="20"/>
                <w:szCs w:val="20"/>
                <w:color w:val="auto"/>
              </w:rPr>
            </w:pPr>
            <w:r>
              <w:rPr>
                <w:rFonts w:ascii="Times New Roman" w:cs="Times New Roman" w:eastAsia="Times New Roman" w:hAnsi="Times New Roman"/>
                <w:sz w:val="16"/>
                <w:szCs w:val="16"/>
                <w:color w:val="auto"/>
              </w:rPr>
              <w:t>Accounts receivable</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(14,356)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(6,581)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2,380</w:t>
            </w:r>
          </w:p>
        </w:tc>
      </w:tr>
      <w:tr>
        <w:trPr>
          <w:trHeight w:val="219"/>
        </w:trPr>
        <w:tc>
          <w:tcPr>
            <w:tcW w:w="71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6"/>
                <w:szCs w:val="16"/>
                <w:color w:val="auto"/>
              </w:rPr>
              <w:t>Inventories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(18,889)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21,697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14,972</w:t>
            </w:r>
          </w:p>
        </w:tc>
      </w:tr>
      <w:tr>
        <w:trPr>
          <w:trHeight w:val="213"/>
        </w:trPr>
        <w:tc>
          <w:tcPr>
            <w:tcW w:w="7140" w:type="dxa"/>
            <w:vAlign w:val="bottom"/>
          </w:tcPr>
          <w:p>
            <w:pPr>
              <w:ind w:left="112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(1,023)</w:t>
            </w:r>
          </w:p>
        </w:tc>
      </w:tr>
      <w:tr>
        <w:trPr>
          <w:trHeight w:val="219"/>
        </w:trPr>
        <w:tc>
          <w:tcPr>
            <w:tcW w:w="71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(9,862)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19,198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(9,459)</w:t>
            </w:r>
          </w:p>
        </w:tc>
      </w:tr>
      <w:tr>
        <w:trPr>
          <w:trHeight w:val="213"/>
        </w:trPr>
        <w:tc>
          <w:tcPr>
            <w:tcW w:w="7140" w:type="dxa"/>
            <w:vAlign w:val="bottom"/>
            <w:tcBorders>
              <w:bottom w:val="single" w:sz="8" w:color="CCEEFF"/>
            </w:tcBorders>
          </w:tcPr>
          <w:p>
            <w:pPr>
              <w:ind w:left="1120"/>
              <w:spacing w:after="0"/>
              <w:rPr>
                <w:sz w:val="20"/>
                <w:szCs w:val="20"/>
                <w:color w:val="auto"/>
              </w:rPr>
            </w:pPr>
            <w:r>
              <w:rPr>
                <w:rFonts w:ascii="Times New Roman" w:cs="Times New Roman" w:eastAsia="Times New Roman" w:hAnsi="Times New Roman"/>
                <w:sz w:val="16"/>
                <w:szCs w:val="16"/>
                <w:color w:val="auto"/>
              </w:rPr>
              <w:t>Income taxes</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(5,213)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(4,948)</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4,094</w:t>
            </w:r>
          </w:p>
        </w:tc>
      </w:tr>
      <w:tr>
        <w:trPr>
          <w:trHeight w:val="212"/>
        </w:trPr>
        <w:tc>
          <w:tcPr>
            <w:tcW w:w="7140" w:type="dxa"/>
            <w:vAlign w:val="bottom"/>
            <w:shd w:val="clear" w:color="auto" w:fill="CCEEFF"/>
          </w:tcPr>
          <w:p>
            <w:pPr>
              <w:ind w:left="15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181,196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255,074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209,149</w:t>
            </w:r>
          </w:p>
        </w:tc>
      </w:tr>
      <w:tr>
        <w:trPr>
          <w:trHeight w:val="213"/>
        </w:trPr>
        <w:tc>
          <w:tcPr>
            <w:tcW w:w="7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Investing activities:</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9"/>
        </w:trPr>
        <w:tc>
          <w:tcPr>
            <w:tcW w:w="71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Purchases of property, plant and equipment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(27,577)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(79,892)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(19,226)</w:t>
            </w:r>
          </w:p>
        </w:tc>
      </w:tr>
      <w:tr>
        <w:trPr>
          <w:trHeight w:val="213"/>
        </w:trPr>
        <w:tc>
          <w:tcPr>
            <w:tcW w:w="71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Acquisition of businesses, net of cash acquired</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(144,541)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1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Sale of business</w:t>
            </w: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8,000</w:t>
            </w:r>
          </w:p>
        </w:tc>
      </w:tr>
      <w:tr>
        <w:trPr>
          <w:trHeight w:val="213"/>
        </w:trPr>
        <w:tc>
          <w:tcPr>
            <w:tcW w:w="71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Other</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(1,155)</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12"/>
        </w:trPr>
        <w:tc>
          <w:tcPr>
            <w:tcW w:w="7140" w:type="dxa"/>
            <w:vAlign w:val="bottom"/>
            <w:shd w:val="clear" w:color="auto" w:fill="CCEEFF"/>
          </w:tcPr>
          <w:p>
            <w:pPr>
              <w:ind w:left="15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(171,254)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(81,047)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(11,214)</w:t>
            </w:r>
          </w:p>
        </w:tc>
      </w:tr>
      <w:tr>
        <w:trPr>
          <w:trHeight w:val="213"/>
        </w:trPr>
        <w:tc>
          <w:tcPr>
            <w:tcW w:w="7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Financing activities:</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9"/>
        </w:trPr>
        <w:tc>
          <w:tcPr>
            <w:tcW w:w="71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Payment of dividends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(45,542)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(45,060)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(45,404)</w:t>
            </w:r>
          </w:p>
        </w:tc>
      </w:tr>
      <w:tr>
        <w:trPr>
          <w:trHeight w:val="213"/>
        </w:trPr>
        <w:tc>
          <w:tcPr>
            <w:tcW w:w="71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6,171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8,186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4,091</w:t>
            </w:r>
          </w:p>
        </w:tc>
      </w:tr>
      <w:tr>
        <w:trPr>
          <w:trHeight w:val="219"/>
        </w:trPr>
        <w:tc>
          <w:tcPr>
            <w:tcW w:w="71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Payments for employee taxes withheld from stock-based awards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(2,041)</w:t>
            </w:r>
          </w:p>
        </w:tc>
      </w:tr>
      <w:tr>
        <w:trPr>
          <w:trHeight w:val="213"/>
        </w:trPr>
        <w:tc>
          <w:tcPr>
            <w:tcW w:w="71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Purchase of treasury stock</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(50,838)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(72,225)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(74,996)</w:t>
            </w:r>
          </w:p>
        </w:tc>
      </w:tr>
      <w:tr>
        <w:trPr>
          <w:trHeight w:val="219"/>
        </w:trPr>
        <w:tc>
          <w:tcPr>
            <w:tcW w:w="71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Proceeds from borrowing on credit facilities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266,846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175,103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127,660</w:t>
            </w:r>
          </w:p>
        </w:tc>
      </w:tr>
      <w:tr>
        <w:trPr>
          <w:trHeight w:val="213"/>
        </w:trPr>
        <w:tc>
          <w:tcPr>
            <w:tcW w:w="71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Repayment of borrowing on credit facilities</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(258,015)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(133,884)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(172,944)</w:t>
            </w:r>
          </w:p>
        </w:tc>
      </w:tr>
      <w:tr>
        <w:trPr>
          <w:trHeight w:val="219"/>
        </w:trPr>
        <w:tc>
          <w:tcPr>
            <w:tcW w:w="71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r>
      <w:tr>
        <w:trPr>
          <w:trHeight w:val="207"/>
        </w:trPr>
        <w:tc>
          <w:tcPr>
            <w:tcW w:w="7140" w:type="dxa"/>
            <w:vAlign w:val="bottom"/>
          </w:tcPr>
          <w:p>
            <w:pPr>
              <w:ind w:left="15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(83,871)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(70,528)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(163,568)</w:t>
            </w:r>
          </w:p>
        </w:tc>
      </w:tr>
      <w:tr>
        <w:trPr>
          <w:trHeight w:val="219"/>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3,096</w:t>
            </w:r>
          </w:p>
        </w:tc>
      </w:tr>
      <w:tr>
        <w:trPr>
          <w:trHeight w:val="207"/>
        </w:trPr>
        <w:tc>
          <w:tcPr>
            <w:tcW w:w="7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(decrease) increase in cash and cash equivalents</w:t>
            </w: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(75,769)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98,586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37,463</w:t>
            </w:r>
          </w:p>
        </w:tc>
      </w:tr>
      <w:tr>
        <w:trPr>
          <w:trHeight w:val="219"/>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250,118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151,532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114,069</w:t>
            </w:r>
          </w:p>
        </w:tc>
      </w:tr>
      <w:tr>
        <w:trPr>
          <w:trHeight w:val="207"/>
        </w:trPr>
        <w:tc>
          <w:tcPr>
            <w:tcW w:w="7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end of period</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174,349</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250,118</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151,532</w:t>
            </w:r>
          </w:p>
        </w:tc>
      </w:tr>
      <w:tr>
        <w:trPr>
          <w:trHeight w:val="20"/>
        </w:trPr>
        <w:tc>
          <w:tcPr>
            <w:tcW w:w="7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26"/>
        </w:trPr>
        <w:tc>
          <w:tcPr>
            <w:tcW w:w="7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13"/>
        </w:trPr>
        <w:tc>
          <w:tcPr>
            <w:tcW w:w="7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Supplemental disclosures of cash flow information:</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9"/>
        </w:trPr>
        <w:tc>
          <w:tcPr>
            <w:tcW w:w="7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Cash paid during the period for:</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13"/>
        </w:trPr>
        <w:tc>
          <w:tcPr>
            <w:tcW w:w="71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Interest</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4,656</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2,930</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3,408</w:t>
            </w:r>
          </w:p>
        </w:tc>
      </w:tr>
      <w:tr>
        <w:trPr>
          <w:trHeight w:val="219"/>
        </w:trPr>
        <w:tc>
          <w:tcPr>
            <w:tcW w:w="71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Income taxes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71,077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62,073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6245860</wp:posOffset>
            </wp:positionH>
            <wp:positionV relativeFrom="paragraph">
              <wp:posOffset>-5434330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-5434330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Notes to Consolidated Financial Statements.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BRADY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July 31, 2025, 2024 and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Summary of Significant Accounting Policies</w:t>
      </w:r>
    </w:p>
    <w:p>
      <w:pPr>
        <w:spacing w:after="0" w:line="17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Nature of Operations — </w:t>
      </w:r>
      <w:r>
        <w:rPr>
          <w:rFonts w:ascii="Times New Roman" w:cs="Times New Roman" w:eastAsia="Times New Roman" w:hAnsi="Times New Roman"/>
          <w:sz w:val="18"/>
          <w:szCs w:val="18"/>
          <w:color w:val="auto"/>
        </w:rPr>
        <w:t>Brady Corporation is a global manufacturer and supplier of identification solutions and workplace safety products that identify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protect premises, products and people. The ability to provide customers with a broad range of proprietary, customized, and diverse products for use in various applications, along with a commitment to quality and service, a global footprint, and multiple sales channels, have made Brady a world leader in many of its markets.</w:t>
      </w:r>
    </w:p>
    <w:p>
      <w:pPr>
        <w:spacing w:after="0" w:line="126"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Principles of Consolidation — </w:t>
      </w:r>
      <w:r>
        <w:rPr>
          <w:rFonts w:ascii="Times New Roman" w:cs="Times New Roman" w:eastAsia="Times New Roman" w:hAnsi="Times New Roman"/>
          <w:sz w:val="18"/>
          <w:szCs w:val="18"/>
          <w:color w:val="auto"/>
        </w:rPr>
        <w:t>The accompanying consolidated financial statements include the accounts of Brady Corporation and its wholly owned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subsidiaries. All intercompany accounts and transactions between consolidated subsidiaries have been eliminated in consolidation.</w:t>
      </w:r>
    </w:p>
    <w:p>
      <w:pPr>
        <w:spacing w:after="0" w:line="10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Use of Estimates — </w:t>
      </w:r>
      <w:r>
        <w:rPr>
          <w:rFonts w:ascii="Times New Roman" w:cs="Times New Roman" w:eastAsia="Times New Roman" w:hAnsi="Times New Roman"/>
          <w:sz w:val="18"/>
          <w:szCs w:val="18"/>
          <w:color w:val="auto"/>
        </w:rPr>
        <w:t>The consolidated financial statements have been prepared in accordance with accounting principles generally accepted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United States (“U.S. GAAP”), which requires management to make estimates and assumptions that affect the reported amounts of assets and liabilities and disclosure of contingent assets and liabilities as of the date of the consolidated financial statements, and the reported amounts of revenues and expenses during the reporting period. Actual results could differ from those estimates.</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Acquisitions </w:t>
      </w:r>
      <w:r>
        <w:rPr>
          <w:rFonts w:ascii="Times New Roman" w:cs="Times New Roman" w:eastAsia="Times New Roman" w:hAnsi="Times New Roman"/>
          <w:sz w:val="18"/>
          <w:szCs w:val="18"/>
          <w:color w:val="auto"/>
        </w:rPr>
        <w:t>— The Company recognizes assets acquired, liabilities assumed, contractual contingencies and contingent consideration at their fair value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the acquisition date. The operating results of the acquired companies are included in the Company’s consolidated financial statements from the date of acquisition. Acquisition-related costs are expensed as incurred and changes in deferred tax asset valuation allowances and income tax uncertainties after the measurement period are recorded in income tax expense.</w:t>
      </w:r>
    </w:p>
    <w:p>
      <w:pPr>
        <w:spacing w:after="0" w:line="126"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Cash Equivalents — </w:t>
      </w:r>
      <w:r>
        <w:rPr>
          <w:rFonts w:ascii="Times New Roman" w:cs="Times New Roman" w:eastAsia="Times New Roman" w:hAnsi="Times New Roman"/>
          <w:sz w:val="18"/>
          <w:szCs w:val="18"/>
          <w:color w:val="auto"/>
        </w:rPr>
        <w:t>The Company considers all highly-liquid investments purchased with original maturities of three months or less to be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equivalents.</w:t>
      </w:r>
    </w:p>
    <w:p>
      <w:pPr>
        <w:spacing w:after="0" w:line="10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Concentration of Credit Risk </w:t>
      </w:r>
      <w:r>
        <w:rPr>
          <w:rFonts w:ascii="Times New Roman" w:cs="Times New Roman" w:eastAsia="Times New Roman" w:hAnsi="Times New Roman"/>
          <w:sz w:val="18"/>
          <w:szCs w:val="18"/>
          <w:color w:val="auto"/>
        </w:rPr>
        <w:t>— The Company places temporary cash investments with global financial institutions of high credit quality.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performs periodic evaluations of the relative credit standing of its financial institutions and limits the amount of credit exposure with any one financial institution. In addition, the Company has a broad customer base representing many diverse industries throughout the globe. Consequently, no significant concentration of credit risk is considered to exist.</w:t>
      </w:r>
    </w:p>
    <w:p>
      <w:pPr>
        <w:spacing w:after="0" w:line="12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Accounts Receivable — </w:t>
      </w:r>
      <w:r>
        <w:rPr>
          <w:rFonts w:ascii="Times New Roman" w:cs="Times New Roman" w:eastAsia="Times New Roman" w:hAnsi="Times New Roman"/>
          <w:sz w:val="18"/>
          <w:szCs w:val="18"/>
          <w:color w:val="auto"/>
        </w:rPr>
        <w:t>The Company's policy for estimating the allowance for credit losses on accounts receivables considers several factors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historical loss experience, the age of delinquent receivable balances due, and economic conditions. Specific customer reserves are made during review of significant outstanding balances due, in which customer creditworthiness and current economic trends may indicate that it is probable the receivable will not be recovered. Accounts receivable are written off after collection efforts occur and the receivable is deemed uncollectible. Adjustments to the allowance for credit losses are recorded in selling, general and administrative (“SG&amp;A”) expense.</w:t>
      </w:r>
    </w:p>
    <w:p>
      <w:pPr>
        <w:spacing w:after="0" w:line="1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Inventories — </w:t>
      </w:r>
      <w:r>
        <w:rPr>
          <w:rFonts w:ascii="Times New Roman" w:cs="Times New Roman" w:eastAsia="Times New Roman" w:hAnsi="Times New Roman"/>
          <w:sz w:val="18"/>
          <w:szCs w:val="18"/>
          <w:color w:val="auto"/>
        </w:rPr>
        <w:t>Inventories are stated at the lower of cost or net realizable value and include material, labor, and overhead. Cost has been determined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using the last-in, first-out (“LIFO”) method for certain inventories in the U.S. (12.8% of total inventories at July 31, 2025, and 13.0% of total inventories at July 31, 2024) and the first-in, first-out (“FIFO”) or average cost methods for all other inventories. Had all inventories been accounted for on a FIFO basis instead of on a LIFO basis, the carrying value of inventories would have increased by $12,006 and $11,582 as of July 31, 2025 and 2024, respectively.</w:t>
      </w:r>
    </w:p>
    <w:p>
      <w:pPr>
        <w:spacing w:after="0" w:line="1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Inventories consist of the following as of July 31:</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4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3"/>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Finished products</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109,726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89,430</w:t>
            </w:r>
          </w:p>
        </w:tc>
      </w:tr>
      <w:tr>
        <w:trPr>
          <w:trHeight w:val="213"/>
        </w:trPr>
        <w:tc>
          <w:tcPr>
            <w:tcW w:w="8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Work-in-process</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32,787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24,601</w:t>
            </w:r>
          </w:p>
        </w:tc>
      </w:tr>
      <w:tr>
        <w:trPr>
          <w:trHeight w:val="21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Raw materials and supplies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58,368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38,698</w:t>
            </w:r>
          </w:p>
        </w:tc>
      </w:tr>
      <w:tr>
        <w:trPr>
          <w:trHeight w:val="207"/>
        </w:trPr>
        <w:tc>
          <w:tcPr>
            <w:tcW w:w="84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inventories</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200,881</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152,729</w:t>
            </w:r>
          </w:p>
        </w:tc>
      </w:tr>
      <w:tr>
        <w:trPr>
          <w:trHeight w:val="23"/>
        </w:trPr>
        <w:tc>
          <w:tcPr>
            <w:tcW w:w="84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236"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Property, Plant and Equipment — </w:t>
      </w:r>
      <w:r>
        <w:rPr>
          <w:rFonts w:ascii="Times New Roman" w:cs="Times New Roman" w:eastAsia="Times New Roman" w:hAnsi="Times New Roman"/>
          <w:sz w:val="18"/>
          <w:szCs w:val="18"/>
          <w:color w:val="auto"/>
        </w:rPr>
        <w:t>Property, plant and equipment are stated at cost, less accumulated depreciation. Depreciation is computed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a straight-line basis over the estimated useful lives of the related assets. Leasehold</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improvements are depreciated over the shorter of the lease term or the estimated useful life of the respective asset. The estimated useful lives range from 3 to 33 years as shown below.</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Property, plant and equipment consist of the following as of July 31:</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320" w:type="dxa"/>
            <w:vAlign w:val="bottom"/>
          </w:tcPr>
          <w:p>
            <w:pPr>
              <w:spacing w:after="0"/>
              <w:rPr>
                <w:sz w:val="18"/>
                <w:szCs w:val="18"/>
                <w:color w:val="auto"/>
              </w:rPr>
            </w:pPr>
          </w:p>
        </w:tc>
        <w:tc>
          <w:tcPr>
            <w:tcW w:w="20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Range of Useful Lives</w:t>
            </w:r>
          </w:p>
        </w:tc>
        <w:tc>
          <w:tcPr>
            <w:tcW w:w="320" w:type="dxa"/>
            <w:vAlign w:val="bottom"/>
          </w:tcPr>
          <w:p>
            <w:pPr>
              <w:spacing w:after="0"/>
              <w:rPr>
                <w:sz w:val="18"/>
                <w:szCs w:val="18"/>
                <w:color w:val="auto"/>
              </w:rPr>
            </w:pPr>
          </w:p>
        </w:tc>
        <w:tc>
          <w:tcPr>
            <w:tcW w:w="104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3"/>
        </w:trPr>
        <w:tc>
          <w:tcPr>
            <w:tcW w:w="6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Land</w:t>
            </w:r>
          </w:p>
        </w:tc>
        <w:tc>
          <w:tcPr>
            <w:tcW w:w="1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31,194</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30,604</w:t>
            </w:r>
          </w:p>
        </w:tc>
      </w:tr>
      <w:tr>
        <w:trPr>
          <w:trHeight w:val="213"/>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Buildings and improvements</w:t>
            </w:r>
          </w:p>
        </w:tc>
        <w:tc>
          <w:tcPr>
            <w:tcW w:w="20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10 to 33 Years</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199,727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147,767</w:t>
            </w:r>
          </w:p>
        </w:tc>
      </w:tr>
      <w:tr>
        <w:trPr>
          <w:trHeight w:val="219"/>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Machinery and equipment</w:t>
            </w:r>
          </w:p>
        </w:tc>
        <w:tc>
          <w:tcPr>
            <w:tcW w:w="20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3 to 10 Years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295,174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288,885</w:t>
            </w:r>
          </w:p>
        </w:tc>
      </w:tr>
      <w:tr>
        <w:trPr>
          <w:trHeight w:val="213"/>
        </w:trPr>
        <w:tc>
          <w:tcPr>
            <w:tcW w:w="6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Construction in progress</w:t>
            </w:r>
          </w:p>
        </w:tc>
        <w:tc>
          <w:tcPr>
            <w:tcW w:w="19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13,255</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32,701</w:t>
            </w:r>
          </w:p>
        </w:tc>
      </w:tr>
      <w:tr>
        <w:trPr>
          <w:trHeight w:val="212"/>
        </w:trPr>
        <w:tc>
          <w:tcPr>
            <w:tcW w:w="6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Property, plant and equipment—gross</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539,350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499,957</w:t>
            </w:r>
          </w:p>
        </w:tc>
      </w:tr>
      <w:tr>
        <w:trPr>
          <w:trHeight w:val="213"/>
        </w:trPr>
        <w:tc>
          <w:tcPr>
            <w:tcW w:w="6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Accumulated depreciation</w:t>
            </w:r>
          </w:p>
        </w:tc>
        <w:tc>
          <w:tcPr>
            <w:tcW w:w="19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(313,778)</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(304,199)</w:t>
            </w:r>
          </w:p>
        </w:tc>
      </w:tr>
      <w:tr>
        <w:trPr>
          <w:trHeight w:val="234"/>
        </w:trPr>
        <w:tc>
          <w:tcPr>
            <w:tcW w:w="63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Property, plant and equipment—net</w:t>
            </w:r>
          </w:p>
        </w:tc>
        <w:tc>
          <w:tcPr>
            <w:tcW w:w="19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225,572</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195,758</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Depreciation expense was $21,723, $20,452, and $20,631 for the years ended July 31, 2025, 2024 and 2023, respectively.</w:t>
      </w:r>
    </w:p>
    <w:p>
      <w:pPr>
        <w:spacing w:after="0" w:line="16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Goodwill — </w:t>
      </w:r>
      <w:r>
        <w:rPr>
          <w:rFonts w:ascii="Times New Roman" w:cs="Times New Roman" w:eastAsia="Times New Roman" w:hAnsi="Times New Roman"/>
          <w:sz w:val="18"/>
          <w:szCs w:val="18"/>
          <w:color w:val="auto"/>
        </w:rPr>
        <w:t>The Company tests goodwill for impairment on an annual basis on the first day of the fourth quarter of each fiscal year, or more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frequently if events or changes in circumstances indicate that it may be impaired. Under U.S. GAAP, the Company has the option to first assess qualitative factors to determine if it is more likely than not that the fair value of one of its reporting units is greater than its carrying value (“Step 0”). If the qualitative assessment leads to a determination that the reporting unit’s fair value is less than its carrying value, or if the Company elects to bypass the qualitative assessment altogether, it is required to perform a quantitative impairment test (“Step 1”) by calculating the fair value of the reporting unit and comparing the fair value with its associated carrying value. During the fiscal year 2025 annual impairment test, the Company first assessed goodwill recoverability qualitatively using the Step 0 approach for each reporting unit. For the qualitative assessment, the Company considered the most recent quantitative analysis, which was performed during the fourth quarter of fiscal year 2023 for all three reporting units, including assumptions used, such as discount rates, indicated fair values, and the amounts by which those fair values exceeded their carrying amounts. Further, the Company compared actual performance in fiscal year 2025 to the internal financial projections used in the prior quantitative analyses. Additionally, the Company considered various other factors including macroeconomic conditions, relevant industry and market trends, and factors specific to the Company that could indicate a potential change in the fair value of the reporting units. Lastly, the Company evaluated whether any events have occurred or any circumstances have changed since that time that would indicate that goodwill may have become impaired since the last quantitative tests. Based on these qualitative assessments, the Company determined it is more likely than not that the fair value of each reporting unit exceeds its respective carrying value, and goodwill was not considered impaired as of May 1, 2025. As such, the Step 1 quantitative goodwill impairment analysis was not necessary. No goodwill impairment charges were recognized during the year ended July 31, 2025.</w:t>
      </w:r>
    </w:p>
    <w:p>
      <w:pPr>
        <w:spacing w:after="0" w:line="141"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Other Intangible and Long-Lived Assets — </w:t>
      </w:r>
      <w:r>
        <w:rPr>
          <w:rFonts w:ascii="Times New Roman" w:cs="Times New Roman" w:eastAsia="Times New Roman" w:hAnsi="Times New Roman"/>
          <w:sz w:val="18"/>
          <w:szCs w:val="18"/>
          <w:color w:val="auto"/>
        </w:rPr>
        <w:t>Intangible assets with definite lives are amortized on a straight-line basis over their estimated useful lives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reflect the pattern of economic benefits consumed. Intangible assets with indefinite lives as well as goodwill are not subject to amortization. These assets are assessed for impairment on an annual basis or more frequently if events or changes in circumstances have occurred that indicate the asset may not be recoverable or that the remaining estimated useful life may warrant revision. In addition, the Company performs qualitative assessments on a quarterly basis of significant events and circumstances, such as historical and current results, assumptions regarding future performance, and strategic initiatives and overall economic factors.</w:t>
      </w:r>
    </w:p>
    <w:p>
      <w:pPr>
        <w:spacing w:after="0" w:line="13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evaluates indefinite-lived intangible assets for impairment by comparing the estimated fair value of the asset to the carrying value. Fair value is estimated using the income approach based upon current sales projections applying the relief from royalty method. If the carrying value of the indefinite-lived intangible asset exceeds its fair value, an impairment loss is recognized in an amount equal to that excess. The Company evaluates long-lived assets, including finite-lived intangible assets, operating lease assets, and property, plant, and equipment, for recoverability by comparing an estimate of undiscounted future cash flows, derived from internal forecasts, over the remaining life of the primary asset to the carrying amount of the asset group. To the extent the undiscounted future cash flows attributable to the asset are less than the carrying amount, an impairment loss is recognized for the amount by which the carrying value of the asset exceeds its fair value.</w:t>
      </w:r>
    </w:p>
    <w:p>
      <w:pPr>
        <w:spacing w:after="0" w:line="13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fiscal 2025, long-lived and other intangible assets were analyzed for potential impairment. As a result of the analysis, no impairment charges were recorded.</w:t>
      </w:r>
    </w:p>
    <w:p>
      <w:pPr>
        <w:spacing w:after="0" w:line="106"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Leases </w:t>
      </w:r>
      <w:r>
        <w:rPr>
          <w:rFonts w:ascii="Times New Roman" w:cs="Times New Roman" w:eastAsia="Times New Roman" w:hAnsi="Times New Roman"/>
          <w:sz w:val="18"/>
          <w:szCs w:val="18"/>
          <w:color w:val="auto"/>
        </w:rPr>
        <w:t>— The Company accounts for leases in accordance with Accounting Standards Codification (“ASC”) 842 “Leases.” The Company determines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whether an arrangement contains a lease at contract inception based on whether the arrangement provides the Company with the right to direct the use of and the right to obtain substantially all of the economic benefits from</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 identified asset in exchange for consideration. The Company recognizes a right-of-use (“ROU” ) asset and lease liability for its lease commitments with initial terms greater than one year.</w:t>
      </w:r>
    </w:p>
    <w:p>
      <w:pPr>
        <w:spacing w:after="0" w:line="10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initial measurement of ROU assets and lease liabilities are recognized at the lease commencement date based on the present value of future lease payments over the expected lease term. The ROU asset also includes any lease payments made on or before the commencement date, initial direct costs incurred, and is reduced by any lease incentives received. Some of the Company’s leases include options to extend the lease agreement, of which the exercise is at the Company’s sole discretion. The majority of renewal options are not included in the calculation of ROU assets and liabilities as they are not reasonably certain to be exercised. Some of the Company's lease agreements include rental payments that are adjusted periodically for inflation or the change in an index or rate. These variable lease payments are generally excluded from the initial measurement of the ROU asset and lease liability and are recognized in the period in which the obligation for those payments is incurred. The Company has lease agreements that include both lease and non-lease components, which the Company elected to account for as a single lease component.</w:t>
      </w:r>
    </w:p>
    <w:p>
      <w:pPr>
        <w:spacing w:after="0" w:line="13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determines the present value of future lease payments using its incremental borrowing rate, as the discount rate implicit within the Company’s leases generally cannot be readily determined. The incremental borrowing rate is estimated based on the sovereign credit rating for the countries in which the Company has its largest operations, adjusted for several factors, such as internal credit spread, lease terms, and other market information available at the lease commencement date.</w:t>
      </w:r>
    </w:p>
    <w:p>
      <w:pPr>
        <w:spacing w:after="0" w:line="12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of July 31, 2025, all leases are accounted for as operating leases, with lease expense being recognized on a straight-line basis over the lease term. Operating leases are reflected in “Operating lease assets,” “Current operating lease liabilities,” and “Long-term operating lease liabilities” in the accompanying consolidated balance sheets. Operating lease expense is recognized in either cost of goods sold or selling, general, and administrative expenses in the consolidated statements of income, based on the nature of the lease. ROU assets are evaluated for impairment in the same manner as long-lived assets. No impairment charges were recognized related to operating lease assets during the year ended July 31, 2025.</w:t>
      </w:r>
    </w:p>
    <w:p>
      <w:pPr>
        <w:spacing w:after="0" w:line="12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Revenue Recognition — </w:t>
      </w:r>
      <w:r>
        <w:rPr>
          <w:rFonts w:ascii="Times New Roman" w:cs="Times New Roman" w:eastAsia="Times New Roman" w:hAnsi="Times New Roman"/>
          <w:sz w:val="18"/>
          <w:szCs w:val="18"/>
          <w:color w:val="auto"/>
        </w:rPr>
        <w:t>The Company recognizes revenue when a sales arrangement with a customer exists, the transaction price is fixed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determinable and the Company has satisfied its performance obligations per the sales arrangement. The majority of the Company’s revenue relates to the sale of identification and safety products and revenue is recognized at the point in which the customer obtains control of the products. The Company considers control to have transferred when legal title, physical possession, and the significant risks and rewards of ownership of the asset have transferred to the customer and the collection of the transaction price is reasonably assured, most of which occur upon the shipment or delivery of goods to customers. Revenue is measured at the determinable transaction price, net of estimated sales returns, including product returns and credit memos, and sales rebates. The Company estimates product returns and credit memos based on historical return rates. As of July 31, 2025 and 2024, the allowance for product returns and credit memos was $5,434 and $4,210, respectively.</w:t>
      </w:r>
    </w:p>
    <w:p>
      <w:pPr>
        <w:spacing w:after="0" w:line="131"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Shipping and Handling Costs — </w:t>
      </w:r>
      <w:r>
        <w:rPr>
          <w:rFonts w:ascii="Times New Roman" w:cs="Times New Roman" w:eastAsia="Times New Roman" w:hAnsi="Times New Roman"/>
          <w:sz w:val="18"/>
          <w:szCs w:val="18"/>
          <w:color w:val="auto"/>
        </w:rPr>
        <w:t>Shipping and handling fees billed to a customer in a sale transaction are reported as net sales and the related costs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incurred for shipping and handling are reported in cost of goods sold.</w:t>
      </w:r>
    </w:p>
    <w:p>
      <w:pPr>
        <w:spacing w:after="0" w:line="104"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Advertising Costs — </w:t>
      </w:r>
      <w:r>
        <w:rPr>
          <w:rFonts w:ascii="Times New Roman" w:cs="Times New Roman" w:eastAsia="Times New Roman" w:hAnsi="Times New Roman"/>
          <w:sz w:val="18"/>
          <w:szCs w:val="18"/>
          <w:color w:val="auto"/>
        </w:rPr>
        <w:t>Advertising costs are expensed as incurred. Advertising expense for the years ended July 31, 2025, 2024, and 2023 was $50,349,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$50,296, and $53,591, respectively.</w:t>
      </w:r>
    </w:p>
    <w:p>
      <w:pPr>
        <w:spacing w:after="0" w:line="10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Stock-Based Compensation — </w:t>
      </w:r>
      <w:r>
        <w:rPr>
          <w:rFonts w:ascii="Times New Roman" w:cs="Times New Roman" w:eastAsia="Times New Roman" w:hAnsi="Times New Roman"/>
          <w:sz w:val="18"/>
          <w:szCs w:val="18"/>
          <w:color w:val="auto"/>
        </w:rPr>
        <w:t>The Company measures and recognizes the compensation expense for all share-based awards made to employees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based on estimated grant-date fair values. The Black-Scholes option valuation model is used to determine the fair value of stock option awards on the date of grant. The Company recognizes the compensation cost, net of estimated forfeitures, of all share-based awards on a straight-line basis over the vesting period of the award. If it is determined that it is unlikely the award will vest, the expense recognized to date for the award is generally reversed in the period in which this is evident and the remaining expense is not recorded.</w:t>
      </w:r>
    </w:p>
    <w:p>
      <w:pPr>
        <w:spacing w:after="0" w:line="13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Black-Scholes model requires the use of assumptions which determine the fair value of stock-based awards. The Company uses historical data regarding stock option exercise behaviors to estimate the expected term of options granted based on the period of time that options granted are expected to be outstanding. Expected volatilities are based on the historical volatility of the Company’s stock. The expected dividend yield is based on the Company’s historical dividend payments and historical yield. The risk-free interest rate is based on the U.S. Treasury yield curve in effect on the grant date for the length of time corresponding to the expected term of the option. The market value is calculated as the average of the high and the low stock price on the date of the grant. Refer to Note 7, “Stockholders' Equity” for more information regarding the Company’s incentive stock plans.</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Research and Development — </w:t>
      </w:r>
      <w:r>
        <w:rPr>
          <w:rFonts w:ascii="Times New Roman" w:cs="Times New Roman" w:eastAsia="Times New Roman" w:hAnsi="Times New Roman"/>
          <w:sz w:val="18"/>
          <w:szCs w:val="18"/>
          <w:color w:val="auto"/>
        </w:rPr>
        <w:t>Amounts expended for research and development are expensed as incurred.</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Comprehensive Income — </w:t>
      </w:r>
      <w:r>
        <w:rPr>
          <w:rFonts w:ascii="Times New Roman" w:cs="Times New Roman" w:eastAsia="Times New Roman" w:hAnsi="Times New Roman"/>
          <w:sz w:val="18"/>
          <w:szCs w:val="18"/>
          <w:color w:val="auto"/>
        </w:rPr>
        <w:t>Other comprehensive income consists of net unrealized gains and losses from cash flow hedges, the unamortized gain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defined-benefit pension plans net of their related tax effects, and foreign currency translation adjustments, which includes the impact of foreign currency translations, the settlements of net investment hedges, and long-term intercompany loan translation adjustments.</w:t>
      </w:r>
    </w:p>
    <w:p>
      <w:pPr>
        <w:spacing w:after="0" w:line="119"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Foreign Currency Translation — </w:t>
      </w:r>
      <w:r>
        <w:rPr>
          <w:rFonts w:ascii="Times New Roman" w:cs="Times New Roman" w:eastAsia="Times New Roman" w:hAnsi="Times New Roman"/>
          <w:sz w:val="18"/>
          <w:szCs w:val="18"/>
          <w:color w:val="auto"/>
        </w:rPr>
        <w:t>The assets and liabilities of subsidiaries whose functional currency is a currency other than the U.S. dollar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translated into U.S. dollars at end of period rates of exchange, and income and expense accounts are translated at the average rates of exchange for the period. Resulting foreign currency translation adjustments are included in other comprehensive income.</w:t>
      </w:r>
    </w:p>
    <w:p>
      <w:pPr>
        <w:spacing w:after="0" w:line="119"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Income Taxes — </w:t>
      </w:r>
      <w:r>
        <w:rPr>
          <w:rFonts w:ascii="Times New Roman" w:cs="Times New Roman" w:eastAsia="Times New Roman" w:hAnsi="Times New Roman"/>
          <w:sz w:val="18"/>
          <w:szCs w:val="18"/>
          <w:color w:val="auto"/>
        </w:rPr>
        <w:t>The Company accounts for income taxes in accordance with ASC 740 “Income Taxes.” Deferred income tax assets and liabilities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recognized for the expected future tax consequences attributable to differences between the financial reporting and tax basis of assets and liabilities. Deferred tax assets and liabilities are measured using the currently enacted tax laws and rates applicable to the periods in which the differences are expected to be realized or settled. Valuation allowances are established when it is estimated that it is more likely than not that the tax benefit of the deferred tax asset will not be realized. The Company recognizes the benefit of income tax positions only if those positions are more likely than not to be sustained upon examination by the tax authority. Changes in recognition or measurement are reflected in the period in which a change in judgment occurs.</w:t>
      </w:r>
    </w:p>
    <w:p>
      <w:pPr>
        <w:spacing w:after="0" w:line="12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Fair Value of Financial Instruments — </w:t>
      </w:r>
      <w:r>
        <w:rPr>
          <w:rFonts w:ascii="Times New Roman" w:cs="Times New Roman" w:eastAsia="Times New Roman" w:hAnsi="Times New Roman"/>
          <w:sz w:val="18"/>
          <w:szCs w:val="18"/>
          <w:color w:val="auto"/>
        </w:rPr>
        <w:t>The Company believes that the carrying amount of its financial instruments (cash and cash equivalents,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accounts receivable, accounts payable, and other current liabilities) approximates fair value due to the short-term nature of these instruments. Refer to Note 6, “Debt” for more information regarding the fair value of long-term debt and Note 13, “Fair Value Measurements” for information regarding fair value measurements.</w:t>
      </w:r>
    </w:p>
    <w:p>
      <w:pPr>
        <w:spacing w:after="0" w:line="12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Foreign Currency Hedging — </w:t>
      </w:r>
      <w:r>
        <w:rPr>
          <w:rFonts w:ascii="Times New Roman" w:cs="Times New Roman" w:eastAsia="Times New Roman" w:hAnsi="Times New Roman"/>
          <w:sz w:val="18"/>
          <w:szCs w:val="18"/>
          <w:color w:val="auto"/>
        </w:rPr>
        <w:t>The objective of the Company’s foreign currency exchange risk management is to minimize the impact of currency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movements on non-functional currency transactions and minimize the foreign currency translation impact on the Company’s foreign operations. While the Company’s risk management objectives and strategies are driven from an economic perspective, the Company attempts, where possible and practical, to ensure that the hedging strategies it engages in qualify for hedge accounting and result in accounting treatment where the earnings effect of the hedging instrument provides substantial offset (in the same period) to the income effect of the hedged item.</w:t>
      </w:r>
    </w:p>
    <w:p>
      <w:pPr>
        <w:spacing w:after="0" w:line="13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recognizes derivative instruments as either assets or liabilities in the accompanying consolidated balance sheets at fair value. Gains and losses resulting from changes in fair value of the derivatives designated as hedges are recorded as a component of Accumulated Other Comprehensive Income (“AOCI”) in the accompanying consolidated balance sheets and in the consolidated statements of comprehensive income and are reclassified into the same income statement line item in the period or periods during which the hedged transaction affects income. Refer to Note 14, “Derivatives and Hedging Activities” for more information regarding the Company’s derivative instruments and hedging activities.</w:t>
      </w:r>
    </w:p>
    <w:p>
      <w:pPr>
        <w:spacing w:after="0" w:line="1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New Accounting Standards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Adopted Standards</w:t>
      </w:r>
    </w:p>
    <w:p>
      <w:pPr>
        <w:spacing w:after="0" w:line="17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Accounting Standards Update (“ASU”) 2023-07, “Segment Reporting (Topic 280): Improvements to Reportable Segment Disclosures.” The guidance requires expanded interim and annual disclosures of segment information including the disclosure of significant segment expenses that are regularly provided to the chief operating decision maker and included within segment profit and loss. The Company adopted ASU 2023-07 for the year ended July 31, 2025, with retrospective application of the expanded segment information for the years ended July 31, 2024 and 2023. Additional information regarding the Company's reportable segments is included in Note 10 to the consolidated financial statements.</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Standards not yet adopted</w:t>
      </w:r>
    </w:p>
    <w:p>
      <w:pPr>
        <w:spacing w:after="0" w:line="17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The guidance requires expanded annual disclosures including the standardization and disaggregation of income tax rate reconciliation categories and the amount of income taxes paid by jurisdiction. The guidance is effective for the Company’s fiscal year 2026 Form 10-K. The adoption of this guidance is not anticipated to have a material impact on the consolidated financial statements.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 Reporting Comprehensive Income - Expense Disaggregation Disclosures (Subtopic 220-40): Disaggregation of Income Statement Expenses.” The guidance requires expanded interim and annual disclosures of expense information including the amounts of inventory purchases, employee compensation, depreciation, amortization, and depletion within commonly presented expense captions during the period. The guidance is effective for the Company's fiscal 2028 Form 10-K and interim periods thereafter. The Company is currently evaluating the ASU to determine its impact on the Company's disclosures.</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Goodwill</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Changes in the carrying amount of goodwill by reportable segment for the years ended July 31, 2025 and 2024, were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Americas &amp;</w:t>
            </w:r>
          </w:p>
        </w:tc>
        <w:tc>
          <w:tcPr>
            <w:tcW w:w="180" w:type="dxa"/>
            <w:vAlign w:val="bottom"/>
          </w:tcPr>
          <w:p>
            <w:pPr>
              <w:spacing w:after="0"/>
              <w:rPr>
                <w:sz w:val="16"/>
                <w:szCs w:val="16"/>
                <w:color w:val="auto"/>
              </w:rPr>
            </w:pP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Europe &amp;</w:t>
            </w:r>
          </w:p>
        </w:tc>
        <w:tc>
          <w:tcPr>
            <w:tcW w:w="260" w:type="dxa"/>
            <w:vAlign w:val="bottom"/>
          </w:tcPr>
          <w:p>
            <w:pPr>
              <w:spacing w:after="0"/>
              <w:rPr>
                <w:sz w:val="16"/>
                <w:szCs w:val="16"/>
                <w:color w:val="auto"/>
              </w:rPr>
            </w:pPr>
          </w:p>
        </w:tc>
        <w:tc>
          <w:tcPr>
            <w:tcW w:w="920" w:type="dxa"/>
            <w:vAlign w:val="bottom"/>
            <w:vMerge w:val="restart"/>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7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Asia</w:t>
            </w:r>
          </w:p>
        </w:tc>
        <w:tc>
          <w:tcPr>
            <w:tcW w:w="180" w:type="dxa"/>
            <w:vAlign w:val="bottom"/>
          </w:tcPr>
          <w:p>
            <w:pPr>
              <w:spacing w:after="0"/>
              <w:rPr>
                <w:sz w:val="18"/>
                <w:szCs w:val="18"/>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Australia</w:t>
            </w:r>
          </w:p>
        </w:tc>
        <w:tc>
          <w:tcPr>
            <w:tcW w:w="2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7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July 31, 2023</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441,415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151,231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592,646</w:t>
            </w:r>
          </w:p>
        </w:tc>
        <w:tc>
          <w:tcPr>
            <w:tcW w:w="0" w:type="dxa"/>
            <w:vAlign w:val="bottom"/>
          </w:tcPr>
          <w:p>
            <w:pPr>
              <w:spacing w:after="0"/>
              <w:rPr>
                <w:sz w:val="1"/>
                <w:szCs w:val="1"/>
                <w:color w:val="auto"/>
              </w:rPr>
            </w:pPr>
          </w:p>
        </w:tc>
      </w:tr>
      <w:tr>
        <w:trPr>
          <w:trHeight w:val="20"/>
        </w:trPr>
        <w:tc>
          <w:tcPr>
            <w:tcW w:w="7240" w:type="dxa"/>
            <w:vAlign w:val="bottom"/>
            <w:tcBorders>
              <w:top w:val="single" w:sz="8" w:color="CCEEFF"/>
              <w:bottom w:val="single" w:sz="8" w:color="CCEEFF"/>
            </w:tcBorders>
            <w:vMerge w:val="restart"/>
          </w:tcPr>
          <w:p>
            <w:pPr>
              <w:ind w:left="360"/>
              <w:spacing w:after="0"/>
              <w:rPr>
                <w:sz w:val="20"/>
                <w:szCs w:val="20"/>
                <w:color w:val="auto"/>
              </w:rPr>
            </w:pPr>
            <w:r>
              <w:rPr>
                <w:rFonts w:ascii="Times New Roman" w:cs="Times New Roman" w:eastAsia="Times New Roman" w:hAnsi="Times New Roman"/>
                <w:sz w:val="16"/>
                <w:szCs w:val="16"/>
                <w:color w:val="auto"/>
              </w:rPr>
              <w:t>Translation adjustments</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24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(2,236)</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(799)</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(3,035)</w:t>
            </w:r>
          </w:p>
        </w:tc>
        <w:tc>
          <w:tcPr>
            <w:tcW w:w="0" w:type="dxa"/>
            <w:vAlign w:val="bottom"/>
          </w:tcPr>
          <w:p>
            <w:pPr>
              <w:spacing w:after="0"/>
              <w:rPr>
                <w:sz w:val="1"/>
                <w:szCs w:val="1"/>
                <w:color w:val="auto"/>
              </w:rPr>
            </w:pPr>
          </w:p>
        </w:tc>
      </w:tr>
      <w:tr>
        <w:trPr>
          <w:trHeight w:val="234"/>
        </w:trPr>
        <w:tc>
          <w:tcPr>
            <w:tcW w:w="7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July 31, 2024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439,179</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150,432</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589,611</w:t>
            </w:r>
          </w:p>
        </w:tc>
        <w:tc>
          <w:tcPr>
            <w:tcW w:w="0" w:type="dxa"/>
            <w:vAlign w:val="bottom"/>
          </w:tcPr>
          <w:p>
            <w:pPr>
              <w:spacing w:after="0"/>
              <w:rPr>
                <w:sz w:val="1"/>
                <w:szCs w:val="1"/>
                <w:color w:val="auto"/>
              </w:rPr>
            </w:pPr>
          </w:p>
        </w:tc>
      </w:tr>
      <w:tr>
        <w:trPr>
          <w:trHeight w:val="20"/>
        </w:trPr>
        <w:tc>
          <w:tcPr>
            <w:tcW w:w="7240" w:type="dxa"/>
            <w:vAlign w:val="bottom"/>
            <w:tcBorders>
              <w:top w:val="single" w:sz="8" w:color="CCEEFF"/>
              <w:bottom w:val="single" w:sz="8" w:color="CCEEFF"/>
            </w:tcBorders>
            <w:vMerge w:val="restart"/>
          </w:tcPr>
          <w:p>
            <w:pPr>
              <w:ind w:left="360"/>
              <w:spacing w:after="0"/>
              <w:rPr>
                <w:sz w:val="20"/>
                <w:szCs w:val="20"/>
                <w:color w:val="auto"/>
              </w:rPr>
            </w:pPr>
            <w:r>
              <w:rPr>
                <w:rFonts w:ascii="Times New Roman" w:cs="Times New Roman" w:eastAsia="Times New Roman" w:hAnsi="Times New Roman"/>
                <w:sz w:val="16"/>
                <w:szCs w:val="16"/>
                <w:color w:val="auto"/>
              </w:rPr>
              <w:t>Current year acquisitions</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2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57,030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19,227</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76,257</w:t>
            </w:r>
          </w:p>
        </w:tc>
        <w:tc>
          <w:tcPr>
            <w:tcW w:w="0" w:type="dxa"/>
            <w:vAlign w:val="bottom"/>
          </w:tcPr>
          <w:p>
            <w:pPr>
              <w:spacing w:after="0"/>
              <w:rPr>
                <w:sz w:val="1"/>
                <w:szCs w:val="1"/>
                <w:color w:val="auto"/>
              </w:rPr>
            </w:pPr>
          </w:p>
        </w:tc>
      </w:tr>
      <w:tr>
        <w:trPr>
          <w:trHeight w:val="219"/>
        </w:trPr>
        <w:tc>
          <w:tcPr>
            <w:tcW w:w="7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Translation adjustments</w:t>
            </w: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9,637</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11,077</w:t>
            </w:r>
          </w:p>
        </w:tc>
        <w:tc>
          <w:tcPr>
            <w:tcW w:w="0" w:type="dxa"/>
            <w:vAlign w:val="bottom"/>
          </w:tcPr>
          <w:p>
            <w:pPr>
              <w:spacing w:after="0"/>
              <w:rPr>
                <w:sz w:val="1"/>
                <w:szCs w:val="1"/>
                <w:color w:val="auto"/>
              </w:rPr>
            </w:pPr>
          </w:p>
        </w:tc>
      </w:tr>
      <w:tr>
        <w:trPr>
          <w:trHeight w:val="207"/>
        </w:trPr>
        <w:tc>
          <w:tcPr>
            <w:tcW w:w="7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as of July 31, 2025</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497,649</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179,296</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676,945</w:t>
            </w:r>
          </w:p>
        </w:tc>
        <w:tc>
          <w:tcPr>
            <w:tcW w:w="0" w:type="dxa"/>
            <w:vAlign w:val="bottom"/>
          </w:tcPr>
          <w:p>
            <w:pPr>
              <w:spacing w:after="0"/>
              <w:rPr>
                <w:sz w:val="1"/>
                <w:szCs w:val="1"/>
                <w:color w:val="auto"/>
              </w:rPr>
            </w:pPr>
          </w:p>
        </w:tc>
      </w:tr>
      <w:tr>
        <w:trPr>
          <w:trHeight w:val="23"/>
        </w:trPr>
        <w:tc>
          <w:tcPr>
            <w:tcW w:w="7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Goodwill increased $87,334 during the year ended July 31, 2025. Of the $87,334 increase, $66,178 was due to the acquisition of Gravotech, $10,079 was due to the acquisition of AB&amp;R and $11,077 was due to the positive effects of foreign currency translation.</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Goodwill decreased $3,035 during the year ended July 31, 2024 due to the negative effects of foreign currency translation.</w:t>
      </w:r>
    </w:p>
    <w:p>
      <w:pPr>
        <w:spacing w:after="0" w:line="17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qualitative assessment performed on May 1, 2025, in accordance with ASC 350, “Intangibles - Goodwill and Other” indicated that it is more likely than not that the fair value exceeds the carrying value for each of the three reporting units with goodwill (North America, Europe and Latin America).</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Other Intangible Assets</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Other intangible assets include customer relationships, tradenames, and technology with finite lives being amortized in accordance with the accounting guidance for other intangible assets. The Company also has unamortized indefinite-lived tradenames that are classified as other intangible assets.</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Other intangible assets as of July 31, 2025 and 2024 consisted of the following:</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4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July 31, 2025</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July 31, 2024</w:t>
            </w: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960" w:type="dxa"/>
            <w:vAlign w:val="bottom"/>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2960" w:type="dxa"/>
            <w:vAlign w:val="bottom"/>
          </w:tcPr>
          <w:p>
            <w:pPr>
              <w:spacing w:after="0"/>
              <w:rPr>
                <w:sz w:val="11"/>
                <w:szCs w:val="11"/>
                <w:color w:val="auto"/>
              </w:rPr>
            </w:pPr>
          </w:p>
        </w:tc>
        <w:tc>
          <w:tcPr>
            <w:tcW w:w="120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1"/>
                <w:szCs w:val="11"/>
                <w:color w:val="auto"/>
              </w:rPr>
            </w:pPr>
          </w:p>
        </w:tc>
        <w:tc>
          <w:tcPr>
            <w:tcW w:w="8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jc w:val="center"/>
              <w:ind w:right="120"/>
              <w:spacing w:after="0" w:line="12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1"/>
                <w:szCs w:val="11"/>
                <w:color w:val="auto"/>
              </w:rPr>
            </w:pPr>
          </w:p>
        </w:tc>
        <w:tc>
          <w:tcPr>
            <w:tcW w:w="8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960" w:type="dxa"/>
            <w:vAlign w:val="bottom"/>
          </w:tcPr>
          <w:p>
            <w:pPr>
              <w:spacing w:after="0"/>
              <w:rPr>
                <w:sz w:val="12"/>
                <w:szCs w:val="12"/>
                <w:color w:val="auto"/>
              </w:rPr>
            </w:pPr>
          </w:p>
        </w:tc>
        <w:tc>
          <w:tcPr>
            <w:tcW w:w="12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Net Book</w:t>
            </w:r>
          </w:p>
        </w:tc>
        <w:tc>
          <w:tcPr>
            <w:tcW w:w="120" w:type="dxa"/>
            <w:vAlign w:val="bottom"/>
          </w:tcPr>
          <w:p>
            <w:pPr>
              <w:spacing w:after="0"/>
              <w:rPr>
                <w:sz w:val="12"/>
                <w:szCs w:val="12"/>
                <w:color w:val="auto"/>
              </w:rPr>
            </w:pPr>
          </w:p>
        </w:tc>
        <w:tc>
          <w:tcPr>
            <w:tcW w:w="12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72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Net Book</w:t>
            </w:r>
          </w:p>
        </w:tc>
        <w:tc>
          <w:tcPr>
            <w:tcW w:w="0" w:type="dxa"/>
            <w:vAlign w:val="bottom"/>
          </w:tcPr>
          <w:p>
            <w:pPr>
              <w:spacing w:after="0"/>
              <w:rPr>
                <w:sz w:val="1"/>
                <w:szCs w:val="1"/>
                <w:color w:val="auto"/>
              </w:rPr>
            </w:pPr>
          </w:p>
        </w:tc>
      </w:tr>
      <w:tr>
        <w:trPr>
          <w:trHeight w:val="148"/>
        </w:trPr>
        <w:tc>
          <w:tcPr>
            <w:tcW w:w="2960" w:type="dxa"/>
            <w:vAlign w:val="bottom"/>
          </w:tcPr>
          <w:p>
            <w:pPr>
              <w:spacing w:after="0"/>
              <w:rPr>
                <w:sz w:val="12"/>
                <w:szCs w:val="12"/>
                <w:color w:val="auto"/>
              </w:rPr>
            </w:pPr>
          </w:p>
        </w:tc>
        <w:tc>
          <w:tcPr>
            <w:tcW w:w="12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12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10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960" w:type="dxa"/>
            <w:vAlign w:val="bottom"/>
          </w:tcPr>
          <w:p>
            <w:pPr>
              <w:spacing w:after="0"/>
              <w:rPr>
                <w:sz w:val="17"/>
                <w:szCs w:val="17"/>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Period (Years)</w:t>
            </w:r>
          </w:p>
        </w:tc>
        <w:tc>
          <w:tcPr>
            <w:tcW w:w="120" w:type="dxa"/>
            <w:vAlign w:val="bottom"/>
          </w:tcPr>
          <w:p>
            <w:pPr>
              <w:spacing w:after="0"/>
              <w:rPr>
                <w:sz w:val="17"/>
                <w:szCs w:val="17"/>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7"/>
                <w:szCs w:val="17"/>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20" w:type="dxa"/>
            <w:vAlign w:val="bottom"/>
          </w:tcPr>
          <w:p>
            <w:pPr>
              <w:spacing w:after="0"/>
              <w:rPr>
                <w:sz w:val="17"/>
                <w:szCs w:val="17"/>
                <w:color w:val="auto"/>
              </w:rPr>
            </w:pPr>
          </w:p>
        </w:tc>
        <w:tc>
          <w:tcPr>
            <w:tcW w:w="58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Pr>
          <w:p>
            <w:pPr>
              <w:spacing w:after="0"/>
              <w:rPr>
                <w:sz w:val="17"/>
                <w:szCs w:val="17"/>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Period (Years)</w:t>
            </w:r>
          </w:p>
        </w:tc>
        <w:tc>
          <w:tcPr>
            <w:tcW w:w="100" w:type="dxa"/>
            <w:vAlign w:val="bottom"/>
          </w:tcPr>
          <w:p>
            <w:pPr>
              <w:spacing w:after="0"/>
              <w:rPr>
                <w:sz w:val="17"/>
                <w:szCs w:val="17"/>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7"/>
                <w:szCs w:val="17"/>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7"/>
                <w:szCs w:val="17"/>
                <w:color w:val="auto"/>
              </w:rPr>
            </w:pPr>
          </w:p>
        </w:tc>
        <w:tc>
          <w:tcPr>
            <w:tcW w:w="58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89"/>
        </w:trPr>
        <w:tc>
          <w:tcPr>
            <w:tcW w:w="2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Amortized other intangible assets:</w:t>
            </w:r>
          </w:p>
        </w:tc>
        <w:tc>
          <w:tcPr>
            <w:tcW w:w="1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Tradenames</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912</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w:t>
            </w:r>
          </w:p>
        </w:tc>
        <w:tc>
          <w:tcPr>
            <w:tcW w:w="122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w w:val="85"/>
              </w:rPr>
              <w:t>3</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Customer relationships</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125,497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(38,427)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87,070</w:t>
            </w:r>
          </w:p>
        </w:tc>
        <w:tc>
          <w:tcPr>
            <w:tcW w:w="1220" w:type="dxa"/>
            <w:vAlign w:val="bottom"/>
            <w:gridSpan w:val="2"/>
            <w:shd w:val="clear" w:color="auto" w:fill="CCEEFF"/>
          </w:tcPr>
          <w:p>
            <w:pPr>
              <w:jc w:val="center"/>
              <w:ind w:left="48"/>
              <w:spacing w:after="0"/>
              <w:rPr>
                <w:sz w:val="20"/>
                <w:szCs w:val="20"/>
                <w:color w:val="auto"/>
              </w:rPr>
            </w:pPr>
            <w:r>
              <w:rPr>
                <w:rFonts w:ascii="Times New Roman" w:cs="Times New Roman" w:eastAsia="Times New Roman" w:hAnsi="Times New Roman"/>
                <w:sz w:val="14"/>
                <w:szCs w:val="14"/>
                <w:color w:val="auto"/>
                <w:w w:val="85"/>
              </w:rPr>
              <w:t>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64,430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(23,279)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41,151</w:t>
            </w:r>
          </w:p>
        </w:tc>
        <w:tc>
          <w:tcPr>
            <w:tcW w:w="0" w:type="dxa"/>
            <w:vAlign w:val="bottom"/>
          </w:tcPr>
          <w:p>
            <w:pPr>
              <w:spacing w:after="0"/>
              <w:rPr>
                <w:sz w:val="1"/>
                <w:szCs w:val="1"/>
                <w:color w:val="auto"/>
              </w:rPr>
            </w:pPr>
          </w:p>
        </w:tc>
      </w:tr>
      <w:tr>
        <w:trPr>
          <w:trHeight w:val="195"/>
        </w:trPr>
        <w:tc>
          <w:tcPr>
            <w:tcW w:w="2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Technology</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20,471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(10,275)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10,196</w:t>
            </w:r>
          </w:p>
        </w:tc>
        <w:tc>
          <w:tcPr>
            <w:tcW w:w="122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w w:val="85"/>
              </w:rPr>
              <w:t>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9,300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(6,182)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3,118</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Unamortized other intangible assets:</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Tradenames</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9"/>
              </w:rPr>
              <w:t>N/A</w:t>
            </w: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7,652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7,652</w:t>
            </w:r>
          </w:p>
        </w:tc>
        <w:tc>
          <w:tcPr>
            <w:tcW w:w="120" w:type="dxa"/>
            <w:vAlign w:val="bottom"/>
          </w:tcPr>
          <w:p>
            <w:pPr>
              <w:spacing w:after="0"/>
              <w:rPr>
                <w:sz w:val="17"/>
                <w:szCs w:val="17"/>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N/A</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7,570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7,570</w:t>
            </w:r>
          </w:p>
        </w:tc>
        <w:tc>
          <w:tcPr>
            <w:tcW w:w="0" w:type="dxa"/>
            <w:vAlign w:val="bottom"/>
          </w:tcPr>
          <w:p>
            <w:pPr>
              <w:spacing w:after="0"/>
              <w:rPr>
                <w:sz w:val="1"/>
                <w:szCs w:val="1"/>
                <w:color w:val="auto"/>
              </w:rPr>
            </w:pPr>
          </w:p>
        </w:tc>
      </w:tr>
      <w:tr>
        <w:trPr>
          <w:trHeight w:val="221"/>
        </w:trPr>
        <w:tc>
          <w:tcPr>
            <w:tcW w:w="2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154,532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(49,158)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105,374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81,900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(30,061)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51,839</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change in the gross carrying amount of amortized other intangible assets as of July 31, 2025 compared to July 31, 2024 was primarily due to the acquisitions of Gravotech and AB&amp;R completed during the year ended July 31, 2025 and to a lesser extent, the effect of currency fluctuations.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fair value and weighted average amortization period of other intangible assets associated with the acquisition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Gravotech:</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Gross Carrying Amount</w:t>
            </w:r>
          </w:p>
        </w:tc>
        <w:tc>
          <w:tcPr>
            <w:tcW w:w="100" w:type="dxa"/>
            <w:vAlign w:val="bottom"/>
          </w:tcPr>
          <w:p>
            <w:pPr>
              <w:spacing w:after="0"/>
              <w:rPr>
                <w:sz w:val="13"/>
                <w:szCs w:val="13"/>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95"/>
        </w:trPr>
        <w:tc>
          <w:tcPr>
            <w:tcW w:w="71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Amortization Period (Years)</w:t>
            </w:r>
          </w:p>
        </w:tc>
        <w:tc>
          <w:tcPr>
            <w:tcW w:w="0" w:type="dxa"/>
            <w:vAlign w:val="bottom"/>
          </w:tcPr>
          <w:p>
            <w:pPr>
              <w:spacing w:after="0"/>
              <w:rPr>
                <w:sz w:val="1"/>
                <w:szCs w:val="1"/>
                <w:color w:val="auto"/>
              </w:rPr>
            </w:pPr>
          </w:p>
        </w:tc>
      </w:tr>
      <w:tr>
        <w:trPr>
          <w:trHeight w:val="201"/>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Tradenames</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864</w:t>
            </w:r>
          </w:p>
        </w:tc>
        <w:tc>
          <w:tcPr>
            <w:tcW w:w="100" w:type="dxa"/>
            <w:vAlign w:val="bottom"/>
            <w:shd w:val="clear" w:color="auto" w:fill="CCEEFF"/>
          </w:tcPr>
          <w:p>
            <w:pPr>
              <w:spacing w:after="0"/>
              <w:rPr>
                <w:sz w:val="17"/>
                <w:szCs w:val="17"/>
                <w:color w:val="auto"/>
              </w:rPr>
            </w:pPr>
          </w:p>
        </w:tc>
        <w:tc>
          <w:tcPr>
            <w:tcW w:w="1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95"/>
        </w:trPr>
        <w:tc>
          <w:tcPr>
            <w:tcW w:w="7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Customer relationships</w:t>
            </w:r>
          </w:p>
        </w:tc>
        <w:tc>
          <w:tcPr>
            <w:tcW w:w="18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52,768</w:t>
            </w:r>
          </w:p>
        </w:tc>
        <w:tc>
          <w:tcPr>
            <w:tcW w:w="208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21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Technology</w:t>
            </w:r>
          </w:p>
        </w:tc>
        <w:tc>
          <w:tcPr>
            <w:tcW w:w="18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10,467</w:t>
            </w:r>
          </w:p>
        </w:tc>
        <w:tc>
          <w:tcPr>
            <w:tcW w:w="2080" w:type="dxa"/>
            <w:vAlign w:val="bottom"/>
            <w:gridSpan w:val="2"/>
            <w:shd w:val="clear" w:color="auto" w:fill="CCEEFF"/>
          </w:tcPr>
          <w:p>
            <w:pPr>
              <w:jc w:val="center"/>
              <w:ind w:left="48"/>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90"/>
        </w:trPr>
        <w:tc>
          <w:tcPr>
            <w:tcW w:w="7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64,099</w:t>
            </w:r>
          </w:p>
        </w:tc>
        <w:tc>
          <w:tcPr>
            <w:tcW w:w="1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fair value and weighted average amortization period of other intangible assets associated with the acquisition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AB&amp;R:</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Gross Carrying Amount</w:t>
            </w:r>
          </w:p>
        </w:tc>
        <w:tc>
          <w:tcPr>
            <w:tcW w:w="1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96"/>
        </w:trPr>
        <w:tc>
          <w:tcPr>
            <w:tcW w:w="7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00" w:type="dxa"/>
            <w:vAlign w:val="bottom"/>
            <w:gridSpan w:val="2"/>
            <w:vMerge w:val="continue"/>
          </w:tcPr>
          <w:p>
            <w:pPr>
              <w:spacing w:after="0"/>
              <w:rPr>
                <w:sz w:val="17"/>
                <w:szCs w:val="17"/>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Amortization Period (Years)</w:t>
            </w:r>
          </w:p>
        </w:tc>
        <w:tc>
          <w:tcPr>
            <w:tcW w:w="0" w:type="dxa"/>
            <w:vAlign w:val="bottom"/>
          </w:tcPr>
          <w:p>
            <w:pPr>
              <w:spacing w:after="0"/>
              <w:rPr>
                <w:sz w:val="1"/>
                <w:szCs w:val="1"/>
                <w:color w:val="auto"/>
              </w:rPr>
            </w:pPr>
          </w:p>
        </w:tc>
      </w:tr>
      <w:tr>
        <w:trPr>
          <w:trHeight w:val="202"/>
        </w:trPr>
        <w:tc>
          <w:tcPr>
            <w:tcW w:w="7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Customer relationships</w:t>
            </w: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4,600</w:t>
            </w:r>
          </w:p>
        </w:tc>
        <w:tc>
          <w:tcPr>
            <w:tcW w:w="100" w:type="dxa"/>
            <w:vAlign w:val="bottom"/>
            <w:tcBorders>
              <w:top w:val="single" w:sz="8" w:color="CCEEFF"/>
            </w:tcBorders>
            <w:shd w:val="clear" w:color="auto" w:fill="CCEEFF"/>
          </w:tcPr>
          <w:p>
            <w:pPr>
              <w:spacing w:after="0"/>
              <w:rPr>
                <w:sz w:val="17"/>
                <w:szCs w:val="17"/>
                <w:color w:val="auto"/>
              </w:rPr>
            </w:pPr>
          </w:p>
        </w:tc>
        <w:tc>
          <w:tcPr>
            <w:tcW w:w="19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Amortization expense on intangible assets during the years ended July 31, 2025, 2024, and 2023 was $18,916, $9,421, and $11,739,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over each of the next five fiscal years is projected to be $18,583, $17,604, $17,192, $16,837, and $12,022 for the fiscal years ending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31, 2026, 2027, 2028, 2029, and 2030, respectively.</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Leases</w:t>
      </w:r>
    </w:p>
    <w:p>
      <w:pPr>
        <w:spacing w:after="0" w:line="17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 leases certain manufacturing facilities, warehouses and office space, computer equipment, and vehicles accounted for as operating leases. Lease terms typically range from one year to ten years. As of July 31, 2025 and 2024, the Company did not have any finance leases.</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Short-term lease expense, variable lease expenses, and sublease income were immaterial to the consolidated statements of income for the year ended July 31, 2025.</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lease expense recognized during the years ended July 31, 2025, 2024 and 2023:</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480" w:type="dxa"/>
            <w:vAlign w:val="bottom"/>
          </w:tcPr>
          <w:p>
            <w:pPr>
              <w:spacing w:after="0"/>
              <w:rPr>
                <w:sz w:val="18"/>
                <w:szCs w:val="18"/>
                <w:color w:val="auto"/>
              </w:rPr>
            </w:pPr>
          </w:p>
        </w:tc>
        <w:tc>
          <w:tcPr>
            <w:tcW w:w="4460" w:type="dxa"/>
            <w:vAlign w:val="bottom"/>
            <w:gridSpan w:val="2"/>
          </w:tcPr>
          <w:p>
            <w:pPr>
              <w:ind w:left="640"/>
              <w:spacing w:after="0"/>
              <w:rPr>
                <w:sz w:val="20"/>
                <w:szCs w:val="20"/>
                <w:color w:val="auto"/>
              </w:rPr>
            </w:pPr>
            <w:r>
              <w:rPr>
                <w:rFonts w:ascii="Times New Roman" w:cs="Times New Roman" w:eastAsia="Times New Roman" w:hAnsi="Times New Roman"/>
                <w:sz w:val="16"/>
                <w:szCs w:val="16"/>
                <w:b w:val="1"/>
                <w:bCs w:val="1"/>
                <w:color w:val="auto"/>
              </w:rPr>
              <w:t>Consolidated Statements of Income Location</w:t>
            </w:r>
          </w:p>
        </w:tc>
        <w:tc>
          <w:tcPr>
            <w:tcW w:w="18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July 31, 2025</w:t>
            </w:r>
          </w:p>
        </w:tc>
        <w:tc>
          <w:tcPr>
            <w:tcW w:w="16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July 31, 2024</w:t>
            </w:r>
          </w:p>
        </w:tc>
        <w:tc>
          <w:tcPr>
            <w:tcW w:w="160" w:type="dxa"/>
            <w:vAlign w:val="bottom"/>
          </w:tcPr>
          <w:p>
            <w:pPr>
              <w:spacing w:after="0"/>
              <w:rPr>
                <w:sz w:val="18"/>
                <w:szCs w:val="18"/>
                <w:color w:val="auto"/>
              </w:rPr>
            </w:pPr>
          </w:p>
        </w:tc>
        <w:tc>
          <w:tcPr>
            <w:tcW w:w="120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July 31, 2023</w:t>
            </w:r>
          </w:p>
        </w:tc>
      </w:tr>
      <w:tr>
        <w:trPr>
          <w:trHeight w:val="213"/>
        </w:trPr>
        <w:tc>
          <w:tcPr>
            <w:tcW w:w="2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cost</w:t>
            </w:r>
          </w:p>
        </w:tc>
        <w:tc>
          <w:tcPr>
            <w:tcW w:w="4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goods sold</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7,856</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6,589</w:t>
            </w:r>
          </w:p>
        </w:tc>
      </w:tr>
      <w:tr>
        <w:trPr>
          <w:trHeight w:val="210"/>
        </w:trPr>
        <w:tc>
          <w:tcPr>
            <w:tcW w:w="2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cost</w:t>
            </w:r>
          </w:p>
        </w:tc>
        <w:tc>
          <w:tcPr>
            <w:tcW w:w="4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11,289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9,424</w:t>
            </w:r>
          </w:p>
        </w:tc>
      </w:tr>
    </w:tbl>
    <w:p>
      <w:pPr>
        <w:spacing w:after="0" w:line="2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maturity of the Company's lease liabilities as of July 31, 2025:</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Years ending July 31,</w:t>
            </w:r>
          </w:p>
        </w:tc>
        <w:tc>
          <w:tcPr>
            <w:tcW w:w="1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Operating Leases</w:t>
            </w:r>
          </w:p>
        </w:tc>
      </w:tr>
      <w:tr>
        <w:trPr>
          <w:trHeight w:val="213"/>
        </w:trPr>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17,854</w:t>
            </w:r>
          </w:p>
        </w:tc>
      </w:tr>
      <w:tr>
        <w:trPr>
          <w:trHeight w:val="213"/>
        </w:trPr>
        <w:tc>
          <w:tcPr>
            <w:tcW w:w="9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13,935</w:t>
            </w:r>
          </w:p>
        </w:tc>
      </w:tr>
      <w:tr>
        <w:trPr>
          <w:trHeight w:val="219"/>
        </w:trPr>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8,161</w:t>
            </w:r>
          </w:p>
        </w:tc>
      </w:tr>
      <w:tr>
        <w:trPr>
          <w:trHeight w:val="213"/>
        </w:trPr>
        <w:tc>
          <w:tcPr>
            <w:tcW w:w="9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6,187</w:t>
            </w:r>
          </w:p>
        </w:tc>
      </w:tr>
      <w:tr>
        <w:trPr>
          <w:trHeight w:val="219"/>
        </w:trPr>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2030</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4,195</w:t>
            </w:r>
          </w:p>
        </w:tc>
      </w:tr>
      <w:tr>
        <w:trPr>
          <w:trHeight w:val="213"/>
        </w:trPr>
        <w:tc>
          <w:tcPr>
            <w:tcW w:w="9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19,061</w:t>
            </w:r>
          </w:p>
        </w:tc>
      </w:tr>
      <w:tr>
        <w:trPr>
          <w:trHeight w:val="212"/>
        </w:trPr>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lease payments</w:t>
            </w: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69,393</w:t>
            </w:r>
          </w:p>
        </w:tc>
      </w:tr>
      <w:tr>
        <w:trPr>
          <w:trHeight w:val="213"/>
        </w:trPr>
        <w:tc>
          <w:tcPr>
            <w:tcW w:w="98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Less: interest</w:t>
            </w: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(10,594)</w:t>
            </w:r>
          </w:p>
        </w:tc>
      </w:tr>
      <w:tr>
        <w:trPr>
          <w:trHeight w:val="235"/>
        </w:trPr>
        <w:tc>
          <w:tcPr>
            <w:tcW w:w="9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Present value of lease liabilities</w:t>
            </w: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58,799</w:t>
            </w:r>
          </w:p>
        </w:tc>
      </w:tr>
      <w:tr>
        <w:trPr>
          <w:trHeight w:val="20"/>
        </w:trPr>
        <w:tc>
          <w:tcPr>
            <w:tcW w:w="98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weighted average remaining lease terms and discount rates for the Company's operating leases as of July 31, 2025 and 2024 were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00" w:type="dxa"/>
            <w:vAlign w:val="bottom"/>
          </w:tcPr>
          <w:p>
            <w:pPr>
              <w:spacing w:after="0"/>
              <w:rPr>
                <w:sz w:val="18"/>
                <w:szCs w:val="18"/>
                <w:color w:val="auto"/>
              </w:rPr>
            </w:pPr>
          </w:p>
        </w:tc>
        <w:tc>
          <w:tcPr>
            <w:tcW w:w="156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July 31, 2025</w:t>
            </w:r>
          </w:p>
        </w:tc>
        <w:tc>
          <w:tcPr>
            <w:tcW w:w="148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July 31, 2024</w:t>
            </w:r>
          </w:p>
        </w:tc>
      </w:tr>
      <w:tr>
        <w:trPr>
          <w:trHeight w:val="213"/>
        </w:trPr>
        <w:tc>
          <w:tcPr>
            <w:tcW w:w="8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remaining lease term (in years)</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8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r>
      <w:tr>
        <w:trPr>
          <w:trHeight w:val="210"/>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discount rate</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5.0 %</w:t>
            </w:r>
          </w:p>
        </w:tc>
        <w:tc>
          <w:tcPr>
            <w:tcW w:w="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5.1 %</w:t>
            </w:r>
          </w:p>
        </w:tc>
      </w:tr>
    </w:tbl>
    <w:p>
      <w:pPr>
        <w:spacing w:after="0" w:line="2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Supplemental cash flow information related to the Company's operating leases during the years ended July 31, 2025 and 2024 were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42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3"/>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cash outflows from operating leases</w:t>
            </w:r>
          </w:p>
        </w:tc>
        <w:tc>
          <w:tcPr>
            <w:tcW w:w="84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18,816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16,496</w:t>
            </w:r>
          </w:p>
        </w:tc>
      </w:tr>
      <w:tr>
        <w:trPr>
          <w:trHeight w:val="279"/>
        </w:trPr>
        <w:tc>
          <w:tcPr>
            <w:tcW w:w="8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Operating lease assets obtained in exchange for new operating lease liabilities </w:t>
            </w:r>
            <w:r>
              <w:rPr>
                <w:rFonts w:ascii="Times New Roman" w:cs="Times New Roman" w:eastAsia="Times New Roman" w:hAnsi="Times New Roman"/>
                <w:sz w:val="21"/>
                <w:szCs w:val="21"/>
                <w:color w:val="auto"/>
                <w:vertAlign w:val="superscript"/>
              </w:rPr>
              <w:t>(1)</w:t>
            </w:r>
          </w:p>
        </w:tc>
        <w:tc>
          <w:tcPr>
            <w:tcW w:w="8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35,846</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23,438</w:t>
            </w:r>
          </w:p>
        </w:tc>
      </w:tr>
    </w:tbl>
    <w:p>
      <w:pPr>
        <w:spacing w:after="0" w:line="18" w:lineRule="exact"/>
        <w:rPr>
          <w:sz w:val="20"/>
          <w:szCs w:val="20"/>
          <w:color w:val="auto"/>
        </w:rPr>
      </w:pPr>
    </w:p>
    <w:p>
      <w:pPr>
        <w:ind w:left="640" w:hanging="308"/>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Includes new leases, leases from acquired companies, and remeasurements or modifications of existing leases.</w:t>
      </w:r>
    </w:p>
    <w:p>
      <w:pPr>
        <w:spacing w:after="0" w:line="15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evaluates right-of-use assets for impairment in the same manner as long-lived assets. No impairment charges were recorded during the years ended July 31, 2025, 2024 or 2023.</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Employee Benefit Plans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provides postretirement medical benefits (the “Plan”) for eligible regular full and part-time domestic employees (including spouses) who retired prior to January 1, 2016, as outlined by the Plan. The Plan is unfunded, and the liability, unrecognized gain, and associated income statement impact are immaterial. The current portion and non-current portion of the liabilities for postretirement medical benefits are included in “Other current liabilities” and “Other liabilities,” respectively, on the accompanying consolidated balance sheets as of July 31, 2025 and 2024. The unrecognized gain is reported as a component of AOCI.</w:t>
      </w:r>
    </w:p>
    <w:p>
      <w:pPr>
        <w:spacing w:after="0" w:line="1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also has two deferred compensation plans, the Executive Deferred Compensation Plan and the Director Deferred Compensation Plan which allow for compensation to be deferred into either the Company's Class A Nonvoting Common Stock or in other investment funds. Neither plan allows funds to be transferred between the Company's Class A Nonvoting Common Stock and the other investment funds. The Company has an additional non-qualified deferred compensation plan, the Brady Restoration Plan, which allows an equivalent benefit to the Matched 401(k) Plan and the Funded Retirement Plan for executives' income exceeding the IRS limits for participation in a qualified 401(k) plan. Deferred compensation of $19,998 and $20,029 was included in “Other liabilities” in the accompanying consolidated balance sheets as of July 31, 2025 and 2024, respectively.</w:t>
      </w:r>
    </w:p>
    <w:p>
      <w:pPr>
        <w:spacing w:after="0" w:line="13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has retirement and profit-sharing plans covering substantially all full-time domestic employees and certain employees of its foreign subsidiaries. Contributions to the plans are determined annually or quarterly, according to the respective plan, based on income of the respective companies and employee contributions. Accrued retirement and profit-sharing contributions of $4,742 and $3,656 were included in “Other current liabilities” in the accompanying consolidated balance sheets as of July 31, 2025 and 2024, respectively. The amounts charged to expense for these retirement and profit sharing plans were $17,921, $16,134, and $15,089 during the years ended July 31, 2025, 2024 and 2023, respectively.</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Debt</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August 1, 2019, the Company and certain of its subsidiaries entered into an unsecured $200 million multi-currency credit agreement with a group of five banks.</w:t>
      </w:r>
    </w:p>
    <w:p>
      <w:pPr>
        <w:spacing w:after="0" w:line="10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November 14, 2022, the Company and certain of its subsidiaries entered into a Second Amendment to the Credit Agreement (“Amendment No. 2”) to, among other items, (a) increase the lending commitments by $100 million for total lending commitments of $300 million, (b) extend the final maturity date to November 14, 2027, (c) increase the interest rate on certain borrowings by 0.125%, and (d) increase the available amount under the credit agreement, at the Company's option and subject to certain conditions, from $300 million up to (i) an amount equal to the incremental borrowing necessary to bring the Company's consolidated net debt-to-EBITDA ratio as defined in the credit agreement to 2.5 to 1.0 plus (ii) $200 million.</w:t>
      </w:r>
    </w:p>
    <w:p>
      <w:pPr>
        <w:spacing w:after="0" w:line="1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October 10, 2024, the Company and certain of its subsidiaries entered into a Third Amendment to the Credit Agreement (“Amendment No. 3”) with a group of six banks, which amended the original credit agreement dated August 1, 2019. Amendment No. 3 amended the original credit agreement to, among other things, change the applicable benchmark under the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credit agreement for borrowings denominated in Canadian Dollars from the Canadian Dollar Offered Rate (“CDOR”) to the adjusted Term Canadian Overnight Repo Rate Average Rate (“CORRA”). Borrowings under Amendment No. 3 are unsecured and are guaranteed by certain of the Company's domestic subsidiaries.</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July 31, 2025, the outstanding balance on the credit agreement was $99.8 million. The maximum amount outstanding on the credit agreement during the year ended July 31, 2025 was $144.8 million. As of July 31, 2025, there was $198.1 million available for future borrowing, which can be increased to $1,093.1 million at the Company's option, subject to certain conditions. The credit agreement has a final maturity date of November 14, 2027. As such, borrowings are classified as long-term on the consolidated balance sheets.</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credit agreement requires it to maintain certain financial covenants, including a ratio of debt to trailing twelve months EBITDA, as defined in the agreement, of not more than a 3.5 to 1.0 ratio (leverage ratio) and trailing twelve months EBITDA to interest expense of not less than a 3.0 to 1.0 ratio (interest expense coverage ratio). As of July 31, 2025, the Company was in compliance with these financial covenants, with a ratio of debt to EBITDA, as defined by the agreements, equal to 0.3 to 1.0 and the interest expense coverage ratio equal to 67.3 to 1.0.</w:t>
      </w:r>
    </w:p>
    <w:p>
      <w:pPr>
        <w:spacing w:after="0" w:line="1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July 31, 2025 and 2024, borrowings on the credit agreement were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3"/>
          </w:tcPr>
          <w:p>
            <w:pPr>
              <w:jc w:val="right"/>
              <w:ind w:right="939"/>
              <w:spacing w:after="0"/>
              <w:rPr>
                <w:sz w:val="20"/>
                <w:szCs w:val="20"/>
                <w:color w:val="auto"/>
              </w:rPr>
            </w:pPr>
            <w:r>
              <w:rPr>
                <w:rFonts w:ascii="Times New Roman" w:cs="Times New Roman" w:eastAsia="Times New Roman" w:hAnsi="Times New Roman"/>
                <w:sz w:val="16"/>
                <w:szCs w:val="16"/>
                <w:b w:val="1"/>
                <w:bCs w:val="1"/>
                <w:color w:val="auto"/>
              </w:rPr>
              <w:t>July 31, 2025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3"/>
          </w:tcPr>
          <w:p>
            <w:pPr>
              <w:jc w:val="right"/>
              <w:ind w:right="939"/>
              <w:spacing w:after="0"/>
              <w:rPr>
                <w:sz w:val="20"/>
                <w:szCs w:val="20"/>
                <w:color w:val="auto"/>
              </w:rPr>
            </w:pPr>
            <w:r>
              <w:rPr>
                <w:rFonts w:ascii="Times New Roman" w:cs="Times New Roman" w:eastAsia="Times New Roman" w:hAnsi="Times New Roman"/>
                <w:sz w:val="16"/>
                <w:szCs w:val="16"/>
                <w:b w:val="1"/>
                <w:bCs w:val="1"/>
                <w:color w:val="auto"/>
              </w:rPr>
              <w:t>July 31, 2024</w:t>
            </w:r>
          </w:p>
        </w:tc>
        <w:tc>
          <w:tcPr>
            <w:tcW w:w="0" w:type="dxa"/>
            <w:vAlign w:val="bottom"/>
          </w:tcPr>
          <w:p>
            <w:pPr>
              <w:spacing w:after="0"/>
              <w:rPr>
                <w:sz w:val="1"/>
                <w:szCs w:val="1"/>
                <w:color w:val="auto"/>
              </w:rPr>
            </w:pPr>
          </w:p>
        </w:tc>
      </w:tr>
      <w:tr>
        <w:trPr>
          <w:trHeight w:val="158"/>
        </w:trPr>
        <w:tc>
          <w:tcPr>
            <w:tcW w:w="52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center"/>
              <w:ind w:right="280"/>
              <w:spacing w:after="0" w:line="158" w:lineRule="exact"/>
              <w:rPr>
                <w:sz w:val="20"/>
                <w:szCs w:val="20"/>
                <w:color w:val="auto"/>
              </w:rPr>
            </w:pPr>
            <w:r>
              <w:rPr>
                <w:rFonts w:ascii="Times New Roman" w:cs="Times New Roman" w:eastAsia="Times New Roman" w:hAnsi="Times New Roman"/>
                <w:sz w:val="16"/>
                <w:szCs w:val="16"/>
                <w:b w:val="1"/>
                <w:bCs w:val="1"/>
                <w:color w:val="auto"/>
                <w:w w:val="99"/>
              </w:rPr>
              <w:t>Amount</w:t>
            </w:r>
          </w:p>
        </w:tc>
        <w:tc>
          <w:tcPr>
            <w:tcW w:w="1740" w:type="dxa"/>
            <w:vAlign w:val="bottom"/>
            <w:gridSpan w:val="3"/>
            <w:vMerge w:val="restart"/>
            <w:shd w:val="clear" w:color="auto" w:fill="CCEEFF"/>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Weighted Average</w:t>
            </w:r>
          </w:p>
        </w:tc>
        <w:tc>
          <w:tcPr>
            <w:tcW w:w="1280" w:type="dxa"/>
            <w:vAlign w:val="bottom"/>
            <w:gridSpan w:val="2"/>
            <w:shd w:val="clear" w:color="auto" w:fill="CCEEFF"/>
          </w:tcPr>
          <w:p>
            <w:pPr>
              <w:jc w:val="center"/>
              <w:ind w:right="280"/>
              <w:spacing w:after="0" w:line="158" w:lineRule="exact"/>
              <w:rPr>
                <w:sz w:val="20"/>
                <w:szCs w:val="20"/>
                <w:color w:val="auto"/>
              </w:rPr>
            </w:pPr>
            <w:r>
              <w:rPr>
                <w:rFonts w:ascii="Times New Roman" w:cs="Times New Roman" w:eastAsia="Times New Roman" w:hAnsi="Times New Roman"/>
                <w:sz w:val="16"/>
                <w:szCs w:val="16"/>
                <w:b w:val="1"/>
                <w:bCs w:val="1"/>
                <w:color w:val="auto"/>
                <w:w w:val="99"/>
              </w:rPr>
              <w:t>Amount</w:t>
            </w:r>
          </w:p>
        </w:tc>
        <w:tc>
          <w:tcPr>
            <w:tcW w:w="14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0" w:type="dxa"/>
            <w:vAlign w:val="bottom"/>
          </w:tcPr>
          <w:p>
            <w:pPr>
              <w:spacing w:after="0"/>
              <w:rPr>
                <w:sz w:val="1"/>
                <w:szCs w:val="1"/>
                <w:color w:val="auto"/>
              </w:rPr>
            </w:pPr>
          </w:p>
        </w:tc>
      </w:tr>
      <w:tr>
        <w:trPr>
          <w:trHeight w:val="162"/>
        </w:trPr>
        <w:tc>
          <w:tcPr>
            <w:tcW w:w="5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Outstanding</w:t>
            </w:r>
          </w:p>
        </w:tc>
        <w:tc>
          <w:tcPr>
            <w:tcW w:w="1740" w:type="dxa"/>
            <w:vAlign w:val="bottom"/>
            <w:gridSpan w:val="3"/>
            <w:vMerge w:val="continue"/>
            <w:shd w:val="clear" w:color="auto" w:fill="CCEEFF"/>
          </w:tcPr>
          <w:p>
            <w:pPr>
              <w:spacing w:after="0"/>
              <w:rPr>
                <w:sz w:val="14"/>
                <w:szCs w:val="14"/>
                <w:color w:val="auto"/>
              </w:rPr>
            </w:pPr>
          </w:p>
        </w:tc>
        <w:tc>
          <w:tcPr>
            <w:tcW w:w="1280" w:type="dxa"/>
            <w:vAlign w:val="bottom"/>
            <w:gridSpan w:val="2"/>
            <w:shd w:val="clear" w:color="auto" w:fill="CCEEFF"/>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Outstanding</w:t>
            </w:r>
          </w:p>
        </w:tc>
        <w:tc>
          <w:tcPr>
            <w:tcW w:w="14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(thousands)</w:t>
            </w:r>
          </w:p>
        </w:tc>
        <w:tc>
          <w:tcPr>
            <w:tcW w:w="1740" w:type="dxa"/>
            <w:vAlign w:val="bottom"/>
            <w:gridSpan w:val="3"/>
            <w:shd w:val="clear" w:color="auto" w:fill="CCEEFF"/>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Interest Rate</w:t>
            </w:r>
          </w:p>
        </w:tc>
        <w:tc>
          <w:tcPr>
            <w:tcW w:w="128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(thousands)</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Interest Rate</w:t>
            </w:r>
          </w:p>
        </w:tc>
        <w:tc>
          <w:tcPr>
            <w:tcW w:w="0" w:type="dxa"/>
            <w:vAlign w:val="bottom"/>
          </w:tcPr>
          <w:p>
            <w:pPr>
              <w:spacing w:after="0"/>
              <w:rPr>
                <w:sz w:val="1"/>
                <w:szCs w:val="1"/>
                <w:color w:val="auto"/>
              </w:rPr>
            </w:pPr>
          </w:p>
        </w:tc>
      </w:tr>
      <w:tr>
        <w:trPr>
          <w:trHeight w:val="274"/>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Revolving credit agreement </w:t>
            </w:r>
            <w:r>
              <w:rPr>
                <w:rFonts w:ascii="Times New Roman" w:cs="Times New Roman" w:eastAsia="Times New Roman" w:hAnsi="Times New Roman"/>
                <w:sz w:val="21"/>
                <w:szCs w:val="21"/>
                <w:color w:val="auto"/>
                <w:vertAlign w:val="superscript"/>
              </w:rPr>
              <w:t>(1)</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99,766</w:t>
            </w:r>
          </w:p>
        </w:tc>
        <w:tc>
          <w:tcPr>
            <w:tcW w:w="100" w:type="dxa"/>
            <w:vAlign w:val="bottom"/>
          </w:tcPr>
          <w:p>
            <w:pPr>
              <w:spacing w:after="0"/>
              <w:rPr>
                <w:sz w:val="23"/>
                <w:szCs w:val="23"/>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4.0 %</w:t>
            </w:r>
          </w:p>
        </w:tc>
        <w:tc>
          <w:tcPr>
            <w:tcW w:w="100" w:type="dxa"/>
            <w:vAlign w:val="bottom"/>
          </w:tcPr>
          <w:p>
            <w:pPr>
              <w:spacing w:after="0"/>
              <w:rPr>
                <w:sz w:val="23"/>
                <w:szCs w:val="23"/>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90,935</w:t>
            </w:r>
          </w:p>
        </w:tc>
        <w:tc>
          <w:tcPr>
            <w:tcW w:w="100" w:type="dxa"/>
            <w:vAlign w:val="bottom"/>
          </w:tcPr>
          <w:p>
            <w:pPr>
              <w:spacing w:after="0"/>
              <w:rPr>
                <w:sz w:val="23"/>
                <w:szCs w:val="23"/>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5.3 %</w:t>
            </w:r>
          </w:p>
        </w:tc>
        <w:tc>
          <w:tcPr>
            <w:tcW w:w="0" w:type="dxa"/>
            <w:vAlign w:val="bottom"/>
          </w:tcPr>
          <w:p>
            <w:pPr>
              <w:spacing w:after="0"/>
              <w:rPr>
                <w:sz w:val="1"/>
                <w:szCs w:val="1"/>
                <w:color w:val="auto"/>
              </w:rPr>
            </w:pPr>
          </w:p>
        </w:tc>
      </w:tr>
    </w:tbl>
    <w:p>
      <w:pPr>
        <w:spacing w:after="0" w:line="178" w:lineRule="exact"/>
        <w:rPr>
          <w:sz w:val="20"/>
          <w:szCs w:val="20"/>
          <w:color w:val="auto"/>
        </w:rPr>
      </w:pPr>
    </w:p>
    <w:p>
      <w:pPr>
        <w:jc w:val="both"/>
        <w:ind w:left="660" w:hanging="328"/>
        <w:spacing w:after="0" w:line="263" w:lineRule="auto"/>
        <w:tabs>
          <w:tab w:leader="none" w:pos="6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Borrowings under the revolving credit agreement as of July 31, 2025 included USD-denominated, British pound-denominated and Euro-denominated borrowings of $39,000, $10,588 and $50,178, respectively. The weighted average interest rate of the USD-denominated, British pound-denominated and Euro-denominated borrowings was 5.3%, 5.1% and 2.8%, respectively, as of July 31, 2025.</w:t>
      </w:r>
    </w:p>
    <w:p>
      <w:pPr>
        <w:spacing w:after="0" w:line="138" w:lineRule="exact"/>
        <w:rPr>
          <w:sz w:val="20"/>
          <w:szCs w:val="20"/>
          <w:color w:val="auto"/>
        </w:rPr>
      </w:pPr>
    </w:p>
    <w:p>
      <w:pPr>
        <w:jc w:val="both"/>
        <w:ind w:left="660"/>
        <w:spacing w:after="0" w:line="272" w:lineRule="auto"/>
        <w:rPr>
          <w:sz w:val="20"/>
          <w:szCs w:val="20"/>
          <w:color w:val="auto"/>
        </w:rPr>
      </w:pPr>
      <w:r>
        <w:rPr>
          <w:rFonts w:ascii="Times New Roman" w:cs="Times New Roman" w:eastAsia="Times New Roman" w:hAnsi="Times New Roman"/>
          <w:sz w:val="16"/>
          <w:szCs w:val="16"/>
          <w:color w:val="auto"/>
        </w:rPr>
        <w:t>Borrowings under the revolving credit agreement as of July 31, 2024 included USD-denominated, British pound-denominated and Euro-denominated borrowings of $32,000, $10,267 and $48,668. The weighted average interest rate of the USD-denominated, British pound-denominated and Euro-denominated borrowings was 6.3%, 6.1% and 4.5%, respectively, as of July 31, 2024.</w:t>
      </w:r>
    </w:p>
    <w:p>
      <w:pPr>
        <w:spacing w:after="0" w:line="11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Due to the variable interest rate pricing of the Company's revolving debt, it is determined that the carrying value of the debt equals the fair value of the debt.</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had outstanding letters of credit of $2,094 and $1,766 at July 31, 2025 and 2024, respectively.</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Stockholders' Equity</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Information as to the Company’s capital stock as of July 31, 2025 and 2024 was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240" w:type="dxa"/>
            <w:vAlign w:val="bottom"/>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July 31, 2025</w:t>
            </w: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July 31, 2024</w:t>
            </w: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240" w:type="dxa"/>
            <w:vAlign w:val="bottom"/>
          </w:tcPr>
          <w:p>
            <w:pPr>
              <w:spacing w:after="0"/>
              <w:rPr>
                <w:sz w:val="13"/>
                <w:szCs w:val="13"/>
                <w:color w:val="auto"/>
              </w:rPr>
            </w:pPr>
          </w:p>
        </w:tc>
        <w:tc>
          <w:tcPr>
            <w:tcW w:w="1360" w:type="dxa"/>
            <w:vAlign w:val="bottom"/>
            <w:gridSpan w:val="2"/>
          </w:tcPr>
          <w:p>
            <w:pPr>
              <w:jc w:val="center"/>
              <w:ind w:right="100"/>
              <w:spacing w:after="0" w:line="158" w:lineRule="exact"/>
              <w:rPr>
                <w:sz w:val="20"/>
                <w:szCs w:val="20"/>
                <w:color w:val="auto"/>
              </w:rPr>
            </w:pPr>
            <w:r>
              <w:rPr>
                <w:rFonts w:ascii="Times New Roman" w:cs="Times New Roman" w:eastAsia="Times New Roman" w:hAnsi="Times New Roman"/>
                <w:sz w:val="16"/>
                <w:szCs w:val="16"/>
                <w:b w:val="1"/>
                <w:bCs w:val="1"/>
                <w:color w:val="auto"/>
                <w:w w:val="99"/>
              </w:rPr>
              <w:t>Shares</w:t>
            </w:r>
          </w:p>
        </w:tc>
        <w:tc>
          <w:tcPr>
            <w:tcW w:w="13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Shares Issued</w:t>
            </w:r>
          </w:p>
        </w:tc>
        <w:tc>
          <w:tcPr>
            <w:tcW w:w="160" w:type="dxa"/>
            <w:vAlign w:val="bottom"/>
          </w:tcPr>
          <w:p>
            <w:pPr>
              <w:spacing w:after="0"/>
              <w:rPr>
                <w:sz w:val="13"/>
                <w:szCs w:val="13"/>
                <w:color w:val="auto"/>
              </w:rPr>
            </w:pPr>
          </w:p>
        </w:tc>
        <w:tc>
          <w:tcPr>
            <w:tcW w:w="1080" w:type="dxa"/>
            <w:vAlign w:val="bottom"/>
          </w:tcPr>
          <w:p>
            <w:pPr>
              <w:jc w:val="right"/>
              <w:ind w:right="239"/>
              <w:spacing w:after="0" w:line="158" w:lineRule="exact"/>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13"/>
                <w:szCs w:val="13"/>
                <w:color w:val="auto"/>
              </w:rPr>
            </w:pPr>
          </w:p>
        </w:tc>
        <w:tc>
          <w:tcPr>
            <w:tcW w:w="1340" w:type="dxa"/>
            <w:vAlign w:val="bottom"/>
            <w:gridSpan w:val="2"/>
          </w:tcPr>
          <w:p>
            <w:pPr>
              <w:jc w:val="center"/>
              <w:ind w:right="100"/>
              <w:spacing w:after="0" w:line="158" w:lineRule="exact"/>
              <w:rPr>
                <w:sz w:val="20"/>
                <w:szCs w:val="20"/>
                <w:color w:val="auto"/>
              </w:rPr>
            </w:pPr>
            <w:r>
              <w:rPr>
                <w:rFonts w:ascii="Times New Roman" w:cs="Times New Roman" w:eastAsia="Times New Roman" w:hAnsi="Times New Roman"/>
                <w:sz w:val="16"/>
                <w:szCs w:val="16"/>
                <w:b w:val="1"/>
                <w:bCs w:val="1"/>
                <w:color w:val="auto"/>
              </w:rPr>
              <w:t>Shares</w:t>
            </w:r>
          </w:p>
        </w:tc>
        <w:tc>
          <w:tcPr>
            <w:tcW w:w="13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Shares Issued</w:t>
            </w:r>
          </w:p>
        </w:tc>
        <w:tc>
          <w:tcPr>
            <w:tcW w:w="160" w:type="dxa"/>
            <w:vAlign w:val="bottom"/>
          </w:tcPr>
          <w:p>
            <w:pPr>
              <w:spacing w:after="0"/>
              <w:rPr>
                <w:sz w:val="13"/>
                <w:szCs w:val="13"/>
                <w:color w:val="auto"/>
              </w:rPr>
            </w:pPr>
          </w:p>
        </w:tc>
        <w:tc>
          <w:tcPr>
            <w:tcW w:w="1080" w:type="dxa"/>
            <w:vAlign w:val="bottom"/>
          </w:tcPr>
          <w:p>
            <w:pPr>
              <w:jc w:val="right"/>
              <w:ind w:right="259"/>
              <w:spacing w:after="0" w:line="158" w:lineRule="exact"/>
              <w:rPr>
                <w:sz w:val="20"/>
                <w:szCs w:val="20"/>
                <w:color w:val="auto"/>
              </w:rPr>
            </w:pPr>
            <w:r>
              <w:rPr>
                <w:rFonts w:ascii="Times New Roman" w:cs="Times New Roman" w:eastAsia="Times New Roman" w:hAnsi="Times New Roman"/>
                <w:sz w:val="16"/>
                <w:szCs w:val="16"/>
                <w:b w:val="1"/>
                <w:bCs w:val="1"/>
                <w:color w:val="auto"/>
              </w:rPr>
              <w:t>Amount</w:t>
            </w:r>
          </w:p>
        </w:tc>
        <w:tc>
          <w:tcPr>
            <w:tcW w:w="0" w:type="dxa"/>
            <w:vAlign w:val="bottom"/>
          </w:tcPr>
          <w:p>
            <w:pPr>
              <w:spacing w:after="0"/>
              <w:rPr>
                <w:sz w:val="1"/>
                <w:szCs w:val="1"/>
                <w:color w:val="auto"/>
              </w:rPr>
            </w:pPr>
          </w:p>
        </w:tc>
      </w:tr>
      <w:tr>
        <w:trPr>
          <w:trHeight w:val="214"/>
        </w:trPr>
        <w:tc>
          <w:tcPr>
            <w:tcW w:w="3240" w:type="dxa"/>
            <w:vAlign w:val="bottom"/>
          </w:tcPr>
          <w:p>
            <w:pPr>
              <w:spacing w:after="0"/>
              <w:rPr>
                <w:sz w:val="18"/>
                <w:szCs w:val="18"/>
                <w:color w:val="auto"/>
              </w:rPr>
            </w:pP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Authorized</w:t>
            </w:r>
          </w:p>
        </w:tc>
        <w:tc>
          <w:tcPr>
            <w:tcW w:w="13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(thousands)</w:t>
            </w:r>
          </w:p>
        </w:tc>
        <w:tc>
          <w:tcPr>
            <w:tcW w:w="12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Authorized</w:t>
            </w:r>
          </w:p>
        </w:tc>
        <w:tc>
          <w:tcPr>
            <w:tcW w:w="13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(thousands)</w:t>
            </w:r>
          </w:p>
        </w:tc>
        <w:tc>
          <w:tcPr>
            <w:tcW w:w="0" w:type="dxa"/>
            <w:vAlign w:val="bottom"/>
          </w:tcPr>
          <w:p>
            <w:pPr>
              <w:spacing w:after="0"/>
              <w:rPr>
                <w:sz w:val="1"/>
                <w:szCs w:val="1"/>
                <w:color w:val="auto"/>
              </w:rPr>
            </w:pPr>
          </w:p>
        </w:tc>
      </w:tr>
      <w:tr>
        <w:trPr>
          <w:trHeight w:val="211"/>
        </w:trPr>
        <w:tc>
          <w:tcPr>
            <w:tcW w:w="3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Stock, $.01 par value</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5,000,000</w:t>
            </w: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5,000,000</w:t>
            </w: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2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Cumulative Preferred Stock:</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3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6% Cumulative</w:t>
            </w:r>
          </w:p>
        </w:tc>
        <w:tc>
          <w:tcPr>
            <w:tcW w:w="12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1972 Series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1979 Series</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30,000</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30,000</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2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Common Stock, $.01 par value: Class A</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100,000,000</w:t>
            </w:r>
          </w:p>
        </w:tc>
        <w:tc>
          <w:tcPr>
            <w:tcW w:w="12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51,261,487</w:t>
            </w:r>
          </w:p>
        </w:tc>
        <w:tc>
          <w:tcPr>
            <w:tcW w:w="10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w:t>
            </w:r>
          </w:p>
        </w:tc>
        <w:tc>
          <w:tcPr>
            <w:tcW w:w="13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100,000,000</w:t>
            </w:r>
          </w:p>
        </w:tc>
        <w:tc>
          <w:tcPr>
            <w:tcW w:w="10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51,261,487</w:t>
            </w:r>
          </w:p>
        </w:tc>
        <w:tc>
          <w:tcPr>
            <w:tcW w:w="12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Nonvoting</w:t>
            </w:r>
          </w:p>
        </w:tc>
        <w:tc>
          <w:tcPr>
            <w:tcW w:w="12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Class B Voting</w:t>
            </w: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10,000,000</w:t>
            </w:r>
          </w:p>
        </w:tc>
        <w:tc>
          <w:tcPr>
            <w:tcW w:w="12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3,538,628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3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10,000,000</w:t>
            </w:r>
          </w:p>
        </w:tc>
        <w:tc>
          <w:tcPr>
            <w:tcW w:w="10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3,538,628</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235"/>
        </w:trPr>
        <w:tc>
          <w:tcPr>
            <w:tcW w:w="32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Before any dividend may be paid on the Class B Common Stock, holders of the Class A Common Stock are entitled to receive an annual, noncumulative cash dividend of $0.01665 per share. Thereafter, any further dividend in that fiscal year must be paid on each share of Class A Common Stock and Class B Common Stock on an equal basis.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Other than as required by law, holders of the Class A Common Stock are not entitled to any vote on corporate matters, unless, in each of the three preceding fiscal years, the $0.01665 preferential dividend described above has not been paid in full. Holders of the Class A Common Stock are entitled to one vote per share for the entire fiscal year immediately following the third consecutive fiscal year in which the preferential dividend is not paid in full. Holders of Class B Common Stock are entitled to one vote per share for the election of directors and for all other purposes.</w:t>
      </w:r>
    </w:p>
    <w:p>
      <w:pPr>
        <w:spacing w:after="0" w:line="12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Upon liquidation, dissolution or winding up of the Company, and after distribution of any amounts due to holders of Preferred Stock, if any, holders of the Class A Common Stock are entitled to receive the sum of $0.8333 per share before any payment or distribution to holders of the Class B Common Stock. Thereafter, holders of the Class B Common Stock are entitled to receive a payment or distribution of $0.8333 per share. Thereafter, holders of the Class A Common Stock and Class B Common Stock share equally in all payments or distributions upon liquidation, dissolution or winding up of the Company.</w:t>
      </w:r>
    </w:p>
    <w:p>
      <w:pPr>
        <w:spacing w:after="0" w:line="1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preferences in dividends and liquidation rights of the Class A Common Stock over the Class B Common Stock will terminate at any time that the voting rights of Class A Common Stock and Class B Common Stock become equal.</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summary of other activity in stockholders’ equity during the years ended July 31, 2025, 2024, and 2023:</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60" w:type="dxa"/>
            <w:vAlign w:val="bottom"/>
          </w:tcPr>
          <w:p>
            <w:pPr>
              <w:spacing w:after="0"/>
              <w:rPr>
                <w:sz w:val="16"/>
                <w:szCs w:val="16"/>
                <w:color w:val="auto"/>
              </w:rPr>
            </w:pPr>
          </w:p>
        </w:tc>
        <w:tc>
          <w:tcPr>
            <w:tcW w:w="19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Deferred Compensation</w:t>
            </w:r>
          </w:p>
        </w:tc>
        <w:tc>
          <w:tcPr>
            <w:tcW w:w="120" w:type="dxa"/>
            <w:vAlign w:val="bottom"/>
          </w:tcPr>
          <w:p>
            <w:pPr>
              <w:spacing w:after="0"/>
              <w:rPr>
                <w:sz w:val="16"/>
                <w:szCs w:val="16"/>
                <w:color w:val="auto"/>
              </w:rPr>
            </w:pPr>
          </w:p>
        </w:tc>
        <w:tc>
          <w:tcPr>
            <w:tcW w:w="166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Shares Held in Rabbi</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80" w:type="dxa"/>
            <w:vAlign w:val="bottom"/>
            <w:vMerge w:val="restart"/>
          </w:tcPr>
          <w:p>
            <w:pPr>
              <w:ind w:left="3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5660" w:type="dxa"/>
            <w:vAlign w:val="bottom"/>
          </w:tcPr>
          <w:p>
            <w:pPr>
              <w:spacing w:after="0"/>
              <w:rPr>
                <w:sz w:val="18"/>
                <w:szCs w:val="18"/>
                <w:color w:val="auto"/>
              </w:rPr>
            </w:pPr>
          </w:p>
        </w:tc>
        <w:tc>
          <w:tcPr>
            <w:tcW w:w="190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Trust, at cost</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5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July 31, 2022</w:t>
            </w:r>
          </w:p>
        </w:tc>
        <w:tc>
          <w:tcPr>
            <w:tcW w:w="640" w:type="dxa"/>
            <w:vAlign w:val="bottom"/>
            <w:tcBorders>
              <w:top w:val="single" w:sz="8" w:color="auto"/>
              <w:bottom w:val="single" w:sz="8" w:color="auto"/>
            </w:tcBorders>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11,055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(11,055)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bottom w:val="single" w:sz="8" w:color="auto"/>
            </w:tcBorders>
            <w:shd w:val="clear" w:color="auto" w:fill="CCEEFF"/>
          </w:tcPr>
          <w:p>
            <w:pPr>
              <w:ind w:left="11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Shares at July 31, 2022</w:t>
            </w: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660" w:type="dxa"/>
            <w:vAlign w:val="bottom"/>
            <w:vMerge w:val="continue"/>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318,285</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318,285</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Sale of shares at cost</w:t>
            </w:r>
          </w:p>
        </w:tc>
        <w:tc>
          <w:tcPr>
            <w:tcW w:w="640" w:type="dxa"/>
            <w:vAlign w:val="bottom"/>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739</w:t>
            </w:r>
          </w:p>
        </w:tc>
        <w:tc>
          <w:tcPr>
            <w:tcW w:w="520" w:type="dxa"/>
            <w:vAlign w:val="bottom"/>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5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Purchase of shares at cost</w:t>
            </w:r>
          </w:p>
        </w:tc>
        <w:tc>
          <w:tcPr>
            <w:tcW w:w="6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1,067</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(1,067)</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5"/>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July 31, 2023</w:t>
            </w:r>
          </w:p>
        </w:tc>
        <w:tc>
          <w:tcPr>
            <w:tcW w:w="640" w:type="dxa"/>
            <w:vAlign w:val="bottom"/>
            <w:tcBorders>
              <w:bottom w:val="single" w:sz="8" w:color="auto"/>
            </w:tcBorders>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11,383</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(11,383)</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ind w:left="11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Shares at July 31, 2023</w:t>
            </w: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660" w:type="dxa"/>
            <w:vAlign w:val="bottom"/>
            <w:vMerge w:val="continue"/>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318,198</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318,198</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Sale of shares at cost</w:t>
            </w:r>
          </w:p>
        </w:tc>
        <w:tc>
          <w:tcPr>
            <w:tcW w:w="640" w:type="dxa"/>
            <w:vAlign w:val="bottom"/>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889</w:t>
            </w:r>
          </w:p>
        </w:tc>
        <w:tc>
          <w:tcPr>
            <w:tcW w:w="520" w:type="dxa"/>
            <w:vAlign w:val="bottom"/>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5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Purchase of shares at cost</w:t>
            </w:r>
          </w:p>
        </w:tc>
        <w:tc>
          <w:tcPr>
            <w:tcW w:w="6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1,217</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(1,217)</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4"/>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July 31, 2024</w:t>
            </w:r>
          </w:p>
        </w:tc>
        <w:tc>
          <w:tcPr>
            <w:tcW w:w="640" w:type="dxa"/>
            <w:vAlign w:val="bottom"/>
            <w:tcBorders>
              <w:bottom w:val="single" w:sz="8" w:color="auto"/>
            </w:tcBorders>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11,711</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(11,711)</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ind w:left="11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Shares at July 31, 2024</w:t>
            </w: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660" w:type="dxa"/>
            <w:vAlign w:val="bottom"/>
            <w:vMerge w:val="continue"/>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312,124</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312,124</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Sale of shares at cost</w:t>
            </w:r>
          </w:p>
        </w:tc>
        <w:tc>
          <w:tcPr>
            <w:tcW w:w="640" w:type="dxa"/>
            <w:vAlign w:val="bottom"/>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w:t>
            </w:r>
          </w:p>
        </w:tc>
        <w:tc>
          <w:tcPr>
            <w:tcW w:w="520" w:type="dxa"/>
            <w:vAlign w:val="bottom"/>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5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Purchase of shares at cost</w:t>
            </w:r>
          </w:p>
        </w:tc>
        <w:tc>
          <w:tcPr>
            <w:tcW w:w="6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1,384</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(1,384)</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4"/>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July 31, 2025</w:t>
            </w:r>
          </w:p>
        </w:tc>
        <w:tc>
          <w:tcPr>
            <w:tcW w:w="640" w:type="dxa"/>
            <w:vAlign w:val="bottom"/>
            <w:tcBorders>
              <w:bottom w:val="single" w:sz="8" w:color="auto"/>
            </w:tcBorders>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12,539</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(12,539)</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ind w:left="11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Shares at July 31, 2025</w:t>
            </w: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660" w:type="dxa"/>
            <w:vAlign w:val="bottom"/>
            <w:vMerge w:val="continue"/>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313,467</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313,467</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66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Deferred Compensation Plans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has two deferred compensation plans, the Executive Deferred Compensation Plan and the Director Deferred Compensation Plan that allow for compensation to be deferred into either the Company's Class A Nonvoting Common Stock or into other investment funds. Neither plan allows funds to be transferred between the Company's Class A Nonvoting Common Stock and the other investment funds.</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At July 31, 2025, the deferred compensation balance in stockholders’ equity represents the investment at the original cost of shares held in the Company’s Class A Nonvoting Common Stock for the deferred compensation plans. The balance of shares held in the Rabbi Trust represents the investment in the Company’s Class A Nonvoting Common Stock at the original cost of all the Company’s Class A Nonvoting Common Stock held in deferred compensation plans.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Incentive Stock Plans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has an incentive stock plan under which the Board of Directors may grant nonqualified stock options to purchase shares of Class A Nonvoting Common Stock, restricted stock units (“RSUs”), performance-based restricted stock units (“PRSUs”), or restricted and unrestricted shares of Class A Nonvoting Common Stock to employees and non-employee directors. Certain awards may be subject to pre-established performance goals. The majority of the Company’s annual share-based awards are granted in the first quarter of the fiscal year.</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July 31, 2025, the Company has reserved 1,367,247 shares of Class A Nonvoting Common Stock for outstanding stock options and RSUs and 4,721,007 shares of Class A Nonvoting Common Stock remain for future issuance of stock options and restricted and unrestricted shares under the active plans. The Company uses treasury stock or will issue new Class A Nonvoting Common Stock to deliver shares under these plans.</w:t>
      </w:r>
    </w:p>
    <w:p>
      <w:pPr>
        <w:spacing w:after="0" w:line="122"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Total stock-based compensation expense recognized during the years ended July 31, 2025, 2024, and 2023, was $11,882, $7,361, and $7,508, respectively. The total income tax benefit recognized in the consolidated statements of income was $1,526, $1,014 and $1,497 during the years ended July 31, 2025, 2024, and 2023, respectively.</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stock options issued under the plan have an exercise price equal to the fair market value of the underlying stock at the date of grant and generally vest ratably over a three-year period, with one-third becoming exercisable one year after the grant date and one-third additional in each of the succeeding two years. Options issued under the plan, referred to herein as “time-based” options, generally expire ten years from the date of grant. The Company did not grant time-based stock option awards during the year ended July 31, 2025.</w:t>
      </w:r>
    </w:p>
    <w:p>
      <w:pPr>
        <w:spacing w:after="0" w:line="1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has estimated the fair value of its time-based stock option awards granted during the years ended July 31, 2024 and 2023 using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Black-Scholes option valuation model. The weighted-average assumptions used in the Black-Scholes valuation model are reflected in the following table: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Black-Scholes Option Valuation Assumptions</w:t>
            </w:r>
          </w:p>
        </w:tc>
        <w:tc>
          <w:tcPr>
            <w:tcW w:w="1760" w:type="dxa"/>
            <w:vAlign w:val="bottom"/>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1760" w:type="dxa"/>
            <w:vAlign w:val="bottom"/>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3"/>
        </w:trPr>
        <w:tc>
          <w:tcPr>
            <w:tcW w:w="7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term (in years)</w:t>
            </w:r>
          </w:p>
        </w:tc>
        <w:tc>
          <w:tcPr>
            <w:tcW w:w="10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5.40</w:t>
            </w:r>
          </w:p>
        </w:tc>
        <w:tc>
          <w:tcPr>
            <w:tcW w:w="12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w:t>
            </w:r>
          </w:p>
        </w:tc>
      </w:tr>
      <w:tr>
        <w:trPr>
          <w:trHeight w:val="213"/>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Expected volatility</w:t>
            </w: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30.23 %</w:t>
            </w:r>
          </w:p>
        </w:tc>
        <w:tc>
          <w:tcPr>
            <w:tcW w:w="1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29.64 %</w:t>
            </w:r>
          </w:p>
        </w:tc>
      </w:tr>
      <w:tr>
        <w:trPr>
          <w:trHeight w:val="219"/>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dividend yield</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1.89 %</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2.01 %</w:t>
            </w:r>
          </w:p>
        </w:tc>
      </w:tr>
      <w:tr>
        <w:trPr>
          <w:trHeight w:val="210"/>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Risk-free interest rate</w:t>
            </w: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4.72 %</w:t>
            </w:r>
          </w:p>
        </w:tc>
        <w:tc>
          <w:tcPr>
            <w:tcW w:w="1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3.66 %</w:t>
            </w:r>
          </w:p>
        </w:tc>
      </w:tr>
    </w:tbl>
    <w:p>
      <w:pPr>
        <w:spacing w:after="0" w:line="2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summary of stock option activity for the year ended July 31, 2025:</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460" w:type="dxa"/>
            <w:vAlign w:val="bottom"/>
          </w:tcPr>
          <w:p>
            <w:pPr>
              <w:spacing w:after="0"/>
              <w:rPr>
                <w:sz w:val="14"/>
                <w:szCs w:val="14"/>
                <w:color w:val="auto"/>
              </w:rPr>
            </w:pPr>
          </w:p>
        </w:tc>
        <w:tc>
          <w:tcPr>
            <w:tcW w:w="1360" w:type="dxa"/>
            <w:vAlign w:val="bottom"/>
            <w:vMerge w:val="restart"/>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120" w:type="dxa"/>
            <w:vAlign w:val="bottom"/>
          </w:tcPr>
          <w:p>
            <w:pPr>
              <w:spacing w:after="0"/>
              <w:rPr>
                <w:sz w:val="14"/>
                <w:szCs w:val="14"/>
                <w:color w:val="auto"/>
              </w:rPr>
            </w:pPr>
          </w:p>
        </w:tc>
        <w:tc>
          <w:tcPr>
            <w:tcW w:w="146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Weighted Average</w:t>
            </w:r>
          </w:p>
        </w:tc>
        <w:tc>
          <w:tcPr>
            <w:tcW w:w="148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Remaining</w:t>
            </w:r>
          </w:p>
        </w:tc>
        <w:tc>
          <w:tcPr>
            <w:tcW w:w="140" w:type="dxa"/>
            <w:vAlign w:val="bottom"/>
          </w:tcPr>
          <w:p>
            <w:pPr>
              <w:spacing w:after="0"/>
              <w:rPr>
                <w:sz w:val="14"/>
                <w:szCs w:val="14"/>
                <w:color w:val="auto"/>
              </w:rPr>
            </w:pPr>
          </w:p>
        </w:tc>
        <w:tc>
          <w:tcPr>
            <w:tcW w:w="1220" w:type="dxa"/>
            <w:vAlign w:val="bottom"/>
            <w:vMerge w:val="restart"/>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Aggregate</w:t>
            </w:r>
          </w:p>
        </w:tc>
        <w:tc>
          <w:tcPr>
            <w:tcW w:w="0" w:type="dxa"/>
            <w:vAlign w:val="bottom"/>
          </w:tcPr>
          <w:p>
            <w:pPr>
              <w:spacing w:after="0"/>
              <w:rPr>
                <w:sz w:val="1"/>
                <w:szCs w:val="1"/>
                <w:color w:val="auto"/>
              </w:rPr>
            </w:pPr>
          </w:p>
        </w:tc>
      </w:tr>
      <w:tr>
        <w:trPr>
          <w:trHeight w:val="162"/>
        </w:trPr>
        <w:tc>
          <w:tcPr>
            <w:tcW w:w="546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Time-Based Options</w:t>
            </w:r>
          </w:p>
        </w:tc>
        <w:tc>
          <w:tcPr>
            <w:tcW w:w="13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3"/>
            <w:vMerge w:val="continue"/>
          </w:tcPr>
          <w:p>
            <w:pPr>
              <w:spacing w:after="0"/>
              <w:rPr>
                <w:sz w:val="14"/>
                <w:szCs w:val="14"/>
                <w:color w:val="auto"/>
              </w:rPr>
            </w:pPr>
          </w:p>
        </w:tc>
        <w:tc>
          <w:tcPr>
            <w:tcW w:w="148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Contractual Term</w:t>
            </w:r>
          </w:p>
        </w:tc>
        <w:tc>
          <w:tcPr>
            <w:tcW w:w="14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5460" w:type="dxa"/>
            <w:vAlign w:val="bottom"/>
            <w:tcBorders>
              <w:bottom w:val="single" w:sz="8" w:color="CCEEFF"/>
            </w:tcBorders>
            <w:vMerge w:val="continue"/>
          </w:tcPr>
          <w:p>
            <w:pPr>
              <w:spacing w:after="0"/>
              <w:rPr>
                <w:sz w:val="18"/>
                <w:szCs w:val="18"/>
                <w:color w:val="auto"/>
              </w:rPr>
            </w:pPr>
          </w:p>
        </w:tc>
        <w:tc>
          <w:tcPr>
            <w:tcW w:w="13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(Years)</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Intrinsic Value</w:t>
            </w:r>
          </w:p>
        </w:tc>
        <w:tc>
          <w:tcPr>
            <w:tcW w:w="0" w:type="dxa"/>
            <w:vAlign w:val="bottom"/>
          </w:tcPr>
          <w:p>
            <w:pPr>
              <w:spacing w:after="0"/>
              <w:rPr>
                <w:sz w:val="1"/>
                <w:szCs w:val="1"/>
                <w:color w:val="auto"/>
              </w:rPr>
            </w:pPr>
          </w:p>
        </w:tc>
      </w:tr>
      <w:tr>
        <w:trPr>
          <w:trHeight w:val="236"/>
        </w:trPr>
        <w:tc>
          <w:tcPr>
            <w:tcW w:w="5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as of July 31, 2024</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1,222,046</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44.46</w:t>
            </w: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Granted</w:t>
            </w: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CCEEFF"/>
            </w:tcBorders>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460" w:type="dxa"/>
            <w:vAlign w:val="bottom"/>
            <w:vMerge w:val="continue"/>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Exercised</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(159,713)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39.37</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Forfeited</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(10,019)</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51.08</w:t>
            </w: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as of July 31, 2025</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1,052,314</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45.17</w:t>
            </w: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26,585</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Exercisable as of July 31, 2025</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1,001,583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44.98</w:t>
            </w:r>
          </w:p>
        </w:tc>
        <w:tc>
          <w:tcPr>
            <w:tcW w:w="10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4.5</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25,497</w:t>
            </w:r>
          </w:p>
        </w:tc>
        <w:tc>
          <w:tcPr>
            <w:tcW w:w="0" w:type="dxa"/>
            <w:vAlign w:val="bottom"/>
          </w:tcPr>
          <w:p>
            <w:pPr>
              <w:spacing w:after="0"/>
              <w:rPr>
                <w:sz w:val="1"/>
                <w:szCs w:val="1"/>
                <w:color w:val="auto"/>
              </w:rPr>
            </w:pPr>
          </w:p>
        </w:tc>
      </w:tr>
      <w:tr>
        <w:trPr>
          <w:trHeight w:val="21"/>
        </w:trPr>
        <w:tc>
          <w:tcPr>
            <w:tcW w:w="54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additional stock option information:</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94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3"/>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fair value of options granted during the period</w:t>
            </w:r>
          </w:p>
        </w:tc>
        <w:tc>
          <w:tcPr>
            <w:tcW w:w="88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16.41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12.14</w:t>
            </w:r>
          </w:p>
        </w:tc>
      </w:tr>
      <w:tr>
        <w:trPr>
          <w:trHeight w:val="213"/>
        </w:trPr>
        <w:tc>
          <w:tcPr>
            <w:tcW w:w="6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Intrinsic value of options exercised during the period (in thousands)</w:t>
            </w:r>
          </w:p>
        </w:tc>
        <w:tc>
          <w:tcPr>
            <w:tcW w:w="8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5,559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8,860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1,822</w:t>
            </w:r>
          </w:p>
        </w:tc>
      </w:tr>
      <w:tr>
        <w:trPr>
          <w:trHeight w:val="219"/>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Fair value of options vested during the period (in thousands)</w:t>
            </w: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3,384</w:t>
            </w:r>
          </w:p>
        </w:tc>
      </w:tr>
      <w:tr>
        <w:trPr>
          <w:trHeight w:val="213"/>
        </w:trPr>
        <w:tc>
          <w:tcPr>
            <w:tcW w:w="6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received from the exercise of stock options during the period (in thousands)</w:t>
            </w:r>
          </w:p>
        </w:tc>
        <w:tc>
          <w:tcPr>
            <w:tcW w:w="8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6,171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8,186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4,091</w:t>
            </w:r>
          </w:p>
        </w:tc>
      </w:tr>
      <w:tr>
        <w:trPr>
          <w:trHeight w:val="219"/>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 benefit on options exercised during the period (in thousands)</w:t>
            </w: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As of July 31, 2025, total unrecognized compensation cost related to options that are expected to vest was $269 pre-tax, net of estimated forfeitures, which the Company expects to recognize over a weighted-average period of 0.9 years.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RSUs</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RSUs issued under the plan have a grant date fair value equal to the market price of the Company's stock at the date of grant and generally vest ratably over three years, with one-third vesting one year after the grant date and one-third additional in each of the succeeding two years.</w:t>
      </w:r>
    </w:p>
    <w:p>
      <w:pPr>
        <w:sectPr>
          <w:pgSz w:w="11900" w:h="16838" w:orient="portrait"/>
          <w:cols w:equalWidth="0" w:num="1">
            <w:col w:w="11240"/>
          </w:cols>
          <w:pgMar w:left="320" w:top="118" w:right="339" w:bottom="1440" w:gutter="0" w:footer="0" w:header="0"/>
        </w:sectPr>
      </w:pP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following tables summarize the RSU activity during the year ended July 31, 2025:</w:t>
      </w:r>
    </w:p>
    <w:p>
      <w:pPr>
        <w:spacing w:after="0" w:line="200" w:lineRule="exact"/>
        <w:rPr>
          <w:sz w:val="20"/>
          <w:szCs w:val="20"/>
          <w:color w:val="auto"/>
        </w:rPr>
      </w:pPr>
    </w:p>
    <w:p>
      <w:pPr>
        <w:spacing w:after="0" w:line="3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1631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Non-vested RSUs as of July 31, 2024</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Granted</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631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Non-vested RSUs as of July 31, 2025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0" w:type="dxa"/>
            <w:vAlign w:val="bottom"/>
          </w:tcPr>
          <w:p>
            <w:pPr>
              <w:spacing w:after="0"/>
              <w:rPr>
                <w:sz w:val="1"/>
                <w:szCs w:val="1"/>
                <w:color w:val="auto"/>
              </w:rPr>
            </w:pPr>
          </w:p>
        </w:tc>
      </w:tr>
      <w:tr>
        <w:trPr>
          <w:trHeight w:val="162"/>
        </w:trPr>
        <w:tc>
          <w:tcPr>
            <w:tcW w:w="1360" w:type="dxa"/>
            <w:vAlign w:val="bottom"/>
            <w:vMerge w:val="restart"/>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center"/>
              <w:ind w:right="119"/>
              <w:spacing w:after="0" w:line="162" w:lineRule="exact"/>
              <w:rPr>
                <w:sz w:val="20"/>
                <w:szCs w:val="20"/>
                <w:color w:val="auto"/>
              </w:rPr>
            </w:pPr>
            <w:r>
              <w:rPr>
                <w:rFonts w:ascii="Times New Roman" w:cs="Times New Roman" w:eastAsia="Times New Roman" w:hAnsi="Times New Roman"/>
                <w:sz w:val="16"/>
                <w:szCs w:val="16"/>
                <w:b w:val="1"/>
                <w:bCs w:val="1"/>
                <w:color w:val="auto"/>
              </w:rPr>
              <w:t>Grant Date</w:t>
            </w:r>
          </w:p>
        </w:tc>
        <w:tc>
          <w:tcPr>
            <w:tcW w:w="0" w:type="dxa"/>
            <w:vAlign w:val="bottom"/>
          </w:tcPr>
          <w:p>
            <w:pPr>
              <w:spacing w:after="0"/>
              <w:rPr>
                <w:sz w:val="1"/>
                <w:szCs w:val="1"/>
                <w:color w:val="auto"/>
              </w:rPr>
            </w:pPr>
          </w:p>
        </w:tc>
      </w:tr>
      <w:tr>
        <w:trPr>
          <w:trHeight w:val="214"/>
        </w:trPr>
        <w:tc>
          <w:tcPr>
            <w:tcW w:w="136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0" w:type="dxa"/>
            <w:vAlign w:val="bottom"/>
          </w:tcPr>
          <w:p>
            <w:pPr>
              <w:spacing w:after="0"/>
              <w:rPr>
                <w:sz w:val="1"/>
                <w:szCs w:val="1"/>
                <w:color w:val="auto"/>
              </w:rPr>
            </w:pPr>
          </w:p>
        </w:tc>
      </w:tr>
      <w:tr>
        <w:trPr>
          <w:trHeight w:val="211"/>
        </w:trPr>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148,991</w:t>
            </w:r>
          </w:p>
        </w:tc>
        <w:tc>
          <w:tcPr>
            <w:tcW w:w="3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52.20</w:t>
            </w:r>
          </w:p>
        </w:tc>
        <w:tc>
          <w:tcPr>
            <w:tcW w:w="0" w:type="dxa"/>
            <w:vAlign w:val="bottom"/>
          </w:tcPr>
          <w:p>
            <w:pPr>
              <w:spacing w:after="0"/>
              <w:rPr>
                <w:sz w:val="1"/>
                <w:szCs w:val="1"/>
                <w:color w:val="auto"/>
              </w:rPr>
            </w:pPr>
          </w:p>
        </w:tc>
      </w:tr>
      <w:tr>
        <w:trPr>
          <w:trHeight w:val="21"/>
        </w:trPr>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74.35</w:t>
            </w:r>
          </w:p>
        </w:tc>
        <w:tc>
          <w:tcPr>
            <w:tcW w:w="0" w:type="dxa"/>
            <w:vAlign w:val="bottom"/>
          </w:tcPr>
          <w:p>
            <w:pPr>
              <w:spacing w:after="0"/>
              <w:rPr>
                <w:sz w:val="1"/>
                <w:szCs w:val="1"/>
                <w:color w:val="auto"/>
              </w:rPr>
            </w:pPr>
          </w:p>
        </w:tc>
      </w:tr>
      <w:tr>
        <w:trPr>
          <w:trHeight w:val="204"/>
        </w:trPr>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96,322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(72,979)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50.96</w:t>
            </w:r>
          </w:p>
        </w:tc>
        <w:tc>
          <w:tcPr>
            <w:tcW w:w="0" w:type="dxa"/>
            <w:vAlign w:val="bottom"/>
          </w:tcPr>
          <w:p>
            <w:pPr>
              <w:spacing w:after="0"/>
              <w:rPr>
                <w:sz w:val="1"/>
                <w:szCs w:val="1"/>
                <w:color w:val="auto"/>
              </w:rPr>
            </w:pPr>
          </w:p>
        </w:tc>
      </w:tr>
      <w:tr>
        <w:trPr>
          <w:trHeight w:val="219"/>
        </w:trPr>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(9,667)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63.69</w:t>
            </w:r>
          </w:p>
        </w:tc>
        <w:tc>
          <w:tcPr>
            <w:tcW w:w="0" w:type="dxa"/>
            <w:vAlign w:val="bottom"/>
          </w:tcPr>
          <w:p>
            <w:pPr>
              <w:spacing w:after="0"/>
              <w:rPr>
                <w:sz w:val="1"/>
                <w:szCs w:val="1"/>
                <w:color w:val="auto"/>
              </w:rPr>
            </w:pPr>
          </w:p>
        </w:tc>
      </w:tr>
      <w:tr>
        <w:trPr>
          <w:trHeight w:val="212"/>
        </w:trPr>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162,667</w:t>
            </w:r>
          </w:p>
        </w:tc>
        <w:tc>
          <w:tcPr>
            <w:tcW w:w="3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65.19</w:t>
            </w:r>
          </w:p>
        </w:tc>
        <w:tc>
          <w:tcPr>
            <w:tcW w:w="0" w:type="dxa"/>
            <w:vAlign w:val="bottom"/>
          </w:tcPr>
          <w:p>
            <w:pPr>
              <w:spacing w:after="0"/>
              <w:rPr>
                <w:sz w:val="1"/>
                <w:szCs w:val="1"/>
                <w:color w:val="auto"/>
              </w:rPr>
            </w:pPr>
          </w:p>
        </w:tc>
      </w:tr>
      <w:tr>
        <w:trPr>
          <w:trHeight w:val="21"/>
        </w:trPr>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7680" w:space="720"/>
            <w:col w:w="2840"/>
          </w:cols>
          <w:pgMar w:left="320" w:top="118" w:right="339" w:bottom="1440" w:gutter="0" w:footer="0" w:header="0"/>
          <w:type w:val="continuous"/>
        </w:sectPr>
      </w:pPr>
    </w:p>
    <w:p>
      <w:pPr>
        <w:spacing w:after="0" w:line="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RSUs granted during the years ended July 31, 2024 and 2023, had a weighted-average grant-date fair value of $55.43 and $45.22, respectively.</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total fair value of time-based RSUs vested during the years ended July 31, 2025, 2024 and 2023, was $5,350, $3,888, and $3,734, respectively.</w:t>
      </w:r>
    </w:p>
    <w:p>
      <w:pPr>
        <w:spacing w:after="0" w:line="17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July 31, 2025, total unrecognized compensation cost related to RSUs that are expected to vest was $4,107 pre-tax, net of estimated forfeitures, which the Company expects to recognize over a weighted-average period of 1.9 years.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PRSUs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PRSUs are contingent on the achievement of predetermined market and performance targets. The PRSUs granted under the plan vest at the end of a three-year performance period provided the service period and specified performance targets are met. For the PRSUs granted during the years ended July 31, 2025 and 2024, awards will vest based on achievement of performance conditions relating to Company revenue and diluted EPS targets. For the PRSUs granted during the year ended July 31, 2023, the vesting criteria for 50% of the grant is based upon the Company's total shareholder return (“TSR”) relative to the S&amp;P 600 SmallCap Industrials Index over a three-year performance period, and the vesting criteria for the remaining 50% of the grant is based upon Company revenue targets.</w:t>
      </w:r>
    </w:p>
    <w:p>
      <w:pPr>
        <w:spacing w:after="0" w:line="13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PRSUs granted during the year ended July 31, 2025 had a fair value determined by the average of the high and low stock price on the date of grant.</w:t>
      </w:r>
    </w:p>
    <w:p>
      <w:pPr>
        <w:sectPr>
          <w:pgSz w:w="11900" w:h="16838" w:orient="portrait"/>
          <w:cols w:equalWidth="0" w:num="1">
            <w:col w:w="11240"/>
          </w:cols>
          <w:pgMar w:left="320" w:top="118" w:right="339" w:bottom="1440" w:gutter="0" w:footer="0" w:header="0"/>
          <w:type w:val="continuous"/>
        </w:sectPr>
      </w:pP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following tables summarize the PRSU activity during the year ended July 31, 2025:</w:t>
      </w:r>
    </w:p>
    <w:p>
      <w:pPr>
        <w:spacing w:after="0" w:line="200" w:lineRule="exact"/>
        <w:rPr>
          <w:sz w:val="20"/>
          <w:szCs w:val="20"/>
          <w:color w:val="auto"/>
        </w:rPr>
      </w:pPr>
    </w:p>
    <w:p>
      <w:pPr>
        <w:spacing w:after="0" w:line="3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PRSUs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1625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Non-vested PRSUs as of July 31, 2024</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Granted</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631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Non-vested PRSUs as of July 31, 2025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0" w:type="dxa"/>
            <w:vAlign w:val="bottom"/>
          </w:tcPr>
          <w:p>
            <w:pPr>
              <w:spacing w:after="0"/>
              <w:rPr>
                <w:sz w:val="1"/>
                <w:szCs w:val="1"/>
                <w:color w:val="auto"/>
              </w:rPr>
            </w:pPr>
          </w:p>
        </w:tc>
      </w:tr>
      <w:tr>
        <w:trPr>
          <w:trHeight w:val="162"/>
        </w:trPr>
        <w:tc>
          <w:tcPr>
            <w:tcW w:w="1360" w:type="dxa"/>
            <w:vAlign w:val="bottom"/>
            <w:vMerge w:val="restart"/>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center"/>
              <w:ind w:right="119"/>
              <w:spacing w:after="0" w:line="162" w:lineRule="exact"/>
              <w:rPr>
                <w:sz w:val="20"/>
                <w:szCs w:val="20"/>
                <w:color w:val="auto"/>
              </w:rPr>
            </w:pPr>
            <w:r>
              <w:rPr>
                <w:rFonts w:ascii="Times New Roman" w:cs="Times New Roman" w:eastAsia="Times New Roman" w:hAnsi="Times New Roman"/>
                <w:sz w:val="16"/>
                <w:szCs w:val="16"/>
                <w:b w:val="1"/>
                <w:bCs w:val="1"/>
                <w:color w:val="auto"/>
              </w:rPr>
              <w:t>Grant Date</w:t>
            </w:r>
          </w:p>
        </w:tc>
        <w:tc>
          <w:tcPr>
            <w:tcW w:w="0" w:type="dxa"/>
            <w:vAlign w:val="bottom"/>
          </w:tcPr>
          <w:p>
            <w:pPr>
              <w:spacing w:after="0"/>
              <w:rPr>
                <w:sz w:val="1"/>
                <w:szCs w:val="1"/>
                <w:color w:val="auto"/>
              </w:rPr>
            </w:pPr>
          </w:p>
        </w:tc>
      </w:tr>
      <w:tr>
        <w:trPr>
          <w:trHeight w:val="214"/>
        </w:trPr>
        <w:tc>
          <w:tcPr>
            <w:tcW w:w="136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0" w:type="dxa"/>
            <w:vAlign w:val="bottom"/>
          </w:tcPr>
          <w:p>
            <w:pPr>
              <w:spacing w:after="0"/>
              <w:rPr>
                <w:sz w:val="1"/>
                <w:szCs w:val="1"/>
                <w:color w:val="auto"/>
              </w:rPr>
            </w:pPr>
          </w:p>
        </w:tc>
      </w:tr>
      <w:tr>
        <w:trPr>
          <w:trHeight w:val="211"/>
        </w:trPr>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103,221</w:t>
            </w:r>
          </w:p>
        </w:tc>
        <w:tc>
          <w:tcPr>
            <w:tcW w:w="3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53.46</w:t>
            </w:r>
          </w:p>
        </w:tc>
        <w:tc>
          <w:tcPr>
            <w:tcW w:w="0" w:type="dxa"/>
            <w:vAlign w:val="bottom"/>
          </w:tcPr>
          <w:p>
            <w:pPr>
              <w:spacing w:after="0"/>
              <w:rPr>
                <w:sz w:val="1"/>
                <w:szCs w:val="1"/>
                <w:color w:val="auto"/>
              </w:rPr>
            </w:pPr>
          </w:p>
        </w:tc>
      </w:tr>
      <w:tr>
        <w:trPr>
          <w:trHeight w:val="21"/>
        </w:trPr>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71.24</w:t>
            </w:r>
          </w:p>
        </w:tc>
        <w:tc>
          <w:tcPr>
            <w:tcW w:w="0" w:type="dxa"/>
            <w:vAlign w:val="bottom"/>
          </w:tcPr>
          <w:p>
            <w:pPr>
              <w:spacing w:after="0"/>
              <w:rPr>
                <w:sz w:val="1"/>
                <w:szCs w:val="1"/>
                <w:color w:val="auto"/>
              </w:rPr>
            </w:pPr>
          </w:p>
        </w:tc>
      </w:tr>
      <w:tr>
        <w:trPr>
          <w:trHeight w:val="204"/>
        </w:trPr>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61,981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(8,098)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64.44</w:t>
            </w:r>
          </w:p>
        </w:tc>
        <w:tc>
          <w:tcPr>
            <w:tcW w:w="0" w:type="dxa"/>
            <w:vAlign w:val="bottom"/>
          </w:tcPr>
          <w:p>
            <w:pPr>
              <w:spacing w:after="0"/>
              <w:rPr>
                <w:sz w:val="1"/>
                <w:szCs w:val="1"/>
                <w:color w:val="auto"/>
              </w:rPr>
            </w:pPr>
          </w:p>
        </w:tc>
      </w:tr>
      <w:tr>
        <w:trPr>
          <w:trHeight w:val="219"/>
        </w:trPr>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(4,838)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58.80</w:t>
            </w:r>
          </w:p>
        </w:tc>
        <w:tc>
          <w:tcPr>
            <w:tcW w:w="0" w:type="dxa"/>
            <w:vAlign w:val="bottom"/>
          </w:tcPr>
          <w:p>
            <w:pPr>
              <w:spacing w:after="0"/>
              <w:rPr>
                <w:sz w:val="1"/>
                <w:szCs w:val="1"/>
                <w:color w:val="auto"/>
              </w:rPr>
            </w:pPr>
          </w:p>
        </w:tc>
      </w:tr>
      <w:tr>
        <w:trPr>
          <w:trHeight w:val="213"/>
        </w:trPr>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152,266</w:t>
            </w:r>
          </w:p>
        </w:tc>
        <w:tc>
          <w:tcPr>
            <w:tcW w:w="3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59.92</w:t>
            </w:r>
          </w:p>
        </w:tc>
        <w:tc>
          <w:tcPr>
            <w:tcW w:w="0" w:type="dxa"/>
            <w:vAlign w:val="bottom"/>
          </w:tcPr>
          <w:p>
            <w:pPr>
              <w:spacing w:after="0"/>
              <w:rPr>
                <w:sz w:val="1"/>
                <w:szCs w:val="1"/>
                <w:color w:val="auto"/>
              </w:rPr>
            </w:pPr>
          </w:p>
        </w:tc>
      </w:tr>
      <w:tr>
        <w:trPr>
          <w:trHeight w:val="20"/>
        </w:trPr>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7680" w:space="720"/>
            <w:col w:w="2840"/>
          </w:cols>
          <w:pgMar w:left="320" w:top="118" w:right="339" w:bottom="1440" w:gutter="0" w:footer="0" w:header="0"/>
          <w:type w:val="continuous"/>
        </w:sectPr>
      </w:pPr>
    </w:p>
    <w:p>
      <w:pPr>
        <w:spacing w:after="0" w:line="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PRSUs granted during the year ended July 31, 2024 and 2023, had a weighted-average grant-date fair value of $51.16 and $55.77,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fair value of PRSUs vested during the years ended July 31, 2025, 2024 and 2023, was $595, $141, and $889, respectively.</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July 31, 2025, total unrecognized compensation cost related to PRSUs that are expected to vest was $5,093 pre-tax, net of estimated forfeitures, which the Company expects to recognize over a weighted-average period of 1.7 years.</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Accumulated Other Comprehensive Loss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Other comprehensive loss consists of foreign currency translation adjustments which includes net investment hedges and long-term intercompany loan translation adjustments, unrealized gains or losses from cash flow hedges, and the unamortized gain on post-retirement plans, net of their related tax effects.</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illustrates the changes in the balances of each component of accumulated other comprehensive loss, net of tax, for the periods presented: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Unrealized gain</w:t>
            </w:r>
          </w:p>
        </w:tc>
        <w:tc>
          <w:tcPr>
            <w:tcW w:w="150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Unamortized gain</w:t>
            </w:r>
          </w:p>
        </w:tc>
        <w:tc>
          <w:tcPr>
            <w:tcW w:w="80" w:type="dxa"/>
            <w:vAlign w:val="bottom"/>
          </w:tcPr>
          <w:p>
            <w:pPr>
              <w:spacing w:after="0"/>
              <w:rPr>
                <w:sz w:val="16"/>
                <w:szCs w:val="16"/>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Foreign currency</w:t>
            </w:r>
          </w:p>
        </w:tc>
        <w:tc>
          <w:tcPr>
            <w:tcW w:w="140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0" w:type="dxa"/>
            <w:vAlign w:val="bottom"/>
          </w:tcPr>
          <w:p>
            <w:pPr>
              <w:spacing w:after="0"/>
              <w:rPr>
                <w:sz w:val="1"/>
                <w:szCs w:val="1"/>
                <w:color w:val="auto"/>
              </w:rPr>
            </w:pPr>
          </w:p>
        </w:tc>
      </w:tr>
      <w:tr>
        <w:trPr>
          <w:trHeight w:val="162"/>
        </w:trPr>
        <w:tc>
          <w:tcPr>
            <w:tcW w:w="5360" w:type="dxa"/>
            <w:vAlign w:val="bottom"/>
          </w:tcPr>
          <w:p>
            <w:pPr>
              <w:spacing w:after="0"/>
              <w:rPr>
                <w:sz w:val="14"/>
                <w:szCs w:val="14"/>
                <w:color w:val="auto"/>
              </w:rPr>
            </w:pPr>
          </w:p>
        </w:tc>
        <w:tc>
          <w:tcPr>
            <w:tcW w:w="1500" w:type="dxa"/>
            <w:vAlign w:val="bottom"/>
            <w:gridSpan w:val="3"/>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(loss) on cash flow</w:t>
            </w:r>
          </w:p>
        </w:tc>
        <w:tc>
          <w:tcPr>
            <w:tcW w:w="1500" w:type="dxa"/>
            <w:vAlign w:val="bottom"/>
            <w:gridSpan w:val="3"/>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w w:val="99"/>
              </w:rPr>
              <w:t>on postretirement</w:t>
            </w:r>
          </w:p>
        </w:tc>
        <w:tc>
          <w:tcPr>
            <w:tcW w:w="80" w:type="dxa"/>
            <w:vAlign w:val="bottom"/>
          </w:tcPr>
          <w:p>
            <w:pPr>
              <w:spacing w:after="0"/>
              <w:rPr>
                <w:sz w:val="14"/>
                <w:szCs w:val="14"/>
                <w:color w:val="auto"/>
              </w:rPr>
            </w:pPr>
          </w:p>
        </w:tc>
        <w:tc>
          <w:tcPr>
            <w:tcW w:w="140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translation</w:t>
            </w:r>
          </w:p>
        </w:tc>
        <w:tc>
          <w:tcPr>
            <w:tcW w:w="14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5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hedges</w:t>
            </w:r>
          </w:p>
        </w:tc>
        <w:tc>
          <w:tcPr>
            <w:tcW w:w="300" w:type="dxa"/>
            <w:vAlign w:val="bottom"/>
          </w:tcPr>
          <w:p>
            <w:pPr>
              <w:spacing w:after="0"/>
              <w:rPr>
                <w:sz w:val="18"/>
                <w:szCs w:val="18"/>
                <w:color w:val="auto"/>
              </w:rPr>
            </w:pP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plans</w:t>
            </w:r>
          </w:p>
        </w:tc>
        <w:tc>
          <w:tcPr>
            <w:tcW w:w="80" w:type="dxa"/>
            <w:vAlign w:val="bottom"/>
          </w:tcPr>
          <w:p>
            <w:pPr>
              <w:spacing w:after="0"/>
              <w:rPr>
                <w:sz w:val="18"/>
                <w:szCs w:val="18"/>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comprehensive loss</w:t>
            </w:r>
          </w:p>
        </w:tc>
        <w:tc>
          <w:tcPr>
            <w:tcW w:w="0" w:type="dxa"/>
            <w:vAlign w:val="bottom"/>
          </w:tcPr>
          <w:p>
            <w:pPr>
              <w:spacing w:after="0"/>
              <w:rPr>
                <w:sz w:val="1"/>
                <w:szCs w:val="1"/>
                <w:color w:val="auto"/>
              </w:rPr>
            </w:pPr>
          </w:p>
        </w:tc>
      </w:tr>
      <w:tr>
        <w:trPr>
          <w:trHeight w:val="236"/>
        </w:trPr>
        <w:tc>
          <w:tcPr>
            <w:tcW w:w="5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Ending balance, July 31, 2022</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(111,467)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(109,077)</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before reclassification</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3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2,292</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16,009</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17,949</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Amounts reclassified from accumulated other comprehensive loss</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(1,933)</w:t>
            </w:r>
          </w:p>
        </w:tc>
        <w:tc>
          <w:tcPr>
            <w:tcW w:w="0" w:type="dxa"/>
            <w:vAlign w:val="bottom"/>
          </w:tcPr>
          <w:p>
            <w:pPr>
              <w:spacing w:after="0"/>
              <w:rPr>
                <w:sz w:val="1"/>
                <w:szCs w:val="1"/>
                <w:color w:val="auto"/>
              </w:rPr>
            </w:pPr>
          </w:p>
        </w:tc>
      </w:tr>
      <w:tr>
        <w:trPr>
          <w:trHeight w:val="212"/>
        </w:trPr>
        <w:tc>
          <w:tcPr>
            <w:tcW w:w="5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Ending balance, July 31, 2023</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1,641</w:t>
            </w: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756</w:t>
            </w:r>
          </w:p>
        </w:tc>
        <w:tc>
          <w:tcPr>
            <w:tcW w:w="1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(95,458)</w:t>
            </w:r>
          </w:p>
        </w:tc>
        <w:tc>
          <w:tcPr>
            <w:tcW w:w="100" w:type="dxa"/>
            <w:vAlign w:val="bottom"/>
          </w:tcPr>
          <w:p>
            <w:pPr>
              <w:spacing w:after="0"/>
              <w:rPr>
                <w:sz w:val="18"/>
                <w:szCs w:val="18"/>
                <w:color w:val="auto"/>
              </w:rPr>
            </w:pPr>
          </w:p>
        </w:tc>
        <w:tc>
          <w:tcPr>
            <w:tcW w:w="4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(93,061)</w:t>
            </w:r>
          </w:p>
        </w:tc>
        <w:tc>
          <w:tcPr>
            <w:tcW w:w="0" w:type="dxa"/>
            <w:vAlign w:val="bottom"/>
          </w:tcPr>
          <w:p>
            <w:pPr>
              <w:spacing w:after="0"/>
              <w:rPr>
                <w:sz w:val="1"/>
                <w:szCs w:val="1"/>
                <w:color w:val="auto"/>
              </w:rPr>
            </w:pPr>
          </w:p>
        </w:tc>
      </w:tr>
      <w:tr>
        <w:trPr>
          <w:trHeight w:val="20"/>
        </w:trPr>
        <w:tc>
          <w:tcPr>
            <w:tcW w:w="53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 income before reclassification</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(14,477)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(14,441)</w:t>
            </w:r>
          </w:p>
        </w:tc>
        <w:tc>
          <w:tcPr>
            <w:tcW w:w="0" w:type="dxa"/>
            <w:vAlign w:val="bottom"/>
          </w:tcPr>
          <w:p>
            <w:pPr>
              <w:spacing w:after="0"/>
              <w:rPr>
                <w:sz w:val="1"/>
                <w:szCs w:val="1"/>
                <w:color w:val="auto"/>
              </w:rPr>
            </w:pPr>
          </w:p>
        </w:tc>
      </w:tr>
      <w:tr>
        <w:trPr>
          <w:trHeight w:val="213"/>
        </w:trPr>
        <w:tc>
          <w:tcPr>
            <w:tcW w:w="5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Amounts reclassified from accumulated other comprehensive loss</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(2,120)</w:t>
            </w:r>
          </w:p>
        </w:tc>
        <w:tc>
          <w:tcPr>
            <w:tcW w:w="0" w:type="dxa"/>
            <w:vAlign w:val="bottom"/>
          </w:tcPr>
          <w:p>
            <w:pPr>
              <w:spacing w:after="0"/>
              <w:rPr>
                <w:sz w:val="1"/>
                <w:szCs w:val="1"/>
                <w:color w:val="auto"/>
              </w:rPr>
            </w:pPr>
          </w:p>
        </w:tc>
      </w:tr>
      <w:tr>
        <w:trPr>
          <w:trHeight w:val="237"/>
        </w:trPr>
        <w:tc>
          <w:tcPr>
            <w:tcW w:w="5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Ending balance, July 31, 2024</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(109,935)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(109,622)</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Other comprehensive (loss) income before reclassification</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3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(691)</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18,165</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17,471</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Amounts reclassified from accumulated other comprehensive loss</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12"/>
        </w:trPr>
        <w:tc>
          <w:tcPr>
            <w:tcW w:w="5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Ending balance, July 31, 2025</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(394)</w:t>
            </w: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(91,770)</w:t>
            </w:r>
          </w:p>
        </w:tc>
        <w:tc>
          <w:tcPr>
            <w:tcW w:w="100" w:type="dxa"/>
            <w:vAlign w:val="bottom"/>
          </w:tcPr>
          <w:p>
            <w:pPr>
              <w:spacing w:after="0"/>
              <w:rPr>
                <w:sz w:val="18"/>
                <w:szCs w:val="18"/>
                <w:color w:val="auto"/>
              </w:rPr>
            </w:pPr>
          </w:p>
        </w:tc>
        <w:tc>
          <w:tcPr>
            <w:tcW w:w="4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(92,159)</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decrease in accumulated other comprehensive loss as of July 31, 2025 compared to July 31, 2024 was primarily due to the depreciation of the U.S. dollar against certain other currencies during the fiscal year. Of the amounts reclassified from accumulated other comprehensive loss during the years ended July 31, 2025 and 2024, unrealized gains or losses on cash flow hedges were reclassified into “Cost of goods sold” and net unamortized gains on post-retirement plans were reclassified into “Investment and other income” on the consolidated statements of income.</w:t>
      </w:r>
    </w:p>
    <w:p>
      <w:pPr>
        <w:spacing w:after="0" w:line="1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illustrates the income tax benefit (expense) on the components of other comprehensive (loss) income:</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94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6"/>
                <w:szCs w:val="16"/>
                <w:b w:val="1"/>
                <w:bCs w:val="1"/>
                <w:color w:val="auto"/>
              </w:rPr>
              <w:t>Years Ended July 31,</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r>
      <w:tr>
        <w:trPr>
          <w:trHeight w:val="211"/>
        </w:trPr>
        <w:tc>
          <w:tcPr>
            <w:tcW w:w="694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4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8"/>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benefit (expense) related to items of other comprehensive income (loss):</w:t>
            </w:r>
          </w:p>
        </w:tc>
        <w:tc>
          <w:tcPr>
            <w:tcW w:w="9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13"/>
        </w:trPr>
        <w:tc>
          <w:tcPr>
            <w:tcW w:w="69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Cash flow hedges</w:t>
            </w:r>
          </w:p>
        </w:tc>
        <w:tc>
          <w:tcPr>
            <w:tcW w:w="940" w:type="dxa"/>
            <w:vAlign w:val="bottom"/>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42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w:t>
            </w:r>
          </w:p>
        </w:tc>
      </w:tr>
      <w:tr>
        <w:trPr>
          <w:trHeight w:val="219"/>
        </w:trPr>
        <w:tc>
          <w:tcPr>
            <w:tcW w:w="6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Pension and other post-retirement benefits</w:t>
            </w:r>
          </w:p>
        </w:tc>
        <w:tc>
          <w:tcPr>
            <w:tcW w:w="9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w:t>
            </w:r>
          </w:p>
        </w:tc>
      </w:tr>
      <w:tr>
        <w:trPr>
          <w:trHeight w:val="210"/>
        </w:trPr>
        <w:tc>
          <w:tcPr>
            <w:tcW w:w="6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benefit (expense) related to items of other comprehensive income (loss)</w:t>
            </w:r>
          </w:p>
        </w:tc>
        <w:tc>
          <w:tcPr>
            <w:tcW w:w="940" w:type="dxa"/>
            <w:vAlign w:val="bottom"/>
            <w:tcBorders>
              <w:bottom w:val="single" w:sz="8" w:color="auto"/>
            </w:tcBorders>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349</w:t>
            </w:r>
          </w:p>
        </w:tc>
      </w:tr>
      <w:tr>
        <w:trPr>
          <w:trHeight w:val="20"/>
        </w:trPr>
        <w:tc>
          <w:tcPr>
            <w:tcW w:w="69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Revenue Recognition</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recognizes revenue when control of the product or service transfers to the customer at an amount that represents the consideration expected to be received in exchange for those products and services.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Nature of Products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revenues are primarily from the sale of identification solutions and workplace safety products that are shipped and billed to customers.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revenue is from contracts with customers and is included in “Net sales” on the consolidated statements of income.</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Performance Obligations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contracts with customers consist of purchase orders, which in some cases are governed by master supply or distributor agreements. For each contract, the Company considers the commitment to transfer tangible products, which are generally capable of being distinct, to be separate performance obligations.</w:t>
      </w:r>
    </w:p>
    <w:p>
      <w:pPr>
        <w:spacing w:after="0" w:line="12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majority of the Company's revenue is earned and recognized at a point in time through ship-and-bill performance obligations where the customer typically obtains control of the product upon shipment or delivery, depending on freight terms. The Company considers control to have transferred if legal title, physical possession, and the significant risks and rewards of ownership of the asset have transferred to the customer and the Company has a present right to payment. In almost all cases, control transfers once a product is shipped or delivered, as this is when the customer is able to direct and obtain substantially all of the remaining benefits associated with use of the asset.</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Transaction Price and Variable Consideration</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Revenue is measured as the amount of consideration the Company expects to be entitled to in exchange for the transfer of product to a customer. The transaction price is generally the price stated in the contract specific for each item sold, adjusted for all applicable variable considerations. Variable consideration generally includes discounts, returns, credits, rebates, or other allowances that reduce the transaction price. Certain discounts and price assurances are fixed and known at the time of sale.</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estimates the amount of variable consideration and reduces the transaction price to the extent it is probable that a significant reversal of cumulative revenue recognized will not occur when the uncertainty associated with the variable consideration is resolved. The expected value method is used to estimate expected returns and allowances based on historical experience. The most likely amount method is used to estimate customer rebates, which are offered retrospectively and typically defined in the master supply or distributor agreement.</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Payment Terms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While the Company’s standard payment terms are net 30 days, the specific payment terms and conditions in its contracts with customers vary by type and location of the customer. Cash discounts may be offered to certain customers. The Company has payment terms in its contracts with customers of less than one year, and therefore, does not recognize the time value of money or any financing component of such contracts.</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Warranties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offers standard warranty coverage on substantially all products which provides the customer with assurance that the product will function as intended. This standard warranty coverage is accounted for as an assurance warranty and is not considered to be a separate performance obligation. The Company records a liability for product warranty obligations at the time of sale based on historical warranty experience that is included in cost of goods sold.</w:t>
      </w:r>
    </w:p>
    <w:p>
      <w:pPr>
        <w:spacing w:after="0" w:line="12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also offers extended warranty coverage for certain products, which it accounts for as service warranties. In most cases, the extended service warranty is included in the sales price of the product and is not sold separately. The Company considers the extended service warranty to be a separate performance obligation and allocates a portion of the transaction price to the service warranty based on the estimated stand-alone selling price. At the time of sale, the extended warranty transaction price is recorded as deferred revenue on the consolidated balance sheets and is recognized on a straight-line basis over the life of the service warranty period. The deferred revenue is considered a contract liability as the Company has a right to payment at the time the product with the related extended service warranty is shipped or delivered and therefore, payment is received in advance of the Company's performance.</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balance of contract liabilities associated with service warranty performance obligations was $3,060 and $2,947 as of July 31, 2025 and 2024, respectively. This also represents the amount of unsatisfied performance obligations related to contracts that extend beyond one year. The current portion and non-current portion of contract liabilities are included in “Other current liabilities” and “Other liabilities,” respectively, on the accompanying consolidated balance sheets. During the year ended July 31, 2025, the Company recognized revenue of $1,373 that was included in the contract liability balance at the beginning of the period from the amortization of extended service warranties. Of the contract liability balance outstanding at July 31, 2025, the Company expects to recognize 42% by the end of fiscal 2026, an additional 28% by the end of fiscal 2027, and the balance thereafter.</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Costs of Obtaining a Contract</w:t>
      </w:r>
    </w:p>
    <w:p>
      <w:pPr>
        <w:spacing w:after="0" w:line="17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 expenses incremental direct costs of obtaining a contract (e.g., sales commissions) when incurred because the amortization period is generally twelve months or less. Contract costs are included in “Selling, general and administrative expense” on the consolidated statements of income.</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Company's revenue by geographic region within the reportable segments. See Note 10 “Segment Information” for information on the Company's reportable segments.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9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199"/>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Americas &amp; Asia:</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i w:val="1"/>
                <w:iCs w:val="1"/>
                <w:color w:val="auto"/>
              </w:rPr>
              <w:t>Americas</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862,703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784,576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787,426</w:t>
            </w:r>
          </w:p>
        </w:tc>
        <w:tc>
          <w:tcPr>
            <w:tcW w:w="0" w:type="dxa"/>
            <w:vAlign w:val="bottom"/>
          </w:tcPr>
          <w:p>
            <w:pPr>
              <w:spacing w:after="0"/>
              <w:rPr>
                <w:sz w:val="1"/>
                <w:szCs w:val="1"/>
                <w:color w:val="auto"/>
              </w:rPr>
            </w:pPr>
          </w:p>
        </w:tc>
      </w:tr>
      <w:tr>
        <w:trPr>
          <w:trHeight w:val="214"/>
        </w:trPr>
        <w:tc>
          <w:tcPr>
            <w:tcW w:w="69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i w:val="1"/>
                <w:iCs w:val="1"/>
                <w:color w:val="auto"/>
              </w:rPr>
              <w:t>Asia</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131,012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101,952</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101,431</w:t>
            </w:r>
          </w:p>
        </w:tc>
        <w:tc>
          <w:tcPr>
            <w:tcW w:w="0" w:type="dxa"/>
            <w:vAlign w:val="bottom"/>
          </w:tcPr>
          <w:p>
            <w:pPr>
              <w:spacing w:after="0"/>
              <w:rPr>
                <w:sz w:val="1"/>
                <w:szCs w:val="1"/>
                <w:color w:val="auto"/>
              </w:rPr>
            </w:pPr>
          </w:p>
        </w:tc>
      </w:tr>
      <w:tr>
        <w:trPr>
          <w:trHeight w:val="233"/>
        </w:trPr>
        <w:tc>
          <w:tcPr>
            <w:tcW w:w="69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993,715</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886,528</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888,857</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Europe &amp; Australia:</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9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6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i w:val="1"/>
                <w:iCs w:val="1"/>
                <w:color w:val="auto"/>
              </w:rPr>
              <w:t>Europe</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463,582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399,462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387,743</w:t>
            </w:r>
          </w:p>
        </w:tc>
        <w:tc>
          <w:tcPr>
            <w:tcW w:w="0" w:type="dxa"/>
            <w:vAlign w:val="bottom"/>
          </w:tcPr>
          <w:p>
            <w:pPr>
              <w:spacing w:after="0"/>
              <w:rPr>
                <w:sz w:val="1"/>
                <w:szCs w:val="1"/>
                <w:color w:val="auto"/>
              </w:rPr>
            </w:pPr>
          </w:p>
        </w:tc>
      </w:tr>
      <w:tr>
        <w:trPr>
          <w:trHeight w:val="214"/>
        </w:trPr>
        <w:tc>
          <w:tcPr>
            <w:tcW w:w="69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i w:val="1"/>
                <w:iCs w:val="1"/>
                <w:color w:val="auto"/>
              </w:rPr>
              <w:t>Australia</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56,308</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55,403</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55,263</w:t>
            </w:r>
          </w:p>
        </w:tc>
        <w:tc>
          <w:tcPr>
            <w:tcW w:w="0" w:type="dxa"/>
            <w:vAlign w:val="bottom"/>
          </w:tcPr>
          <w:p>
            <w:pPr>
              <w:spacing w:after="0"/>
              <w:rPr>
                <w:sz w:val="1"/>
                <w:szCs w:val="1"/>
                <w:color w:val="auto"/>
              </w:rPr>
            </w:pPr>
          </w:p>
        </w:tc>
      </w:tr>
      <w:tr>
        <w:trPr>
          <w:trHeight w:val="211"/>
        </w:trPr>
        <w:tc>
          <w:tcPr>
            <w:tcW w:w="6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519,890</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454,865</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443,006</w:t>
            </w:r>
          </w:p>
        </w:tc>
        <w:tc>
          <w:tcPr>
            <w:tcW w:w="0" w:type="dxa"/>
            <w:vAlign w:val="bottom"/>
          </w:tcPr>
          <w:p>
            <w:pPr>
              <w:spacing w:after="0"/>
              <w:rPr>
                <w:sz w:val="1"/>
                <w:szCs w:val="1"/>
                <w:color w:val="auto"/>
              </w:rPr>
            </w:pPr>
          </w:p>
        </w:tc>
      </w:tr>
      <w:tr>
        <w:trPr>
          <w:trHeight w:val="207"/>
        </w:trPr>
        <w:tc>
          <w:tcPr>
            <w:tcW w:w="6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Company</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1,513,605</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1,341,393</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1,331,863</w:t>
            </w:r>
          </w:p>
        </w:tc>
        <w:tc>
          <w:tcPr>
            <w:tcW w:w="0" w:type="dxa"/>
            <w:vAlign w:val="bottom"/>
          </w:tcPr>
          <w:p>
            <w:pPr>
              <w:spacing w:after="0"/>
              <w:rPr>
                <w:sz w:val="1"/>
                <w:szCs w:val="1"/>
                <w:color w:val="auto"/>
              </w:rPr>
            </w:pPr>
          </w:p>
        </w:tc>
      </w:tr>
      <w:tr>
        <w:trPr>
          <w:trHeight w:val="23"/>
        </w:trPr>
        <w:tc>
          <w:tcPr>
            <w:tcW w:w="69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summary of sales by product category for the years ended July 31, 2025, 2024 and 2023:</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9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6"/>
                <w:szCs w:val="16"/>
                <w:b w:val="1"/>
                <w:bCs w:val="1"/>
                <w:color w:val="auto"/>
              </w:rPr>
              <w:t>Years Ended July 31,</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r>
      <w:tr>
        <w:trPr>
          <w:trHeight w:val="211"/>
        </w:trPr>
        <w:tc>
          <w:tcPr>
            <w:tcW w:w="69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Safety and Facility Identification</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611,242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607,235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608,938</w:t>
            </w:r>
          </w:p>
        </w:tc>
      </w:tr>
      <w:tr>
        <w:trPr>
          <w:trHeight w:val="213"/>
        </w:trPr>
        <w:tc>
          <w:tcPr>
            <w:tcW w:w="6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Product Identification</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428,655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274,429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259,164</w:t>
            </w:r>
          </w:p>
        </w:tc>
      </w:tr>
      <w:tr>
        <w:trPr>
          <w:trHeight w:val="219"/>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Wire Identification</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247,933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228,415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209,284</w:t>
            </w:r>
          </w:p>
        </w:tc>
      </w:tr>
      <w:tr>
        <w:trPr>
          <w:trHeight w:val="213"/>
        </w:trPr>
        <w:tc>
          <w:tcPr>
            <w:tcW w:w="6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Healthcare Identification</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140,612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141,767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145,225</w:t>
            </w:r>
          </w:p>
        </w:tc>
      </w:tr>
      <w:tr>
        <w:trPr>
          <w:trHeight w:val="219"/>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People Identification</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85,163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89,547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109,252</w:t>
            </w:r>
          </w:p>
        </w:tc>
      </w:tr>
      <w:tr>
        <w:trPr>
          <w:trHeight w:val="207"/>
        </w:trPr>
        <w:tc>
          <w:tcPr>
            <w:tcW w:w="6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Company</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1,513,605</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1,341,393</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1,331,863</w:t>
            </w:r>
          </w:p>
        </w:tc>
      </w:tr>
      <w:tr>
        <w:trPr>
          <w:trHeight w:val="23"/>
        </w:trPr>
        <w:tc>
          <w:tcPr>
            <w:tcW w:w="69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During fiscal 2025, sales from Gravotech, AB&amp;R and Microfluidic Solutions were included in the product identification category.</w:t>
      </w:r>
    </w:p>
    <w:p>
      <w:pPr>
        <w:spacing w:after="0" w:line="17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During fiscal 2024, the Company divested operations related to the safety and facility identification product line, while in fiscal 2023, the divested business was associated with the people identification product line.</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Segment Information</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is organized and managed within two regions: Americas &amp; Asia and Europe &amp; Australia, which are the reportable segments. The Company's Chief Executive Officer (“CEO”), who is also the Company's Chief Operating Decision Maker (“CODM”), uses segment profit in measuring segment performance, allocating resources, evaluating performance in periodic reviews, and during the development of the annual budget and the regular forecasting process. The CODM considers budget-to-actual variances on a quarterly basis, as well as segment-specific forecasting, when making decisions about the allocation of operating and capital resources to each segment. The CODM also uses the segment's net sales in measuring segment performance.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summary of segment information as of and for the years ended July 31, 2025, 2024 and 2023:</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8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199"/>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Americas &amp; Asia</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993,715</w:t>
            </w:r>
          </w:p>
        </w:tc>
        <w:tc>
          <w:tcPr>
            <w:tcW w:w="120" w:type="dxa"/>
            <w:vAlign w:val="bottom"/>
          </w:tcPr>
          <w:p>
            <w:pPr>
              <w:spacing w:after="0"/>
              <w:rPr>
                <w:sz w:val="18"/>
                <w:szCs w:val="18"/>
                <w:color w:val="auto"/>
              </w:rPr>
            </w:pP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886,528</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888,857</w:t>
            </w:r>
          </w:p>
        </w:tc>
        <w:tc>
          <w:tcPr>
            <w:tcW w:w="0" w:type="dxa"/>
            <w:vAlign w:val="bottom"/>
          </w:tcPr>
          <w:p>
            <w:pPr>
              <w:spacing w:after="0"/>
              <w:rPr>
                <w:sz w:val="1"/>
                <w:szCs w:val="1"/>
                <w:color w:val="auto"/>
              </w:rPr>
            </w:pPr>
          </w:p>
        </w:tc>
      </w:tr>
      <w:tr>
        <w:trPr>
          <w:trHeight w:val="219"/>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goods sold</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490,670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430,265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449,784</w:t>
            </w:r>
          </w:p>
        </w:tc>
        <w:tc>
          <w:tcPr>
            <w:tcW w:w="0" w:type="dxa"/>
            <w:vAlign w:val="bottom"/>
          </w:tcPr>
          <w:p>
            <w:pPr>
              <w:spacing w:after="0"/>
              <w:rPr>
                <w:sz w:val="1"/>
                <w:szCs w:val="1"/>
                <w:color w:val="auto"/>
              </w:rPr>
            </w:pPr>
          </w:p>
        </w:tc>
      </w:tr>
      <w:tr>
        <w:trPr>
          <w:trHeight w:val="207"/>
        </w:trPr>
        <w:tc>
          <w:tcPr>
            <w:tcW w:w="6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Gross margin</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503,045</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456,263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439,073</w:t>
            </w:r>
          </w:p>
        </w:tc>
        <w:tc>
          <w:tcPr>
            <w:tcW w:w="0" w:type="dxa"/>
            <w:vAlign w:val="bottom"/>
          </w:tcPr>
          <w:p>
            <w:pPr>
              <w:spacing w:after="0"/>
              <w:rPr>
                <w:sz w:val="1"/>
                <w:szCs w:val="1"/>
                <w:color w:val="auto"/>
              </w:rPr>
            </w:pPr>
          </w:p>
        </w:tc>
      </w:tr>
      <w:tr>
        <w:trPr>
          <w:trHeight w:val="219"/>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Segment expenses: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55,862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48,715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45,172</w:t>
            </w:r>
          </w:p>
        </w:tc>
        <w:tc>
          <w:tcPr>
            <w:tcW w:w="0" w:type="dxa"/>
            <w:vAlign w:val="bottom"/>
          </w:tcPr>
          <w:p>
            <w:pPr>
              <w:spacing w:after="0"/>
              <w:rPr>
                <w:sz w:val="1"/>
                <w:szCs w:val="1"/>
                <w:color w:val="auto"/>
              </w:rPr>
            </w:pPr>
          </w:p>
        </w:tc>
      </w:tr>
      <w:tr>
        <w:trPr>
          <w:trHeight w:val="219"/>
        </w:trPr>
        <w:tc>
          <w:tcPr>
            <w:tcW w:w="6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237,417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210,706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213,398</w:t>
            </w:r>
          </w:p>
        </w:tc>
        <w:tc>
          <w:tcPr>
            <w:tcW w:w="0" w:type="dxa"/>
            <w:vAlign w:val="bottom"/>
          </w:tcPr>
          <w:p>
            <w:pPr>
              <w:spacing w:after="0"/>
              <w:rPr>
                <w:sz w:val="1"/>
                <w:szCs w:val="1"/>
                <w:color w:val="auto"/>
              </w:rPr>
            </w:pPr>
          </w:p>
        </w:tc>
      </w:tr>
      <w:tr>
        <w:trPr>
          <w:trHeight w:val="207"/>
        </w:trPr>
        <w:tc>
          <w:tcPr>
            <w:tcW w:w="6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segment expenses</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293,279</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259,421</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258,570</w:t>
            </w:r>
          </w:p>
        </w:tc>
        <w:tc>
          <w:tcPr>
            <w:tcW w:w="0" w:type="dxa"/>
            <w:vAlign w:val="bottom"/>
          </w:tcPr>
          <w:p>
            <w:pPr>
              <w:spacing w:after="0"/>
              <w:rPr>
                <w:sz w:val="1"/>
                <w:szCs w:val="1"/>
                <w:color w:val="auto"/>
              </w:rPr>
            </w:pPr>
          </w:p>
        </w:tc>
      </w:tr>
      <w:tr>
        <w:trPr>
          <w:trHeight w:val="237"/>
        </w:trPr>
        <w:tc>
          <w:tcPr>
            <w:tcW w:w="6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Segment profit</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209,766</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196,842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180,503</w:t>
            </w:r>
          </w:p>
        </w:tc>
        <w:tc>
          <w:tcPr>
            <w:tcW w:w="0" w:type="dxa"/>
            <w:vAlign w:val="bottom"/>
          </w:tcPr>
          <w:p>
            <w:pPr>
              <w:spacing w:after="0"/>
              <w:rPr>
                <w:sz w:val="1"/>
                <w:szCs w:val="1"/>
                <w:color w:val="auto"/>
              </w:rPr>
            </w:pP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Europe &amp; Australia</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519,890</w:t>
            </w:r>
          </w:p>
        </w:tc>
        <w:tc>
          <w:tcPr>
            <w:tcW w:w="120" w:type="dxa"/>
            <w:vAlign w:val="bottom"/>
          </w:tcPr>
          <w:p>
            <w:pPr>
              <w:spacing w:after="0"/>
              <w:rPr>
                <w:sz w:val="18"/>
                <w:szCs w:val="18"/>
                <w:color w:val="auto"/>
              </w:rPr>
            </w:pP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454,865</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443,006</w:t>
            </w:r>
          </w:p>
        </w:tc>
        <w:tc>
          <w:tcPr>
            <w:tcW w:w="0" w:type="dxa"/>
            <w:vAlign w:val="bottom"/>
          </w:tcPr>
          <w:p>
            <w:pPr>
              <w:spacing w:after="0"/>
              <w:rPr>
                <w:sz w:val="1"/>
                <w:szCs w:val="1"/>
                <w:color w:val="auto"/>
              </w:rPr>
            </w:pPr>
          </w:p>
        </w:tc>
      </w:tr>
      <w:tr>
        <w:trPr>
          <w:trHeight w:val="219"/>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goods sold</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262,113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223,244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224,804</w:t>
            </w:r>
          </w:p>
        </w:tc>
        <w:tc>
          <w:tcPr>
            <w:tcW w:w="0" w:type="dxa"/>
            <w:vAlign w:val="bottom"/>
          </w:tcPr>
          <w:p>
            <w:pPr>
              <w:spacing w:after="0"/>
              <w:rPr>
                <w:sz w:val="1"/>
                <w:szCs w:val="1"/>
                <w:color w:val="auto"/>
              </w:rPr>
            </w:pPr>
          </w:p>
        </w:tc>
      </w:tr>
      <w:tr>
        <w:trPr>
          <w:trHeight w:val="207"/>
        </w:trPr>
        <w:tc>
          <w:tcPr>
            <w:tcW w:w="6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Gross margin</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257,777</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231,621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218,202</w:t>
            </w:r>
          </w:p>
        </w:tc>
        <w:tc>
          <w:tcPr>
            <w:tcW w:w="0" w:type="dxa"/>
            <w:vAlign w:val="bottom"/>
          </w:tcPr>
          <w:p>
            <w:pPr>
              <w:spacing w:after="0"/>
              <w:rPr>
                <w:sz w:val="1"/>
                <w:szCs w:val="1"/>
                <w:color w:val="auto"/>
              </w:rPr>
            </w:pPr>
          </w:p>
        </w:tc>
      </w:tr>
      <w:tr>
        <w:trPr>
          <w:trHeight w:val="219"/>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Segment expenses: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24,027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19,033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16,193</w:t>
            </w:r>
          </w:p>
        </w:tc>
        <w:tc>
          <w:tcPr>
            <w:tcW w:w="0" w:type="dxa"/>
            <w:vAlign w:val="bottom"/>
          </w:tcPr>
          <w:p>
            <w:pPr>
              <w:spacing w:after="0"/>
              <w:rPr>
                <w:sz w:val="1"/>
                <w:szCs w:val="1"/>
                <w:color w:val="auto"/>
              </w:rPr>
            </w:pPr>
          </w:p>
        </w:tc>
      </w:tr>
      <w:tr>
        <w:trPr>
          <w:trHeight w:val="219"/>
        </w:trPr>
        <w:tc>
          <w:tcPr>
            <w:tcW w:w="6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176,809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141,976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136,267</w:t>
            </w:r>
          </w:p>
        </w:tc>
        <w:tc>
          <w:tcPr>
            <w:tcW w:w="0" w:type="dxa"/>
            <w:vAlign w:val="bottom"/>
          </w:tcPr>
          <w:p>
            <w:pPr>
              <w:spacing w:after="0"/>
              <w:rPr>
                <w:sz w:val="1"/>
                <w:szCs w:val="1"/>
                <w:color w:val="auto"/>
              </w:rPr>
            </w:pPr>
          </w:p>
        </w:tc>
      </w:tr>
      <w:tr>
        <w:trPr>
          <w:trHeight w:val="207"/>
        </w:trPr>
        <w:tc>
          <w:tcPr>
            <w:tcW w:w="6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segment expenses</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200,836</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161,009</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152,460</w:t>
            </w:r>
          </w:p>
        </w:tc>
        <w:tc>
          <w:tcPr>
            <w:tcW w:w="0" w:type="dxa"/>
            <w:vAlign w:val="bottom"/>
          </w:tcPr>
          <w:p>
            <w:pPr>
              <w:spacing w:after="0"/>
              <w:rPr>
                <w:sz w:val="1"/>
                <w:szCs w:val="1"/>
                <w:color w:val="auto"/>
              </w:rPr>
            </w:pPr>
          </w:p>
        </w:tc>
      </w:tr>
      <w:tr>
        <w:trPr>
          <w:trHeight w:val="210"/>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Segment profit</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56,941</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70,612</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65,742</w:t>
            </w:r>
          </w:p>
        </w:tc>
        <w:tc>
          <w:tcPr>
            <w:tcW w:w="0" w:type="dxa"/>
            <w:vAlign w:val="bottom"/>
          </w:tcPr>
          <w:p>
            <w:pPr>
              <w:spacing w:after="0"/>
              <w:rPr>
                <w:sz w:val="1"/>
                <w:szCs w:val="1"/>
                <w:color w:val="auto"/>
              </w:rPr>
            </w:pPr>
          </w:p>
        </w:tc>
      </w:tr>
      <w:tr>
        <w:trPr>
          <w:trHeight w:val="212"/>
        </w:trPr>
        <w:tc>
          <w:tcPr>
            <w:tcW w:w="6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profit from reportable segments</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266,707</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267,454</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246,245</w:t>
            </w:r>
          </w:p>
        </w:tc>
        <w:tc>
          <w:tcPr>
            <w:tcW w:w="0" w:type="dxa"/>
            <w:vAlign w:val="bottom"/>
          </w:tcPr>
          <w:p>
            <w:pPr>
              <w:spacing w:after="0"/>
              <w:rPr>
                <w:sz w:val="1"/>
                <w:szCs w:val="1"/>
                <w:color w:val="auto"/>
              </w:rPr>
            </w:pPr>
          </w:p>
        </w:tc>
      </w:tr>
      <w:tr>
        <w:trPr>
          <w:trHeight w:val="20"/>
        </w:trPr>
        <w:tc>
          <w:tcPr>
            <w:tcW w:w="68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8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68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Reconciliation to income before income taxes</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profit from reportable segments</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266,707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267,454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246,245</w:t>
            </w:r>
          </w:p>
        </w:tc>
        <w:tc>
          <w:tcPr>
            <w:tcW w:w="0" w:type="dxa"/>
            <w:vAlign w:val="bottom"/>
          </w:tcPr>
          <w:p>
            <w:pPr>
              <w:spacing w:after="0"/>
              <w:rPr>
                <w:sz w:val="1"/>
                <w:szCs w:val="1"/>
                <w:color w:val="auto"/>
              </w:rPr>
            </w:pPr>
          </w:p>
        </w:tc>
      </w:tr>
      <w:tr>
        <w:trPr>
          <w:trHeight w:val="213"/>
        </w:trPr>
        <w:tc>
          <w:tcPr>
            <w:tcW w:w="6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Unallocated costs:</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Administrative costs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(30,069)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(24,040)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(24,802)</w:t>
            </w:r>
          </w:p>
        </w:tc>
        <w:tc>
          <w:tcPr>
            <w:tcW w:w="0" w:type="dxa"/>
            <w:vAlign w:val="bottom"/>
          </w:tcPr>
          <w:p>
            <w:pPr>
              <w:spacing w:after="0"/>
              <w:rPr>
                <w:sz w:val="1"/>
                <w:szCs w:val="1"/>
                <w:color w:val="auto"/>
              </w:rPr>
            </w:pPr>
          </w:p>
        </w:tc>
      </w:tr>
      <w:tr>
        <w:trPr>
          <w:trHeight w:val="213"/>
        </w:trPr>
        <w:tc>
          <w:tcPr>
            <w:tcW w:w="6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Gain on sale of business</w:t>
            </w:r>
          </w:p>
        </w:tc>
        <w:tc>
          <w:tcPr>
            <w:tcW w:w="3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3,770</w:t>
            </w:r>
          </w:p>
        </w:tc>
        <w:tc>
          <w:tcPr>
            <w:tcW w:w="0" w:type="dxa"/>
            <w:vAlign w:val="bottom"/>
          </w:tcPr>
          <w:p>
            <w:pPr>
              <w:spacing w:after="0"/>
              <w:rPr>
                <w:sz w:val="1"/>
                <w:szCs w:val="1"/>
                <w:color w:val="auto"/>
              </w:rPr>
            </w:pPr>
          </w:p>
        </w:tc>
      </w:tr>
      <w:tr>
        <w:trPr>
          <w:trHeight w:val="219"/>
        </w:trPr>
        <w:tc>
          <w:tcPr>
            <w:tcW w:w="6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Investment and other income</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7,553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4,022</w:t>
            </w:r>
          </w:p>
        </w:tc>
        <w:tc>
          <w:tcPr>
            <w:tcW w:w="0" w:type="dxa"/>
            <w:vAlign w:val="bottom"/>
          </w:tcPr>
          <w:p>
            <w:pPr>
              <w:spacing w:after="0"/>
              <w:rPr>
                <w:sz w:val="1"/>
                <w:szCs w:val="1"/>
                <w:color w:val="auto"/>
              </w:rPr>
            </w:pPr>
          </w:p>
        </w:tc>
      </w:tr>
      <w:tr>
        <w:trPr>
          <w:trHeight w:val="213"/>
        </w:trPr>
        <w:tc>
          <w:tcPr>
            <w:tcW w:w="68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(4,747)</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(3,126)</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(3,539)</w:t>
            </w:r>
          </w:p>
        </w:tc>
        <w:tc>
          <w:tcPr>
            <w:tcW w:w="0" w:type="dxa"/>
            <w:vAlign w:val="bottom"/>
          </w:tcPr>
          <w:p>
            <w:pPr>
              <w:spacing w:after="0"/>
              <w:rPr>
                <w:sz w:val="1"/>
                <w:szCs w:val="1"/>
                <w:color w:val="auto"/>
              </w:rPr>
            </w:pPr>
          </w:p>
        </w:tc>
      </w:tr>
      <w:tr>
        <w:trPr>
          <w:trHeight w:val="237"/>
        </w:trPr>
        <w:tc>
          <w:tcPr>
            <w:tcW w:w="6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237,097</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247,841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225,696</w:t>
            </w:r>
          </w:p>
        </w:tc>
        <w:tc>
          <w:tcPr>
            <w:tcW w:w="0" w:type="dxa"/>
            <w:vAlign w:val="bottom"/>
          </w:tcPr>
          <w:p>
            <w:pPr>
              <w:spacing w:after="0"/>
              <w:rPr>
                <w:sz w:val="1"/>
                <w:szCs w:val="1"/>
                <w:color w:val="auto"/>
              </w:rPr>
            </w:pP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Other Segment Information</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Depreciation &amp; amortization:</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Americas &amp; Asia</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26,373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22,716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25,269</w:t>
            </w:r>
          </w:p>
        </w:tc>
        <w:tc>
          <w:tcPr>
            <w:tcW w:w="0" w:type="dxa"/>
            <w:vAlign w:val="bottom"/>
          </w:tcPr>
          <w:p>
            <w:pPr>
              <w:spacing w:after="0"/>
              <w:rPr>
                <w:sz w:val="1"/>
                <w:szCs w:val="1"/>
                <w:color w:val="auto"/>
              </w:rPr>
            </w:pPr>
          </w:p>
        </w:tc>
      </w:tr>
      <w:tr>
        <w:trPr>
          <w:trHeight w:val="213"/>
        </w:trPr>
        <w:tc>
          <w:tcPr>
            <w:tcW w:w="68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Europe &amp; Australia</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14,266</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7,157</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7,101</w:t>
            </w:r>
          </w:p>
        </w:tc>
        <w:tc>
          <w:tcPr>
            <w:tcW w:w="0" w:type="dxa"/>
            <w:vAlign w:val="bottom"/>
          </w:tcPr>
          <w:p>
            <w:pPr>
              <w:spacing w:after="0"/>
              <w:rPr>
                <w:sz w:val="1"/>
                <w:szCs w:val="1"/>
                <w:color w:val="auto"/>
              </w:rPr>
            </w:pPr>
          </w:p>
        </w:tc>
      </w:tr>
      <w:tr>
        <w:trPr>
          <w:trHeight w:val="235"/>
        </w:trPr>
        <w:tc>
          <w:tcPr>
            <w:tcW w:w="68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Company</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40,639</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29,873</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32,370</w:t>
            </w:r>
          </w:p>
        </w:tc>
        <w:tc>
          <w:tcPr>
            <w:tcW w:w="0" w:type="dxa"/>
            <w:vAlign w:val="bottom"/>
          </w:tcPr>
          <w:p>
            <w:pPr>
              <w:spacing w:after="0"/>
              <w:rPr>
                <w:sz w:val="1"/>
                <w:szCs w:val="1"/>
                <w:color w:val="auto"/>
              </w:rPr>
            </w:pPr>
          </w:p>
        </w:tc>
      </w:tr>
      <w:tr>
        <w:trPr>
          <w:trHeight w:val="20"/>
        </w:trPr>
        <w:tc>
          <w:tcPr>
            <w:tcW w:w="68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8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6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Americas &amp; Asia</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982,000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849,844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829,562</w:t>
            </w:r>
          </w:p>
        </w:tc>
        <w:tc>
          <w:tcPr>
            <w:tcW w:w="0" w:type="dxa"/>
            <w:vAlign w:val="bottom"/>
          </w:tcPr>
          <w:p>
            <w:pPr>
              <w:spacing w:after="0"/>
              <w:rPr>
                <w:sz w:val="1"/>
                <w:szCs w:val="1"/>
                <w:color w:val="auto"/>
              </w:rPr>
            </w:pPr>
          </w:p>
        </w:tc>
      </w:tr>
      <w:tr>
        <w:trPr>
          <w:trHeight w:val="213"/>
        </w:trPr>
        <w:tc>
          <w:tcPr>
            <w:tcW w:w="68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Europe &amp; Australia</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577,904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415,607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408,163</w:t>
            </w:r>
          </w:p>
        </w:tc>
        <w:tc>
          <w:tcPr>
            <w:tcW w:w="0" w:type="dxa"/>
            <w:vAlign w:val="bottom"/>
          </w:tcPr>
          <w:p>
            <w:pPr>
              <w:spacing w:after="0"/>
              <w:rPr>
                <w:sz w:val="1"/>
                <w:szCs w:val="1"/>
                <w:color w:val="auto"/>
              </w:rPr>
            </w:pPr>
          </w:p>
        </w:tc>
      </w:tr>
      <w:tr>
        <w:trPr>
          <w:trHeight w:val="219"/>
        </w:trPr>
        <w:tc>
          <w:tcPr>
            <w:tcW w:w="6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Corporate</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174,349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250,118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151,532</w:t>
            </w:r>
          </w:p>
        </w:tc>
        <w:tc>
          <w:tcPr>
            <w:tcW w:w="0" w:type="dxa"/>
            <w:vAlign w:val="bottom"/>
          </w:tcPr>
          <w:p>
            <w:pPr>
              <w:spacing w:after="0"/>
              <w:rPr>
                <w:sz w:val="1"/>
                <w:szCs w:val="1"/>
                <w:color w:val="auto"/>
              </w:rPr>
            </w:pPr>
          </w:p>
        </w:tc>
      </w:tr>
      <w:tr>
        <w:trPr>
          <w:trHeight w:val="207"/>
        </w:trPr>
        <w:tc>
          <w:tcPr>
            <w:tcW w:w="68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Company</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1,734,253</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1,515,569</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1,389,257</w:t>
            </w:r>
          </w:p>
        </w:tc>
        <w:tc>
          <w:tcPr>
            <w:tcW w:w="0" w:type="dxa"/>
            <w:vAlign w:val="bottom"/>
          </w:tcPr>
          <w:p>
            <w:pPr>
              <w:spacing w:after="0"/>
              <w:rPr>
                <w:sz w:val="1"/>
                <w:szCs w:val="1"/>
                <w:color w:val="auto"/>
              </w:rPr>
            </w:pPr>
          </w:p>
        </w:tc>
      </w:tr>
      <w:tr>
        <w:trPr>
          <w:trHeight w:val="20"/>
        </w:trPr>
        <w:tc>
          <w:tcPr>
            <w:tcW w:w="68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Expenditures for property, plant &amp; equipment:</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68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Americas &amp; Asia</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18,595</w:t>
            </w:r>
          </w:p>
        </w:tc>
        <w:tc>
          <w:tcPr>
            <w:tcW w:w="120" w:type="dxa"/>
            <w:vAlign w:val="bottom"/>
          </w:tcPr>
          <w:p>
            <w:pPr>
              <w:spacing w:after="0"/>
              <w:rPr>
                <w:sz w:val="18"/>
                <w:szCs w:val="18"/>
                <w:color w:val="auto"/>
              </w:rPr>
            </w:pP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54,460</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13,256</w:t>
            </w:r>
          </w:p>
        </w:tc>
        <w:tc>
          <w:tcPr>
            <w:tcW w:w="0" w:type="dxa"/>
            <w:vAlign w:val="bottom"/>
          </w:tcPr>
          <w:p>
            <w:pPr>
              <w:spacing w:after="0"/>
              <w:rPr>
                <w:sz w:val="1"/>
                <w:szCs w:val="1"/>
                <w:color w:val="auto"/>
              </w:rPr>
            </w:pPr>
          </w:p>
        </w:tc>
      </w:tr>
      <w:tr>
        <w:trPr>
          <w:trHeight w:val="219"/>
        </w:trPr>
        <w:tc>
          <w:tcPr>
            <w:tcW w:w="6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Europe &amp; Australia</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8,982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25,432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5,970</w:t>
            </w:r>
          </w:p>
        </w:tc>
        <w:tc>
          <w:tcPr>
            <w:tcW w:w="0" w:type="dxa"/>
            <w:vAlign w:val="bottom"/>
          </w:tcPr>
          <w:p>
            <w:pPr>
              <w:spacing w:after="0"/>
              <w:rPr>
                <w:sz w:val="1"/>
                <w:szCs w:val="1"/>
                <w:color w:val="auto"/>
              </w:rPr>
            </w:pPr>
          </w:p>
        </w:tc>
      </w:tr>
      <w:tr>
        <w:trPr>
          <w:trHeight w:val="207"/>
        </w:trPr>
        <w:tc>
          <w:tcPr>
            <w:tcW w:w="68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Company</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27,577</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79,892</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19,226</w:t>
            </w:r>
          </w:p>
        </w:tc>
        <w:tc>
          <w:tcPr>
            <w:tcW w:w="0" w:type="dxa"/>
            <w:vAlign w:val="bottom"/>
          </w:tcPr>
          <w:p>
            <w:pPr>
              <w:spacing w:after="0"/>
              <w:rPr>
                <w:sz w:val="1"/>
                <w:szCs w:val="1"/>
                <w:color w:val="auto"/>
              </w:rPr>
            </w:pPr>
          </w:p>
        </w:tc>
      </w:tr>
      <w:tr>
        <w:trPr>
          <w:trHeight w:val="23"/>
        </w:trPr>
        <w:tc>
          <w:tcPr>
            <w:tcW w:w="68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8" w:right="4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summary of sales and long-lived assets by geographic region for the years ended July 31, 2025, 2024 and 2023:</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56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Long-Lived Assets**</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14"/>
        </w:trPr>
        <w:tc>
          <w:tcPr>
            <w:tcW w:w="26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Years Ended July 31,</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As of July 31,</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r>
      <w:tr>
        <w:trPr>
          <w:trHeight w:val="209"/>
        </w:trPr>
        <w:tc>
          <w:tcPr>
            <w:tcW w:w="26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8"/>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Geographic information:</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13"/>
        </w:trPr>
        <w:tc>
          <w:tcPr>
            <w:tcW w:w="26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United States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847,336</w:t>
            </w:r>
          </w:p>
        </w:tc>
        <w:tc>
          <w:tcPr>
            <w:tcW w:w="3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783,775</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790,596</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591,586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515,193</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524,258</w:t>
            </w:r>
          </w:p>
        </w:tc>
      </w:tr>
      <w:tr>
        <w:trPr>
          <w:trHeight w:val="219"/>
        </w:trPr>
        <w:tc>
          <w:tcPr>
            <w:tcW w:w="2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747,289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631,748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610,553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474,727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360,519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302,321</w:t>
            </w:r>
          </w:p>
        </w:tc>
      </w:tr>
      <w:tr>
        <w:trPr>
          <w:trHeight w:val="213"/>
        </w:trPr>
        <w:tc>
          <w:tcPr>
            <w:tcW w:w="26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Eliminations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(81,020)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(74,130)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(69,286)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4"/>
        </w:trPr>
        <w:tc>
          <w:tcPr>
            <w:tcW w:w="2620" w:type="dxa"/>
            <w:vAlign w:val="bottom"/>
            <w:tcBorders>
              <w:top w:val="single" w:sz="8" w:color="CCEEFF"/>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Consolidated total</w:t>
            </w: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1,513,605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1,341,393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1,331,863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1,066,313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875,712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826,579</w:t>
            </w: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 Revenues are attributed based on country of origin.</w:t>
      </w:r>
    </w:p>
    <w:p>
      <w:pPr>
        <w:spacing w:after="0" w:line="32" w:lineRule="exact"/>
        <w:rPr>
          <w:sz w:val="20"/>
          <w:szCs w:val="20"/>
          <w:color w:val="auto"/>
        </w:rPr>
      </w:pPr>
    </w:p>
    <w:p>
      <w:pPr>
        <w:ind w:left="560" w:hanging="210"/>
        <w:spacing w:after="0"/>
        <w:tabs>
          <w:tab w:leader="none" w:pos="560" w:val="left"/>
        </w:tabs>
        <w:numPr>
          <w:ilvl w:val="1"/>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Long-lived assets consist of property, plant and equipment, goodwill, other intangible assets, and operating lease assets.</w:t>
      </w:r>
    </w:p>
    <w:p>
      <w:pPr>
        <w:spacing w:after="0" w:line="200" w:lineRule="exact"/>
        <w:rPr>
          <w:rFonts w:ascii="Times New Roman" w:cs="Times New Roman" w:eastAsia="Times New Roman" w:hAnsi="Times New Roman"/>
          <w:sz w:val="16"/>
          <w:szCs w:val="16"/>
          <w:color w:val="auto"/>
        </w:rPr>
      </w:pPr>
    </w:p>
    <w:p>
      <w:pPr>
        <w:spacing w:after="0" w:line="309" w:lineRule="exact"/>
        <w:rPr>
          <w:rFonts w:ascii="Times New Roman" w:cs="Times New Roman" w:eastAsia="Times New Roman" w:hAnsi="Times New Roman"/>
          <w:sz w:val="16"/>
          <w:szCs w:val="16"/>
          <w:color w:val="auto"/>
        </w:rPr>
      </w:pPr>
    </w:p>
    <w:p>
      <w:pPr>
        <w:ind w:left="260" w:hanging="252"/>
        <w:spacing w:after="0"/>
        <w:tabs>
          <w:tab w:leader="none" w:pos="2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Income before income taxes consists of the following:</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9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6"/>
                <w:szCs w:val="16"/>
                <w:b w:val="1"/>
                <w:bCs w:val="1"/>
                <w:color w:val="auto"/>
              </w:rPr>
              <w:t>Years Ended July 31,</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r>
      <w:tr>
        <w:trPr>
          <w:trHeight w:val="211"/>
        </w:trPr>
        <w:tc>
          <w:tcPr>
            <w:tcW w:w="69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120,323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111,647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92,053</w:t>
            </w:r>
          </w:p>
        </w:tc>
      </w:tr>
      <w:tr>
        <w:trPr>
          <w:trHeight w:val="213"/>
        </w:trPr>
        <w:tc>
          <w:tcPr>
            <w:tcW w:w="6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Nations</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116,774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136,194</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133,643</w:t>
            </w:r>
          </w:p>
        </w:tc>
      </w:tr>
      <w:tr>
        <w:trPr>
          <w:trHeight w:val="235"/>
        </w:trPr>
        <w:tc>
          <w:tcPr>
            <w:tcW w:w="6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237,097</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247,841</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225,696</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Income tax expense consists of the following:</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94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6"/>
                <w:szCs w:val="16"/>
                <w:b w:val="1"/>
                <w:bCs w:val="1"/>
                <w:color w:val="auto"/>
              </w:rPr>
              <w:t>Years Ended July 31,</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r>
      <w:tr>
        <w:trPr>
          <w:trHeight w:val="211"/>
        </w:trPr>
        <w:tc>
          <w:tcPr>
            <w:tcW w:w="694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8"/>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income tax expense:</w:t>
            </w: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13"/>
        </w:trPr>
        <w:tc>
          <w:tcPr>
            <w:tcW w:w="6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United States</w:t>
            </w:r>
          </w:p>
        </w:tc>
        <w:tc>
          <w:tcPr>
            <w:tcW w:w="840" w:type="dxa"/>
            <w:vAlign w:val="bottom"/>
          </w:tcPr>
          <w:p>
            <w:pPr>
              <w:jc w:val="right"/>
              <w:ind w:right="65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5"/>
              </w:rPr>
              <w:t>21,573</w:t>
            </w:r>
          </w:p>
        </w:tc>
        <w:tc>
          <w:tcPr>
            <w:tcW w:w="42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22,637</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26,324</w:t>
            </w:r>
          </w:p>
        </w:tc>
      </w:tr>
      <w:tr>
        <w:trPr>
          <w:trHeight w:val="219"/>
        </w:trPr>
        <w:tc>
          <w:tcPr>
            <w:tcW w:w="6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Nations</w:t>
            </w:r>
          </w:p>
        </w:tc>
        <w:tc>
          <w:tcPr>
            <w:tcW w:w="8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29,576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32,121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31,093</w:t>
            </w:r>
          </w:p>
        </w:tc>
      </w:tr>
      <w:tr>
        <w:trPr>
          <w:trHeight w:val="213"/>
        </w:trPr>
        <w:tc>
          <w:tcPr>
            <w:tcW w:w="69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States (U.S.)</w:t>
            </w:r>
          </w:p>
        </w:tc>
        <w:tc>
          <w:tcPr>
            <w:tcW w:w="8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4,315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5,267</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5,894</w:t>
            </w:r>
          </w:p>
        </w:tc>
      </w:tr>
      <w:tr>
        <w:trPr>
          <w:trHeight w:val="212"/>
        </w:trPr>
        <w:tc>
          <w:tcPr>
            <w:tcW w:w="694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65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55,464</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60,025</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63,311</w:t>
            </w:r>
          </w:p>
        </w:tc>
      </w:tr>
      <w:tr>
        <w:trPr>
          <w:trHeight w:val="193"/>
        </w:trPr>
        <w:tc>
          <w:tcPr>
            <w:tcW w:w="6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 (benefit) expense:</w:t>
            </w: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19"/>
        </w:trPr>
        <w:tc>
          <w:tcPr>
            <w:tcW w:w="6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United States</w:t>
            </w:r>
          </w:p>
        </w:tc>
        <w:tc>
          <w:tcPr>
            <w:tcW w:w="84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(2,667)</w:t>
            </w:r>
          </w:p>
        </w:tc>
        <w:tc>
          <w:tcPr>
            <w:tcW w:w="42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(7,999)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(10,577)</w:t>
            </w:r>
          </w:p>
        </w:tc>
      </w:tr>
      <w:tr>
        <w:trPr>
          <w:trHeight w:val="213"/>
        </w:trPr>
        <w:tc>
          <w:tcPr>
            <w:tcW w:w="6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Other Nations</w:t>
            </w:r>
          </w:p>
        </w:tc>
        <w:tc>
          <w:tcPr>
            <w:tcW w:w="8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w:t>
            </w:r>
          </w:p>
        </w:tc>
      </w:tr>
      <w:tr>
        <w:trPr>
          <w:trHeight w:val="219"/>
        </w:trPr>
        <w:tc>
          <w:tcPr>
            <w:tcW w:w="6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States (U.S.)</w:t>
            </w:r>
          </w:p>
        </w:tc>
        <w:tc>
          <w:tcPr>
            <w:tcW w:w="8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(2,146)</w:t>
            </w:r>
          </w:p>
        </w:tc>
      </w:tr>
      <w:tr>
        <w:trPr>
          <w:trHeight w:val="207"/>
        </w:trPr>
        <w:tc>
          <w:tcPr>
            <w:tcW w:w="694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(7,623)</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(9,399)</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(12,472)</w:t>
            </w:r>
          </w:p>
        </w:tc>
      </w:tr>
      <w:tr>
        <w:trPr>
          <w:trHeight w:val="235"/>
        </w:trPr>
        <w:tc>
          <w:tcPr>
            <w:tcW w:w="6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income tax expense</w:t>
            </w:r>
          </w:p>
        </w:tc>
        <w:tc>
          <w:tcPr>
            <w:tcW w:w="840" w:type="dxa"/>
            <w:vAlign w:val="bottom"/>
            <w:tcBorders>
              <w:bottom w:val="single" w:sz="8" w:color="auto"/>
            </w:tcBorders>
            <w:shd w:val="clear" w:color="auto" w:fill="CCEEFF"/>
          </w:tcPr>
          <w:p>
            <w:pPr>
              <w:jc w:val="right"/>
              <w:ind w:right="65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47,841</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50,626</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50,839</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tax effects of temporary differences are as follows as of July 31, 2025 and 2024:</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9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July 31, 2025</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r>
      <w:tr>
        <w:trPr>
          <w:trHeight w:val="211"/>
        </w:trPr>
        <w:tc>
          <w:tcPr>
            <w:tcW w:w="6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60" w:type="dxa"/>
            <w:vAlign w:val="bottom"/>
          </w:tcPr>
          <w:p>
            <w:pPr>
              <w:spacing w:after="0"/>
              <w:rPr>
                <w:sz w:val="18"/>
                <w:szCs w:val="18"/>
                <w:color w:val="auto"/>
              </w:rPr>
            </w:pPr>
          </w:p>
        </w:tc>
        <w:tc>
          <w:tcPr>
            <w:tcW w:w="13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300" w:type="dxa"/>
            <w:vAlign w:val="bottom"/>
          </w:tcPr>
          <w:p>
            <w:pPr>
              <w:spacing w:after="0"/>
              <w:rPr>
                <w:sz w:val="18"/>
                <w:szCs w:val="18"/>
                <w:color w:val="auto"/>
              </w:rPr>
            </w:pPr>
          </w:p>
        </w:tc>
        <w:tc>
          <w:tcPr>
            <w:tcW w:w="106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1"/>
        </w:trPr>
        <w:tc>
          <w:tcPr>
            <w:tcW w:w="6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Inventories</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9,147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9,088</w:t>
            </w:r>
          </w:p>
        </w:tc>
      </w:tr>
      <w:tr>
        <w:trPr>
          <w:trHeight w:val="213"/>
        </w:trPr>
        <w:tc>
          <w:tcPr>
            <w:tcW w:w="6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Employee compensation and benefits</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8,982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8,982</w:t>
            </w:r>
          </w:p>
        </w:tc>
      </w:tr>
      <w:tr>
        <w:trPr>
          <w:trHeight w:val="219"/>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receivable</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1,772</w:t>
            </w:r>
          </w:p>
        </w:tc>
      </w:tr>
      <w:tr>
        <w:trPr>
          <w:trHeight w:val="213"/>
        </w:trPr>
        <w:tc>
          <w:tcPr>
            <w:tcW w:w="6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Fixed assets</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8,610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(8,085)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w:t>
            </w:r>
          </w:p>
        </w:tc>
      </w:tr>
      <w:tr>
        <w:trPr>
          <w:trHeight w:val="219"/>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(63,886)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(63,164)</w:t>
            </w:r>
          </w:p>
        </w:tc>
      </w:tr>
      <w:tr>
        <w:trPr>
          <w:trHeight w:val="213"/>
        </w:trPr>
        <w:tc>
          <w:tcPr>
            <w:tcW w:w="6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Capitalized R&amp;D expenditures</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30,525</w:t>
            </w:r>
          </w:p>
        </w:tc>
      </w:tr>
      <w:tr>
        <w:trPr>
          <w:trHeight w:val="219"/>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and equity-based compensation</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9,413</w:t>
            </w:r>
          </w:p>
        </w:tc>
      </w:tr>
      <w:tr>
        <w:trPr>
          <w:trHeight w:val="213"/>
        </w:trPr>
        <w:tc>
          <w:tcPr>
            <w:tcW w:w="6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Postretirement benefits</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3,084</w:t>
            </w:r>
          </w:p>
        </w:tc>
      </w:tr>
      <w:tr>
        <w:trPr>
          <w:trHeight w:val="219"/>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 credit and net operating loss carry-forwards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84,160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84,160</w:t>
            </w:r>
          </w:p>
        </w:tc>
      </w:tr>
      <w:tr>
        <w:trPr>
          <w:trHeight w:val="213"/>
        </w:trPr>
        <w:tc>
          <w:tcPr>
            <w:tcW w:w="6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Valuation allowances</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(82,180)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(82,180)</w:t>
            </w:r>
          </w:p>
        </w:tc>
      </w:tr>
      <w:tr>
        <w:trPr>
          <w:trHeight w:val="219"/>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net</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26,959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(14,067)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12,892</w:t>
            </w:r>
          </w:p>
        </w:tc>
      </w:tr>
      <w:tr>
        <w:trPr>
          <w:trHeight w:val="207"/>
        </w:trPr>
        <w:tc>
          <w:tcPr>
            <w:tcW w:w="6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101,446</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(86,349)</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15,097</w:t>
            </w:r>
          </w:p>
        </w:tc>
      </w:tr>
      <w:tr>
        <w:trPr>
          <w:trHeight w:val="23"/>
        </w:trPr>
        <w:tc>
          <w:tcPr>
            <w:tcW w:w="69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9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July 31, 2024</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r>
      <w:tr>
        <w:trPr>
          <w:trHeight w:val="211"/>
        </w:trPr>
        <w:tc>
          <w:tcPr>
            <w:tcW w:w="6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60" w:type="dxa"/>
            <w:vAlign w:val="bottom"/>
          </w:tcPr>
          <w:p>
            <w:pPr>
              <w:spacing w:after="0"/>
              <w:rPr>
                <w:sz w:val="18"/>
                <w:szCs w:val="18"/>
                <w:color w:val="auto"/>
              </w:rPr>
            </w:pPr>
          </w:p>
        </w:tc>
        <w:tc>
          <w:tcPr>
            <w:tcW w:w="13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300" w:type="dxa"/>
            <w:vAlign w:val="bottom"/>
          </w:tcPr>
          <w:p>
            <w:pPr>
              <w:spacing w:after="0"/>
              <w:rPr>
                <w:sz w:val="18"/>
                <w:szCs w:val="18"/>
                <w:color w:val="auto"/>
              </w:rPr>
            </w:pPr>
          </w:p>
        </w:tc>
        <w:tc>
          <w:tcPr>
            <w:tcW w:w="106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1"/>
        </w:trPr>
        <w:tc>
          <w:tcPr>
            <w:tcW w:w="6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Inventories</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7,462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7,403</w:t>
            </w:r>
          </w:p>
        </w:tc>
      </w:tr>
      <w:tr>
        <w:trPr>
          <w:trHeight w:val="213"/>
        </w:trPr>
        <w:tc>
          <w:tcPr>
            <w:tcW w:w="6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Employee compensation and benefits</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9,248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9,248</w:t>
            </w:r>
          </w:p>
        </w:tc>
      </w:tr>
      <w:tr>
        <w:trPr>
          <w:trHeight w:val="219"/>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receivable</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1,828</w:t>
            </w:r>
          </w:p>
        </w:tc>
      </w:tr>
      <w:tr>
        <w:trPr>
          <w:trHeight w:val="213"/>
        </w:trPr>
        <w:tc>
          <w:tcPr>
            <w:tcW w:w="6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Fixed assets</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(8,148)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(4,641)</w:t>
            </w:r>
          </w:p>
        </w:tc>
      </w:tr>
      <w:tr>
        <w:trPr>
          <w:trHeight w:val="219"/>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(48,248)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(47,609)</w:t>
            </w:r>
          </w:p>
        </w:tc>
      </w:tr>
      <w:tr>
        <w:trPr>
          <w:trHeight w:val="213"/>
        </w:trPr>
        <w:tc>
          <w:tcPr>
            <w:tcW w:w="6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Capitalized R&amp;D expenditures</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20,252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20,252</w:t>
            </w:r>
          </w:p>
        </w:tc>
      </w:tr>
      <w:tr>
        <w:trPr>
          <w:trHeight w:val="219"/>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and equity-based compensation</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9,071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9,071</w:t>
            </w:r>
          </w:p>
        </w:tc>
      </w:tr>
      <w:tr>
        <w:trPr>
          <w:trHeight w:val="213"/>
        </w:trPr>
        <w:tc>
          <w:tcPr>
            <w:tcW w:w="6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Postretirement benefits</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2,411</w:t>
            </w:r>
          </w:p>
        </w:tc>
      </w:tr>
      <w:tr>
        <w:trPr>
          <w:trHeight w:val="219"/>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 credit and net operating loss carry-forwards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43,929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43,929</w:t>
            </w:r>
          </w:p>
        </w:tc>
      </w:tr>
      <w:tr>
        <w:trPr>
          <w:trHeight w:val="213"/>
        </w:trPr>
        <w:tc>
          <w:tcPr>
            <w:tcW w:w="6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Valuation allowances</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(47,224)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(47,224)</w:t>
            </w:r>
          </w:p>
        </w:tc>
      </w:tr>
      <w:tr>
        <w:trPr>
          <w:trHeight w:val="219"/>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net</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20,346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14,884</w:t>
            </w:r>
          </w:p>
        </w:tc>
      </w:tr>
      <w:tr>
        <w:trPr>
          <w:trHeight w:val="207"/>
        </w:trPr>
        <w:tc>
          <w:tcPr>
            <w:tcW w:w="6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71,521</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(61,969)</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9,552</w:t>
            </w:r>
          </w:p>
        </w:tc>
      </w:tr>
      <w:tr>
        <w:trPr>
          <w:trHeight w:val="23"/>
        </w:trPr>
        <w:tc>
          <w:tcPr>
            <w:tcW w:w="69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Tax credit carry-forwards as of July 31, 2025 consist of the following:</w:t>
      </w:r>
    </w:p>
    <w:p>
      <w:pPr>
        <w:spacing w:after="0" w:line="171" w:lineRule="exact"/>
        <w:rPr>
          <w:sz w:val="20"/>
          <w:szCs w:val="20"/>
          <w:color w:val="auto"/>
        </w:rPr>
      </w:pPr>
    </w:p>
    <w:p>
      <w:pPr>
        <w:ind w:left="980" w:hanging="324"/>
        <w:spacing w:after="0" w:line="261" w:lineRule="auto"/>
        <w:tabs>
          <w:tab w:leader="none" w:pos="9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net operating loss carry-forwards of $204,016, of which $178,936 have no expiration date and the remainder of which expire from fiscal 2026 to fiscal 2035.</w:t>
      </w: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net operating loss carry-forwards of $22,423, all of which expire in fiscal 2032.</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tax credit carry-forwards of $16,919, which expire from fiscal 2026 to fiscal 2035.</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credit carry-forwards of $13,955, which expire from fiscal 2026 to fiscal 2040.</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Rate Reconciliation</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 reconciliation of the income tax rate computed by applying the statutory U.S. federal income tax rate to income before income taxes to the total income tax expense is as follows:</w:t>
      </w:r>
    </w:p>
    <w:p>
      <w:pPr>
        <w:spacing w:after="0" w:line="151"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6"/>
          <w:szCs w:val="16"/>
          <w:b w:val="1"/>
          <w:bCs w:val="1"/>
          <w:color w:val="auto"/>
        </w:rPr>
        <w:t>Years Ended July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640" w:type="dxa"/>
            <w:vAlign w:val="bottom"/>
            <w:tcBorders>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 at statutory rate</w:t>
            </w: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21.0 %</w:t>
            </w: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21.0 %</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21.0 %</w:t>
            </w:r>
          </w:p>
        </w:tc>
      </w:tr>
      <w:tr>
        <w:trPr>
          <w:trHeight w:val="216"/>
        </w:trPr>
        <w:tc>
          <w:tcPr>
            <w:tcW w:w="758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International rate differential </w:t>
            </w:r>
            <w:r>
              <w:rPr>
                <w:rFonts w:ascii="Times New Roman" w:cs="Times New Roman" w:eastAsia="Times New Roman" w:hAnsi="Times New Roman"/>
                <w:sz w:val="21"/>
                <w:szCs w:val="21"/>
                <w:color w:val="auto"/>
                <w:vertAlign w:val="superscript"/>
              </w:rPr>
              <w:t>(1)</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0.8 %</w:t>
            </w: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0.7 %</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1.7 %</w:t>
            </w:r>
          </w:p>
        </w:tc>
      </w:tr>
      <w:tr>
        <w:trPr>
          <w:trHeight w:val="216"/>
        </w:trPr>
        <w:tc>
          <w:tcPr>
            <w:tcW w:w="7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tax accruals and reserves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0.2 %</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0.2 %</w:t>
            </w:r>
          </w:p>
        </w:tc>
      </w:tr>
      <w:tr>
        <w:trPr>
          <w:trHeight w:val="213"/>
        </w:trPr>
        <w:tc>
          <w:tcPr>
            <w:tcW w:w="75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Research and development tax credits</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19"/>
        </w:trPr>
        <w:tc>
          <w:tcPr>
            <w:tcW w:w="7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Valuation allowance against foreign tax credits and foreign net operating loss carry-forwards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0.2 %</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1.2 %</w:t>
            </w:r>
          </w:p>
        </w:tc>
      </w:tr>
      <w:tr>
        <w:trPr>
          <w:trHeight w:val="213"/>
        </w:trPr>
        <w:tc>
          <w:tcPr>
            <w:tcW w:w="75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adjustments, net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0.9 %</w:t>
            </w: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r>
      <w:tr>
        <w:trPr>
          <w:trHeight w:val="234"/>
        </w:trPr>
        <w:tc>
          <w:tcPr>
            <w:tcW w:w="6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rate</w:t>
            </w:r>
          </w:p>
        </w:tc>
        <w:tc>
          <w:tcPr>
            <w:tcW w:w="940" w:type="dxa"/>
            <w:vAlign w:val="bottom"/>
            <w:tcBorders>
              <w:top w:val="single" w:sz="8" w:color="auto"/>
              <w:bottom w:val="single" w:sz="8" w:color="auto"/>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20.2 %</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22.5 %</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660" w:hanging="328"/>
        <w:spacing w:after="0" w:line="282" w:lineRule="auto"/>
        <w:tabs>
          <w:tab w:leader="none" w:pos="65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foreign income tax rate differential when compared to the U.S. statutory income tax rate for the years ended July 31, 2025, 2024, and 2023.</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Uncertain Tax Positions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follows the guidance in ASC 740, “Income Taxes” regarding uncertain tax positions. The guidance requires application of a more-likely-than-not threshold to the recognition and de-recognition of income tax positions. A reconciliation of unrecognized tax benefits (excluding interest and penalties) is as follows:</w:t>
      </w:r>
    </w:p>
    <w:p>
      <w:pPr>
        <w:sectPr>
          <w:pgSz w:w="11900" w:h="16838" w:orient="portrait"/>
          <w:cols w:equalWidth="0" w:num="1">
            <w:col w:w="11240"/>
          </w:cols>
          <w:pgMar w:left="320" w:top="118" w:right="339" w:bottom="1440" w:gutter="0" w:footer="0" w:header="0"/>
        </w:sectPr>
      </w:pPr>
    </w:p>
    <w:p>
      <w:pPr>
        <w:spacing w:after="0" w:line="1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Balance as of July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543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Additions based on tax positions related to the current year</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Additions for tax positions of prior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Reductions for tax positions of prior years</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Lapse of statute of limitations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Settlements with tax authorities</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Cumulative translation adjustments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Balance as of July 31, 2023</w:t>
      </w:r>
    </w:p>
    <w:p>
      <w:pPr>
        <w:spacing w:after="0" w:line="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Additions based on tax positions related to the current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543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Additions for tax positions of prior years</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Reductions for tax positions of prior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Lapse of statute of limitations</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Settlements with tax authorities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Cumulative translation adjustments and other</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Balance as of July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631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Additions based on tax positions related to the current year</w:t>
      </w:r>
    </w:p>
    <w:p>
      <w:pPr>
        <w:spacing w:after="0" w:line="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 xml:space="preserve">Additions for tax positions of prior years </w:t>
      </w:r>
      <w:r>
        <w:rPr>
          <w:rFonts w:ascii="Times New Roman" w:cs="Times New Roman" w:eastAsia="Times New Roman" w:hAnsi="Times New Roman"/>
          <w:sz w:val="21"/>
          <w:szCs w:val="2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371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6"/>
          <w:szCs w:val="16"/>
          <w:color w:val="auto"/>
        </w:rPr>
        <w:t>Reductions for tax positions of prior years</w:t>
      </w:r>
    </w:p>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Lapse of statute of limitations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Settlements with tax authorities</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Cumulative translation adjustments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Balance as of July 31, 2025</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ind w:left="826" w:hanging="826"/>
        <w:spacing w:after="0"/>
        <w:tabs>
          <w:tab w:leader="none" w:pos="826"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20,564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46355</wp:posOffset>
            </wp:positionV>
            <wp:extent cx="86550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65505" cy="8255"/>
                    </a:xfrm>
                    <a:prstGeom prst="rect">
                      <a:avLst/>
                    </a:prstGeom>
                    <a:noFill/>
                  </pic:spPr>
                </pic:pic>
              </a:graphicData>
            </a:graphic>
          </wp:anchor>
        </w:drawing>
      </w:r>
    </w:p>
    <w:p>
      <w:pPr>
        <w:spacing w:after="0" w:line="66"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6"/>
          <w:szCs w:val="16"/>
          <w:color w:val="auto"/>
        </w:rPr>
        <w:t>2,902</w:t>
      </w:r>
    </w:p>
    <w:p>
      <w:pPr>
        <w:spacing w:after="0" w:line="32"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6"/>
          <w:szCs w:val="16"/>
          <w:color w:val="auto"/>
        </w:rPr>
        <w:t>792</w:t>
      </w:r>
    </w:p>
    <w:p>
      <w:pPr>
        <w:spacing w:after="0" w:line="32"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(19)</w:t>
      </w:r>
    </w:p>
    <w:p>
      <w:pPr>
        <w:spacing w:after="0" w:line="32"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(2,682)</w:t>
      </w:r>
    </w:p>
    <w:p>
      <w:pPr>
        <w:spacing w:after="0" w:line="32"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(782)</w:t>
      </w:r>
    </w:p>
    <w:p>
      <w:pPr>
        <w:spacing w:after="0" w:line="32"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6"/>
          <w:szCs w:val="16"/>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20320</wp:posOffset>
            </wp:positionV>
            <wp:extent cx="86550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65505" cy="8255"/>
                    </a:xfrm>
                    <a:prstGeom prst="rect">
                      <a:avLst/>
                    </a:prstGeom>
                    <a:noFill/>
                  </pic:spPr>
                </pic:pic>
              </a:graphicData>
            </a:graphic>
          </wp:anchor>
        </w:drawing>
      </w:r>
    </w:p>
    <w:p>
      <w:pPr>
        <w:spacing w:after="0" w:line="26" w:lineRule="exact"/>
        <w:rPr>
          <w:sz w:val="20"/>
          <w:szCs w:val="20"/>
          <w:color w:val="auto"/>
        </w:rPr>
      </w:pPr>
    </w:p>
    <w:p>
      <w:pPr>
        <w:ind w:left="826" w:hanging="826"/>
        <w:spacing w:after="0"/>
        <w:tabs>
          <w:tab w:leader="none" w:pos="826"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20,899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20320</wp:posOffset>
            </wp:positionV>
            <wp:extent cx="86550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65505" cy="8890"/>
                    </a:xfrm>
                    <a:prstGeom prst="rect">
                      <a:avLst/>
                    </a:prstGeom>
                    <a:noFill/>
                  </pic:spPr>
                </pic:pic>
              </a:graphicData>
            </a:graphic>
          </wp:anchor>
        </w:drawing>
      </w:r>
    </w:p>
    <w:p>
      <w:pPr>
        <w:spacing w:after="0" w:line="66"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6"/>
          <w:szCs w:val="16"/>
          <w:color w:val="auto"/>
        </w:rPr>
        <w:t>3,130</w:t>
      </w:r>
    </w:p>
    <w:p>
      <w:pPr>
        <w:spacing w:after="0" w:line="32"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6"/>
          <w:szCs w:val="16"/>
          <w:color w:val="auto"/>
        </w:rPr>
        <w:t>1,594</w:t>
      </w:r>
    </w:p>
    <w:p>
      <w:pPr>
        <w:spacing w:after="0" w:line="32"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(43)</w:t>
      </w:r>
    </w:p>
    <w:p>
      <w:pPr>
        <w:spacing w:after="0" w:line="32"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(2,666)</w:t>
      </w:r>
    </w:p>
    <w:p>
      <w:pPr>
        <w:spacing w:after="0" w:line="32"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(257)</w:t>
      </w:r>
    </w:p>
    <w:p>
      <w:pPr>
        <w:spacing w:after="0" w:line="32"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(67)</w:t>
      </w:r>
    </w:p>
    <w:p>
      <w:pPr>
        <w:spacing w:after="0" w:line="46" w:lineRule="exact"/>
        <w:rPr>
          <w:sz w:val="20"/>
          <w:szCs w:val="20"/>
          <w:color w:val="auto"/>
        </w:rPr>
      </w:pPr>
    </w:p>
    <w:p>
      <w:pPr>
        <w:ind w:left="826" w:hanging="826"/>
        <w:spacing w:after="0"/>
        <w:tabs>
          <w:tab w:leader="none" w:pos="826"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22,590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46355</wp:posOffset>
            </wp:positionV>
            <wp:extent cx="86550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65505" cy="8890"/>
                    </a:xfrm>
                    <a:prstGeom prst="rect">
                      <a:avLst/>
                    </a:prstGeom>
                    <a:noFill/>
                  </pic:spPr>
                </pic:pic>
              </a:graphicData>
            </a:graphic>
          </wp:anchor>
        </w:drawing>
      </w:r>
    </w:p>
    <w:p>
      <w:pPr>
        <w:spacing w:after="0" w:line="66"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6"/>
          <w:szCs w:val="16"/>
          <w:color w:val="auto"/>
        </w:rPr>
        <w:t>3,583</w:t>
      </w:r>
    </w:p>
    <w:p>
      <w:pPr>
        <w:spacing w:after="0" w:line="32"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6"/>
          <w:szCs w:val="16"/>
          <w:color w:val="auto"/>
        </w:rPr>
        <w:t>1,035</w:t>
      </w:r>
    </w:p>
    <w:p>
      <w:pPr>
        <w:spacing w:after="0" w:line="32"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(1,616)</w:t>
      </w:r>
    </w:p>
    <w:p>
      <w:pPr>
        <w:spacing w:after="0" w:line="32"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(4,111)</w:t>
      </w:r>
    </w:p>
    <w:p>
      <w:pPr>
        <w:spacing w:after="0" w:line="32"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(88)</w:t>
      </w:r>
    </w:p>
    <w:p>
      <w:pPr>
        <w:spacing w:after="0" w:line="32"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6"/>
          <w:szCs w:val="16"/>
          <w:color w:val="auto"/>
        </w:rPr>
        <w:t>409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20320</wp:posOffset>
            </wp:positionV>
            <wp:extent cx="86550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65505" cy="8255"/>
                    </a:xfrm>
                    <a:prstGeom prst="rect">
                      <a:avLst/>
                    </a:prstGeom>
                    <a:noFill/>
                  </pic:spPr>
                </pic:pic>
              </a:graphicData>
            </a:graphic>
          </wp:anchor>
        </w:drawing>
      </w:r>
    </w:p>
    <w:p>
      <w:pPr>
        <w:spacing w:after="0" w:line="26" w:lineRule="exact"/>
        <w:rPr>
          <w:sz w:val="20"/>
          <w:szCs w:val="20"/>
          <w:color w:val="auto"/>
        </w:rPr>
      </w:pPr>
    </w:p>
    <w:p>
      <w:pPr>
        <w:ind w:left="826" w:hanging="826"/>
        <w:spacing w:after="0"/>
        <w:tabs>
          <w:tab w:leader="none" w:pos="826"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21,802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20320</wp:posOffset>
            </wp:positionV>
            <wp:extent cx="86550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6550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46355</wp:posOffset>
            </wp:positionV>
            <wp:extent cx="86550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6550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174" w:space="720"/>
            <w:col w:w="1346"/>
          </w:cols>
          <w:pgMar w:left="320" w:top="118" w:right="339" w:bottom="1440" w:gutter="0" w:footer="0" w:header="0"/>
          <w:type w:val="continuous"/>
        </w:sectPr>
      </w:pPr>
    </w:p>
    <w:p>
      <w:pPr>
        <w:spacing w:after="0" w:line="1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 Includes acquisitions.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Of the $21,802 of unrecognized tax benefits, if recognized, $18,318 would affect the Company's income tax rate. The Company has classified $18,502 and $19,527, excluding interest and penalties, of the reserve for uncertain tax positions in “Other liabilities” on the consolidated balance sheets as of July 31, 2025 and 2024, respectively. The Company has classified $3,300 and $3,063, excluding interest and penalties, as a reduction of long-term deferred income tax assets on the accompanying consolidated balance sheets as of July 31, 2025 and 2024, respectively.</w:t>
      </w:r>
    </w:p>
    <w:p>
      <w:pPr>
        <w:spacing w:after="0" w:line="12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Interest expense is recognized on the amount of potentially underpaid taxes associated with the Company's tax positions, beginning in the first period in which interest starts accruing under the respective tax law and continuing until the tax positions are settled. The Company recognized interest expense of $299, $893, and $700 on the reserve for uncertain tax positions during the years ended July 31, 2025, 2024, and 2023, respectively. The Company also recognized benefits related to penalties of $120, $38, and $281 during the years ended July 31, 2025, 2024, and 2023, respectively. These amounts are net of reversals due to reductions for tax positions of prior years, statute of limitations, and settlements. At July 31, 2025 and 2024, the Company had $4,740 and $4,448, respectively, accrued for interest on unrecognized tax benefits. Penalties are accrued if the tax position does not meet the minimum statutory threshold to avoid the payment of a penalty. At July 31, 2025 and 2024, the Company had $1,893 and $1,631, respectively, accrued for penalties on unrecognized tax benefits. Interest expense and penalties are recorded as a component of “Income tax expense” in the consolidated statements of income.</w:t>
      </w:r>
    </w:p>
    <w:p>
      <w:pPr>
        <w:spacing w:after="0" w:line="13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estimates that it is reasonably possible that the unrecognized tax benefits may be reduced by up to $3,117 in the next 12 months as a result of the resolution of worldwide tax matters, tax audit settlements, amended tax filings, and/or the expiration of statute of limitations, all of which, if recognized, would result in an income tax benefit in the consolidated statements of income.</w:t>
      </w:r>
    </w:p>
    <w:p>
      <w:pPr>
        <w:spacing w:after="0" w:line="12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During the year ended July 31, 2025, the Company recognized $6,033 of tax benefits (including interest and penalties) associated with the lapse of statutes of limitations.</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and its subsidiaries file income tax returns in the U.S., various states, and foreign jurisdictions. The following table summarizes the open tax years for the Company's major jurisdictions: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7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Jurisdiction</w:t>
            </w:r>
          </w:p>
        </w:tc>
        <w:tc>
          <w:tcPr>
            <w:tcW w:w="2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Open Tax Years</w:t>
            </w:r>
          </w:p>
        </w:tc>
      </w:tr>
      <w:tr>
        <w:trPr>
          <w:trHeight w:val="213"/>
        </w:trPr>
        <w:tc>
          <w:tcPr>
            <w:tcW w:w="8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United States — Federal</w:t>
            </w:r>
          </w:p>
        </w:tc>
        <w:tc>
          <w:tcPr>
            <w:tcW w:w="100" w:type="dxa"/>
            <w:vAlign w:val="bottom"/>
            <w:tcBorders>
              <w:top w:val="single" w:sz="8" w:color="CCEEFF"/>
            </w:tcBorders>
            <w:shd w:val="clear" w:color="auto" w:fill="CCEEFF"/>
          </w:tcPr>
          <w:p>
            <w:pPr>
              <w:spacing w:after="0"/>
              <w:rPr>
                <w:sz w:val="18"/>
                <w:szCs w:val="18"/>
                <w:color w:val="auto"/>
              </w:rPr>
            </w:pPr>
          </w:p>
        </w:tc>
        <w:tc>
          <w:tcPr>
            <w:tcW w:w="24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F’22 — F’25</w:t>
            </w:r>
          </w:p>
        </w:tc>
      </w:tr>
    </w:tbl>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Net Income per Common Share</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Reconciliations of the numerator and denominator of the basic and diluted per share computations for the Company’s Class A and Class B common stock are summarized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9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Years ended July 31,</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197"/>
        </w:trPr>
        <w:tc>
          <w:tcPr>
            <w:tcW w:w="6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Numerator (in thousands):</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Income (Numerator for basic and diluted income per Class A Nonvoting Common Share)</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189,256</w:t>
            </w:r>
          </w:p>
        </w:tc>
        <w:tc>
          <w:tcPr>
            <w:tcW w:w="42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197,215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174,857</w:t>
            </w:r>
          </w:p>
        </w:tc>
        <w:tc>
          <w:tcPr>
            <w:tcW w:w="0" w:type="dxa"/>
            <w:vAlign w:val="bottom"/>
          </w:tcPr>
          <w:p>
            <w:pPr>
              <w:spacing w:after="0"/>
              <w:rPr>
                <w:sz w:val="1"/>
                <w:szCs w:val="1"/>
                <w:color w:val="auto"/>
              </w:rPr>
            </w:pPr>
          </w:p>
        </w:tc>
      </w:tr>
      <w:tr>
        <w:trPr>
          <w:trHeight w:val="213"/>
        </w:trPr>
        <w:tc>
          <w:tcPr>
            <w:tcW w:w="6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Less:</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9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Preferential dividends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(769)</w:t>
            </w:r>
          </w:p>
        </w:tc>
        <w:tc>
          <w:tcPr>
            <w:tcW w:w="0" w:type="dxa"/>
            <w:vAlign w:val="bottom"/>
          </w:tcPr>
          <w:p>
            <w:pPr>
              <w:spacing w:after="0"/>
              <w:rPr>
                <w:sz w:val="1"/>
                <w:szCs w:val="1"/>
                <w:color w:val="auto"/>
              </w:rPr>
            </w:pPr>
          </w:p>
        </w:tc>
      </w:tr>
      <w:tr>
        <w:trPr>
          <w:trHeight w:val="213"/>
        </w:trPr>
        <w:tc>
          <w:tcPr>
            <w:tcW w:w="69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Preferential dividends on dilutive stock options</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35"/>
        </w:trPr>
        <w:tc>
          <w:tcPr>
            <w:tcW w:w="69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Numerator for basic and diluted income per Class B Voting Common Share</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188,512</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196,462</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174,085</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Denominator (in thousands):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9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6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Denominator for basic income per share for both Class A and Class B</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47,641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48,119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49,591</w:t>
            </w:r>
          </w:p>
        </w:tc>
        <w:tc>
          <w:tcPr>
            <w:tcW w:w="0" w:type="dxa"/>
            <w:vAlign w:val="bottom"/>
          </w:tcPr>
          <w:p>
            <w:pPr>
              <w:spacing w:after="0"/>
              <w:rPr>
                <w:sz w:val="1"/>
                <w:szCs w:val="1"/>
                <w:color w:val="auto"/>
              </w:rPr>
            </w:pPr>
          </w:p>
        </w:tc>
      </w:tr>
      <w:tr>
        <w:trPr>
          <w:trHeight w:val="213"/>
        </w:trPr>
        <w:tc>
          <w:tcPr>
            <w:tcW w:w="69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Plus: Effect of dilutive equity awards</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377</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0" w:type="dxa"/>
            <w:vAlign w:val="bottom"/>
          </w:tcPr>
          <w:p>
            <w:pPr>
              <w:spacing w:after="0"/>
              <w:rPr>
                <w:sz w:val="1"/>
                <w:szCs w:val="1"/>
                <w:color w:val="auto"/>
              </w:rPr>
            </w:pPr>
          </w:p>
        </w:tc>
      </w:tr>
      <w:tr>
        <w:trPr>
          <w:trHeight w:val="234"/>
        </w:trPr>
        <w:tc>
          <w:tcPr>
            <w:tcW w:w="69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Denominator for diluted income per share for both Class A and Class B</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48,092</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48,496</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49,869</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Net income per Class A Nonvoting Common Share:</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9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69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Basic</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w:t>
            </w:r>
          </w:p>
        </w:tc>
        <w:tc>
          <w:tcPr>
            <w:tcW w:w="42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w:t>
            </w:r>
          </w:p>
        </w:tc>
        <w:tc>
          <w:tcPr>
            <w:tcW w:w="0" w:type="dxa"/>
            <w:vAlign w:val="bottom"/>
          </w:tcPr>
          <w:p>
            <w:pPr>
              <w:spacing w:after="0"/>
              <w:rPr>
                <w:sz w:val="1"/>
                <w:szCs w:val="1"/>
                <w:color w:val="auto"/>
              </w:rPr>
            </w:pPr>
          </w:p>
        </w:tc>
      </w:tr>
      <w:tr>
        <w:trPr>
          <w:trHeight w:val="213"/>
        </w:trPr>
        <w:tc>
          <w:tcPr>
            <w:tcW w:w="69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Diluted</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w:t>
            </w:r>
          </w:p>
        </w:tc>
        <w:tc>
          <w:tcPr>
            <w:tcW w:w="42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w:t>
            </w:r>
          </w:p>
        </w:tc>
        <w:tc>
          <w:tcPr>
            <w:tcW w:w="0" w:type="dxa"/>
            <w:vAlign w:val="bottom"/>
          </w:tcPr>
          <w:p>
            <w:pPr>
              <w:spacing w:after="0"/>
              <w:rPr>
                <w:sz w:val="1"/>
                <w:szCs w:val="1"/>
                <w:color w:val="auto"/>
              </w:rPr>
            </w:pPr>
          </w:p>
        </w:tc>
      </w:tr>
      <w:tr>
        <w:trPr>
          <w:trHeight w:val="219"/>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per Class B Voting Common Share:</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9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Basic</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w:t>
            </w:r>
          </w:p>
        </w:tc>
        <w:tc>
          <w:tcPr>
            <w:tcW w:w="42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w:t>
            </w:r>
          </w:p>
        </w:tc>
        <w:tc>
          <w:tcPr>
            <w:tcW w:w="0" w:type="dxa"/>
            <w:vAlign w:val="bottom"/>
          </w:tcPr>
          <w:p>
            <w:pPr>
              <w:spacing w:after="0"/>
              <w:rPr>
                <w:sz w:val="1"/>
                <w:szCs w:val="1"/>
                <w:color w:val="auto"/>
              </w:rPr>
            </w:pPr>
          </w:p>
        </w:tc>
      </w:tr>
      <w:tr>
        <w:trPr>
          <w:trHeight w:val="219"/>
        </w:trPr>
        <w:tc>
          <w:tcPr>
            <w:tcW w:w="69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Diluted</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w:t>
            </w:r>
          </w:p>
        </w:tc>
        <w:tc>
          <w:tcPr>
            <w:tcW w:w="42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Potentially dilutive securities attributable to outstanding stock options and restricted stock units were excluded from the calculation of diluted earnings per share where the combined exercise price and average unamortized fair value were greater than the average market price of Brady's Class A Nonvoting Common Stock because the effect would have been anti-dilutive. The amount of anti-dilutive shares were 4,319, 113,641, and 549,031 for the years ended July 31, 2025, 2024, and 2023, respectively.</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Fair Value Measurements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accordance with fair value accounting guidance, the Company determines fair value based on the exchange price that would be received to sell an asset or paid to transfer a liability in an orderly transaction between market participants. The inputs used to measure fair value are classified into the following hierarchy:</w:t>
      </w:r>
    </w:p>
    <w:p>
      <w:pPr>
        <w:spacing w:after="0" w:line="1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Unadjusted quoted prices in active markets for identical instruments that are accessible as of the reporting date.</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Other significant pricing inputs that are either directly or indirectly observable.</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Significant unobservable pricing inputs, which result in the use of management's own assumptions.</w:t>
      </w:r>
    </w:p>
    <w:p>
      <w:pPr>
        <w:spacing w:after="0" w:line="17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financial assets and liabilities that were accounted for at fair value on a recurring basis at July 31, 2025 and July 31, 2024, according to the valuation techniques the Company used to determine their fair values.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July 31, 2025</w:t>
            </w:r>
          </w:p>
        </w:tc>
        <w:tc>
          <w:tcPr>
            <w:tcW w:w="160" w:type="dxa"/>
            <w:vAlign w:val="bottom"/>
          </w:tcPr>
          <w:p>
            <w:pPr>
              <w:spacing w:after="0"/>
              <w:rPr>
                <w:sz w:val="16"/>
                <w:szCs w:val="16"/>
                <w:color w:val="auto"/>
              </w:rPr>
            </w:pPr>
          </w:p>
        </w:tc>
        <w:tc>
          <w:tcPr>
            <w:tcW w:w="132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July 31, 2024</w:t>
            </w:r>
          </w:p>
        </w:tc>
        <w:tc>
          <w:tcPr>
            <w:tcW w:w="1360" w:type="dxa"/>
            <w:vAlign w:val="bottom"/>
          </w:tcPr>
          <w:p>
            <w:pPr>
              <w:ind w:left="32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14"/>
        </w:trPr>
        <w:tc>
          <w:tcPr>
            <w:tcW w:w="6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1360" w:type="dxa"/>
            <w:vAlign w:val="bottom"/>
          </w:tcPr>
          <w:p>
            <w:pPr>
              <w:ind w:left="320"/>
              <w:spacing w:after="0"/>
              <w:rPr>
                <w:sz w:val="20"/>
                <w:szCs w:val="20"/>
                <w:color w:val="auto"/>
              </w:rPr>
            </w:pPr>
            <w:r>
              <w:rPr>
                <w:rFonts w:ascii="Times New Roman" w:cs="Times New Roman" w:eastAsia="Times New Roman" w:hAnsi="Times New Roman"/>
                <w:sz w:val="16"/>
                <w:szCs w:val="16"/>
                <w:b w:val="1"/>
                <w:bCs w:val="1"/>
                <w:color w:val="auto"/>
              </w:rPr>
              <w:t>Hierarchy</w:t>
            </w:r>
          </w:p>
        </w:tc>
        <w:tc>
          <w:tcPr>
            <w:tcW w:w="0" w:type="dxa"/>
            <w:vAlign w:val="bottom"/>
          </w:tcPr>
          <w:p>
            <w:pPr>
              <w:spacing w:after="0"/>
              <w:rPr>
                <w:sz w:val="1"/>
                <w:szCs w:val="1"/>
                <w:color w:val="auto"/>
              </w:rPr>
            </w:pPr>
          </w:p>
        </w:tc>
      </w:tr>
      <w:tr>
        <w:trPr>
          <w:trHeight w:val="198"/>
        </w:trPr>
        <w:tc>
          <w:tcPr>
            <w:tcW w:w="6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1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Deferred compensation plan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19,998</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20,029</w:t>
            </w:r>
          </w:p>
        </w:tc>
        <w:tc>
          <w:tcPr>
            <w:tcW w:w="120" w:type="dxa"/>
            <w:vAlign w:val="bottom"/>
          </w:tcPr>
          <w:p>
            <w:pPr>
              <w:spacing w:after="0"/>
              <w:rPr>
                <w:sz w:val="18"/>
                <w:szCs w:val="18"/>
                <w:color w:val="auto"/>
              </w:rPr>
            </w:pPr>
          </w:p>
        </w:tc>
        <w:tc>
          <w:tcPr>
            <w:tcW w:w="1360" w:type="dxa"/>
            <w:vAlign w:val="bottom"/>
          </w:tcPr>
          <w:p>
            <w:pPr>
              <w:ind w:left="860"/>
              <w:spacing w:after="0"/>
              <w:rPr>
                <w:sz w:val="20"/>
                <w:szCs w:val="20"/>
                <w:color w:val="auto"/>
              </w:rPr>
            </w:pPr>
            <w:r>
              <w:rPr>
                <w:rFonts w:ascii="Times New Roman" w:cs="Times New Roman" w:eastAsia="Times New Roman" w:hAnsi="Times New Roman"/>
                <w:sz w:val="16"/>
                <w:szCs w:val="16"/>
                <w:color w:val="auto"/>
                <w:w w:val="99"/>
              </w:rPr>
              <w:t>Level 1</w:t>
            </w:r>
          </w:p>
        </w:tc>
        <w:tc>
          <w:tcPr>
            <w:tcW w:w="0" w:type="dxa"/>
            <w:vAlign w:val="bottom"/>
          </w:tcPr>
          <w:p>
            <w:pPr>
              <w:spacing w:after="0"/>
              <w:rPr>
                <w:sz w:val="1"/>
                <w:szCs w:val="1"/>
                <w:color w:val="auto"/>
              </w:rPr>
            </w:pPr>
          </w:p>
        </w:tc>
      </w:tr>
      <w:tr>
        <w:trPr>
          <w:trHeight w:val="219"/>
        </w:trPr>
        <w:tc>
          <w:tcPr>
            <w:tcW w:w="6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Foreign exchange contracts</w:t>
            </w: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w w:val="99"/>
              </w:rPr>
              <w:t>Level 2</w:t>
            </w:r>
          </w:p>
        </w:tc>
        <w:tc>
          <w:tcPr>
            <w:tcW w:w="0" w:type="dxa"/>
            <w:vAlign w:val="bottom"/>
          </w:tcPr>
          <w:p>
            <w:pPr>
              <w:spacing w:after="0"/>
              <w:rPr>
                <w:sz w:val="1"/>
                <w:szCs w:val="1"/>
                <w:color w:val="auto"/>
              </w:rPr>
            </w:pPr>
          </w:p>
        </w:tc>
      </w:tr>
      <w:tr>
        <w:trPr>
          <w:trHeight w:val="213"/>
        </w:trPr>
        <w:tc>
          <w:tcPr>
            <w:tcW w:w="6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Foreign exchange contracts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730</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w w:val="99"/>
              </w:rPr>
              <w:t>Level 2</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methods and assumptions were used to estimate the fair value of each class of financial instrument:</w:t>
      </w:r>
    </w:p>
    <w:p>
      <w:pPr>
        <w:spacing w:after="0" w:line="169"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Deferred compensation plan assets</w:t>
      </w:r>
      <w:r>
        <w:rPr>
          <w:rFonts w:ascii="Times New Roman" w:cs="Times New Roman" w:eastAsia="Times New Roman" w:hAnsi="Times New Roman"/>
          <w:sz w:val="18"/>
          <w:szCs w:val="18"/>
          <w:color w:val="auto"/>
        </w:rPr>
        <w:t>: The Company’s deferred compensation investments consist of investments in mutual funds, which are included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assets” on the accompanying consolidated balance sheets. These investments were classified as Level 1 as the shares of these investments trade with sufficient frequency and volume to enable us to obtain pricing information on an ongoing basis.</w:t>
      </w:r>
    </w:p>
    <w:p>
      <w:pPr>
        <w:spacing w:after="0" w:line="119"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Foreign exchange contracts</w:t>
      </w:r>
      <w:r>
        <w:rPr>
          <w:rFonts w:ascii="Times New Roman" w:cs="Times New Roman" w:eastAsia="Times New Roman" w:hAnsi="Times New Roman"/>
          <w:sz w:val="18"/>
          <w:szCs w:val="18"/>
          <w:color w:val="auto"/>
        </w:rPr>
        <w:t>: The Company’s foreign exchange contracts were classified as Level 2 as the fair value was based on the present value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future cash flows using external models that use observable inputs, such as interest rates, yield curves and foreign exchange rates. See Note 14, “Derivatives and Hedging Activities,” for additional information.</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There have been no transfers of assets or liabilities between the fair value hierarchy levels, outlined above, during the years ended July 31, 2025 and July 31, 2024.</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 6 for information regarding the fair value of the Company's long-term debt.</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Derivatives and Hedging Activities</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utilizes forward foreign exchange currency contracts to reduce the exchange rate risk of specific foreign currency denominated transactions. These contracts typically require the exchange of a foreign currency for U.S. dollars at a fixed rate at a future date, with maturities of less than 18 months, which qualify as cash flow hedges or net investment hedges under the accounting guidance for derivative instruments and hedging activities. The primary objective of the Company’s foreign currency exchange risk management program is to minimize the impact of currency movements due to transactions in other than the respective subsidiaries’ functional currency and to minimize the impact of currency movements on the Company’s net investment denominated in a currency other than the U.S. dollar. To achieve this objective, the Company hedges a portion of known exposures using forward foreign exchange contracts.</w:t>
      </w:r>
    </w:p>
    <w:p>
      <w:pPr>
        <w:spacing w:after="0" w:line="13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Main foreign currency exposures are related to transactions denominated in the British Pound, Euro, Canadian dollar, Australian dollar, Mexican Peso, Chinese Yuan, Malaysian Ringgit and Singapore dollar. Generally, these risk management</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transactions will involve the use of foreign currency derivatives to minimize the impact of currency movements on non-functional currency transactions.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U.S. dollar equivalent notional amounts of outstanding forward exchange contracts were as follows as of July 31, 2025 and 2024:</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July 31, 2025</w:t>
            </w:r>
          </w:p>
        </w:tc>
        <w:tc>
          <w:tcPr>
            <w:tcW w:w="160" w:type="dxa"/>
            <w:vAlign w:val="bottom"/>
          </w:tcPr>
          <w:p>
            <w:pPr>
              <w:spacing w:after="0"/>
              <w:rPr>
                <w:sz w:val="18"/>
                <w:szCs w:val="18"/>
                <w:color w:val="auto"/>
              </w:rPr>
            </w:pPr>
          </w:p>
        </w:tc>
        <w:tc>
          <w:tcPr>
            <w:tcW w:w="120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July 31, 2024</w:t>
            </w:r>
          </w:p>
        </w:tc>
      </w:tr>
      <w:tr>
        <w:trPr>
          <w:trHeight w:val="213"/>
        </w:trPr>
        <w:tc>
          <w:tcPr>
            <w:tcW w:w="8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Designated as cash flow hedges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53,542</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59,207</w:t>
            </w:r>
          </w:p>
        </w:tc>
      </w:tr>
      <w:tr>
        <w:trPr>
          <w:trHeight w:val="213"/>
        </w:trPr>
        <w:tc>
          <w:tcPr>
            <w:tcW w:w="8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Non-designated hedges</w:t>
            </w: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4,380</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4,459</w:t>
            </w:r>
          </w:p>
        </w:tc>
      </w:tr>
      <w:tr>
        <w:trPr>
          <w:trHeight w:val="237"/>
        </w:trPr>
        <w:tc>
          <w:tcPr>
            <w:tcW w:w="84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foreign exchange contracts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57,922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63,666</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Flow Hedges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has designated a portion of its forward foreign exchange contracts as cash flow hedges and recorded these contracts at fair value on the accompanying consolidated balance sheets. For these instruments, the gain or loss on the derivative is reported as a component of other comprehensive income (“OCI”) and reclassified into income in the same period or periods during which the hedged transaction affects income. At July 31, 2025 and 2024, unrealized losses of $493 and $124 have been included in AOCI, respectively.</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Net Investment Hedges</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has designated certain third party foreign currency denominated debt borrowed under its credit agreement as net investment hedges. These debt obligations, denominated in Euros and British Pounds, were designated as net investment hedges to hedge portions of the Company's net investment in its European operations. The Company’s foreign currency denominated debt obligations are valued under a market approach using publicized spot prices, and the net gains or losses attributable to the changes in spot prices are recorded as cumulative translation within AOCI and are included in the foreign currency translation adjustments section of the consolidated statements of comprehensive income. As of July 31, 2025 and July 31, 2024, the cumulative balance recognized in accumulated other comprehensive income were losses of $2,753 and $1,237, respectively, on any outstanding foreign currency denominated debt obligations.</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amount of pre-tax gains and losses related to derivatives designated as hedging instruments: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July 31, 2025</w:t>
            </w:r>
          </w:p>
        </w:tc>
        <w:tc>
          <w:tcPr>
            <w:tcW w:w="160" w:type="dxa"/>
            <w:vAlign w:val="bottom"/>
          </w:tcPr>
          <w:p>
            <w:pPr>
              <w:spacing w:after="0"/>
              <w:rPr>
                <w:sz w:val="18"/>
                <w:szCs w:val="18"/>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July 31, 2024</w:t>
            </w:r>
          </w:p>
        </w:tc>
        <w:tc>
          <w:tcPr>
            <w:tcW w:w="160" w:type="dxa"/>
            <w:vAlign w:val="bottom"/>
          </w:tcPr>
          <w:p>
            <w:pPr>
              <w:spacing w:after="0"/>
              <w:rPr>
                <w:sz w:val="18"/>
                <w:szCs w:val="18"/>
                <w:color w:val="auto"/>
              </w:rPr>
            </w:pPr>
          </w:p>
        </w:tc>
        <w:tc>
          <w:tcPr>
            <w:tcW w:w="120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July 31, 2023</w:t>
            </w:r>
          </w:p>
        </w:tc>
      </w:tr>
      <w:tr>
        <w:trPr>
          <w:trHeight w:val="199"/>
        </w:trPr>
        <w:tc>
          <w:tcPr>
            <w:tcW w:w="6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(Losses) gains recognized in OCI:</w:t>
            </w:r>
          </w:p>
        </w:tc>
        <w:tc>
          <w:tcPr>
            <w:tcW w:w="1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r>
      <w:tr>
        <w:trPr>
          <w:trHeight w:val="213"/>
        </w:trPr>
        <w:tc>
          <w:tcPr>
            <w:tcW w:w="69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Forward exchange contracts (cash flow hedges)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(963)</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center"/>
              <w:ind w:left="619"/>
              <w:spacing w:after="0"/>
              <w:rPr>
                <w:sz w:val="20"/>
                <w:szCs w:val="20"/>
                <w:color w:val="auto"/>
              </w:rPr>
            </w:pPr>
            <w:r>
              <w:rPr>
                <w:rFonts w:ascii="Times New Roman" w:cs="Times New Roman" w:eastAsia="Times New Roman" w:hAnsi="Times New Roman"/>
                <w:sz w:val="16"/>
                <w:szCs w:val="16"/>
                <w:color w:val="auto"/>
              </w:rPr>
              <w:t>2,680</w:t>
            </w:r>
          </w:p>
        </w:tc>
      </w:tr>
      <w:tr>
        <w:trPr>
          <w:trHeight w:val="219"/>
        </w:trPr>
        <w:tc>
          <w:tcPr>
            <w:tcW w:w="6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Foreign currency denominated debt (net investment hedges)</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center"/>
              <w:ind w:left="599"/>
              <w:spacing w:after="0"/>
              <w:rPr>
                <w:sz w:val="20"/>
                <w:szCs w:val="20"/>
                <w:color w:val="auto"/>
              </w:rPr>
            </w:pPr>
            <w:r>
              <w:rPr>
                <w:rFonts w:ascii="Times New Roman" w:cs="Times New Roman" w:eastAsia="Times New Roman" w:hAnsi="Times New Roman"/>
                <w:sz w:val="16"/>
                <w:szCs w:val="16"/>
                <w:color w:val="auto"/>
              </w:rPr>
              <w:t>(1,746)</w:t>
            </w:r>
          </w:p>
        </w:tc>
      </w:tr>
      <w:tr>
        <w:trPr>
          <w:trHeight w:val="214"/>
        </w:trPr>
        <w:tc>
          <w:tcPr>
            <w:tcW w:w="69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(Losses) gains reclassified from OCI into cost of goods sold:</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8"/>
        </w:trPr>
        <w:tc>
          <w:tcPr>
            <w:tcW w:w="6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Forward exchange contracts (cash flow hedges)</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center"/>
              <w:ind w:left="619"/>
              <w:spacing w:after="0"/>
              <w:rPr>
                <w:sz w:val="20"/>
                <w:szCs w:val="20"/>
                <w:color w:val="auto"/>
              </w:rPr>
            </w:pPr>
            <w:r>
              <w:rPr>
                <w:rFonts w:ascii="Times New Roman" w:cs="Times New Roman" w:eastAsia="Times New Roman" w:hAnsi="Times New Roman"/>
                <w:sz w:val="16"/>
                <w:szCs w:val="16"/>
                <w:color w:val="auto"/>
              </w:rPr>
              <w:t>2,140</w:t>
            </w:r>
          </w:p>
        </w:tc>
      </w:tr>
    </w:tbl>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Fair values of derivative and hedging instruments in the accompanying consolidated balance sheets were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July 31, 2025</w:t>
            </w: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July 31, 2024</w:t>
            </w: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center"/>
              <w:ind w:right="200"/>
              <w:spacing w:after="0" w:line="158" w:lineRule="exact"/>
              <w:rPr>
                <w:sz w:val="20"/>
                <w:szCs w:val="20"/>
                <w:color w:val="auto"/>
              </w:rPr>
            </w:pPr>
            <w:r>
              <w:rPr>
                <w:rFonts w:ascii="Times New Roman" w:cs="Times New Roman" w:eastAsia="Times New Roman" w:hAnsi="Times New Roman"/>
                <w:sz w:val="16"/>
                <w:szCs w:val="16"/>
                <w:b w:val="1"/>
                <w:bCs w:val="1"/>
                <w:color w:val="auto"/>
              </w:rPr>
              <w:t>Prepaid</w:t>
            </w: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center"/>
              <w:ind w:right="180"/>
              <w:spacing w:after="0" w:line="158" w:lineRule="exact"/>
              <w:rPr>
                <w:sz w:val="20"/>
                <w:szCs w:val="20"/>
                <w:color w:val="auto"/>
              </w:rPr>
            </w:pPr>
            <w:r>
              <w:rPr>
                <w:rFonts w:ascii="Times New Roman" w:cs="Times New Roman" w:eastAsia="Times New Roman" w:hAnsi="Times New Roman"/>
                <w:sz w:val="16"/>
                <w:szCs w:val="16"/>
                <w:b w:val="1"/>
                <w:bCs w:val="1"/>
                <w:color w:val="auto"/>
                <w:w w:val="99"/>
              </w:rPr>
              <w:t>Prepaid</w:t>
            </w: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expenses and</w:t>
            </w:r>
          </w:p>
        </w:tc>
        <w:tc>
          <w:tcPr>
            <w:tcW w:w="12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Other current</w:t>
            </w:r>
          </w:p>
        </w:tc>
        <w:tc>
          <w:tcPr>
            <w:tcW w:w="140" w:type="dxa"/>
            <w:vAlign w:val="bottom"/>
          </w:tcPr>
          <w:p>
            <w:pPr>
              <w:spacing w:after="0"/>
              <w:rPr>
                <w:sz w:val="14"/>
                <w:szCs w:val="14"/>
                <w:color w:val="auto"/>
              </w:rPr>
            </w:pPr>
          </w:p>
        </w:tc>
        <w:tc>
          <w:tcPr>
            <w:tcW w:w="108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Long-term</w:t>
            </w:r>
          </w:p>
        </w:tc>
        <w:tc>
          <w:tcPr>
            <w:tcW w:w="100" w:type="dxa"/>
            <w:vAlign w:val="bottom"/>
          </w:tcPr>
          <w:p>
            <w:pPr>
              <w:spacing w:after="0"/>
              <w:rPr>
                <w:sz w:val="14"/>
                <w:szCs w:val="14"/>
                <w:color w:val="auto"/>
              </w:rPr>
            </w:pPr>
          </w:p>
        </w:tc>
        <w:tc>
          <w:tcPr>
            <w:tcW w:w="1120" w:type="dxa"/>
            <w:vAlign w:val="bottom"/>
            <w:gridSpan w:val="2"/>
          </w:tcPr>
          <w:p>
            <w:pPr>
              <w:jc w:val="center"/>
              <w:ind w:right="180"/>
              <w:spacing w:after="0" w:line="162" w:lineRule="exact"/>
              <w:rPr>
                <w:sz w:val="20"/>
                <w:szCs w:val="20"/>
                <w:color w:val="auto"/>
              </w:rPr>
            </w:pPr>
            <w:r>
              <w:rPr>
                <w:rFonts w:ascii="Times New Roman" w:cs="Times New Roman" w:eastAsia="Times New Roman" w:hAnsi="Times New Roman"/>
                <w:sz w:val="16"/>
                <w:szCs w:val="16"/>
                <w:b w:val="1"/>
                <w:bCs w:val="1"/>
                <w:color w:val="auto"/>
              </w:rPr>
              <w:t>expenses and</w:t>
            </w:r>
          </w:p>
        </w:tc>
        <w:tc>
          <w:tcPr>
            <w:tcW w:w="12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Other current</w:t>
            </w:r>
          </w:p>
        </w:tc>
        <w:tc>
          <w:tcPr>
            <w:tcW w:w="140" w:type="dxa"/>
            <w:vAlign w:val="bottom"/>
          </w:tcPr>
          <w:p>
            <w:pPr>
              <w:spacing w:after="0"/>
              <w:rPr>
                <w:sz w:val="14"/>
                <w:szCs w:val="14"/>
                <w:color w:val="auto"/>
              </w:rPr>
            </w:pPr>
          </w:p>
        </w:tc>
        <w:tc>
          <w:tcPr>
            <w:tcW w:w="98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Long-term</w:t>
            </w:r>
          </w:p>
        </w:tc>
        <w:tc>
          <w:tcPr>
            <w:tcW w:w="0" w:type="dxa"/>
            <w:vAlign w:val="bottom"/>
          </w:tcPr>
          <w:p>
            <w:pPr>
              <w:spacing w:after="0"/>
              <w:rPr>
                <w:sz w:val="1"/>
                <w:szCs w:val="1"/>
                <w:color w:val="auto"/>
              </w:rPr>
            </w:pPr>
          </w:p>
        </w:tc>
      </w:tr>
      <w:tr>
        <w:trPr>
          <w:trHeight w:val="162"/>
        </w:trPr>
        <w:tc>
          <w:tcPr>
            <w:tcW w:w="4040" w:type="dxa"/>
            <w:vAlign w:val="bottom"/>
          </w:tcPr>
          <w:p>
            <w:pPr>
              <w:spacing w:after="0"/>
              <w:rPr>
                <w:sz w:val="14"/>
                <w:szCs w:val="14"/>
                <w:color w:val="auto"/>
              </w:rPr>
            </w:pPr>
          </w:p>
        </w:tc>
        <w:tc>
          <w:tcPr>
            <w:tcW w:w="1220" w:type="dxa"/>
            <w:vAlign w:val="bottom"/>
            <w:gridSpan w:val="3"/>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w w:val="99"/>
              </w:rPr>
              <w:t>other current</w:t>
            </w:r>
          </w:p>
        </w:tc>
        <w:tc>
          <w:tcPr>
            <w:tcW w:w="120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220" w:type="dxa"/>
            <w:vAlign w:val="bottom"/>
            <w:gridSpan w:val="3"/>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w w:val="99"/>
              </w:rPr>
              <w:t>other current</w:t>
            </w:r>
          </w:p>
        </w:tc>
        <w:tc>
          <w:tcPr>
            <w:tcW w:w="12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0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liabilities</w:t>
            </w:r>
          </w:p>
        </w:tc>
        <w:tc>
          <w:tcPr>
            <w:tcW w:w="140" w:type="dxa"/>
            <w:vAlign w:val="bottom"/>
          </w:tcPr>
          <w:p>
            <w:pPr>
              <w:spacing w:after="0"/>
              <w:rPr>
                <w:sz w:val="18"/>
                <w:szCs w:val="18"/>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obligations</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40" w:type="dxa"/>
            <w:vAlign w:val="bottom"/>
          </w:tcPr>
          <w:p>
            <w:pPr>
              <w:spacing w:after="0"/>
              <w:rPr>
                <w:sz w:val="18"/>
                <w:szCs w:val="18"/>
                <w:color w:val="auto"/>
              </w:rPr>
            </w:pPr>
          </w:p>
        </w:tc>
        <w:tc>
          <w:tcPr>
            <w:tcW w:w="98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obligations</w:t>
            </w:r>
          </w:p>
        </w:tc>
        <w:tc>
          <w:tcPr>
            <w:tcW w:w="0" w:type="dxa"/>
            <w:vAlign w:val="bottom"/>
          </w:tcPr>
          <w:p>
            <w:pPr>
              <w:spacing w:after="0"/>
              <w:rPr>
                <w:sz w:val="1"/>
                <w:szCs w:val="1"/>
                <w:color w:val="auto"/>
              </w:rPr>
            </w:pPr>
          </w:p>
        </w:tc>
      </w:tr>
      <w:tr>
        <w:trPr>
          <w:trHeight w:val="198"/>
        </w:trPr>
        <w:tc>
          <w:tcPr>
            <w:tcW w:w="4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Derivatives designated as hedging instruments:</w:t>
            </w: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Foreign exchange contracts (cash flow hedges)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5"/>
        </w:trPr>
        <w:tc>
          <w:tcPr>
            <w:tcW w:w="4040" w:type="dxa"/>
            <w:vAlign w:val="bottom"/>
            <w:shd w:val="clear" w:color="auto" w:fill="CCEEFF"/>
          </w:tcPr>
          <w:p>
            <w:pPr>
              <w:ind w:left="220"/>
              <w:spacing w:after="0" w:line="165" w:lineRule="exact"/>
              <w:rPr>
                <w:sz w:val="20"/>
                <w:szCs w:val="20"/>
                <w:color w:val="auto"/>
              </w:rPr>
            </w:pPr>
            <w:r>
              <w:rPr>
                <w:rFonts w:ascii="Times New Roman" w:cs="Times New Roman" w:eastAsia="Times New Roman" w:hAnsi="Times New Roman"/>
                <w:sz w:val="16"/>
                <w:szCs w:val="16"/>
                <w:color w:val="auto"/>
              </w:rPr>
              <w:t>Foreign currency denominated debt (net investment</w:t>
            </w:r>
          </w:p>
        </w:tc>
        <w:tc>
          <w:tcPr>
            <w:tcW w:w="10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34,536</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34,060</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hedges)</w:t>
            </w:r>
          </w:p>
        </w:tc>
        <w:tc>
          <w:tcPr>
            <w:tcW w:w="10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Derivatives not designated as hedging instruments: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Foreign exchange contracts (non-designated hedges)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derivative instruments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34,536</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730</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34,060</w:t>
            </w:r>
          </w:p>
        </w:tc>
        <w:tc>
          <w:tcPr>
            <w:tcW w:w="0" w:type="dxa"/>
            <w:vAlign w:val="bottom"/>
          </w:tcPr>
          <w:p>
            <w:pPr>
              <w:spacing w:after="0"/>
              <w:rPr>
                <w:sz w:val="1"/>
                <w:szCs w:val="1"/>
                <w:color w:val="auto"/>
              </w:rPr>
            </w:pPr>
          </w:p>
        </w:tc>
      </w:tr>
      <w:tr>
        <w:trPr>
          <w:trHeight w:val="23"/>
        </w:trPr>
        <w:tc>
          <w:tcPr>
            <w:tcW w:w="40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Acquisitions</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August 1, 2024, the Company acquired all of the outstanding shares of Gravotech. Headquartered in Lyon, France, Gravotech is a leader in the design, manufacture and distribution of innovative solutions for specialized engraving, marking and cutting, offering laser, mechanical engraving, scribing and dot peen capabilities across multiple industries. The acquisition of Gravotech expands the Company’s identification product offerings and research and development capabilities to include specialized direct part marking and engraving expertise. The acquisition was funded through cash on hand and borrowings under the Company’s existing credit agreement. Net sales and net loss attributable to Gravotech from the acquisition date through July 31, 2025 were $113,919 and $15,375, respectively. The net loss attributable to Gravotech is due to a non-recurring increase in cost of goods sold related to the fair value adjustment to inventory upon acquisition and amortization expense for intangible assets. The purchase price allocation was finalized in the fourth quarter of the year ended July 31, 2025. Measurement period adjustments did not have a material impact on the Company's consolidated statement of income.</w:t>
      </w:r>
    </w:p>
    <w:p>
      <w:pPr>
        <w:spacing w:after="0" w:line="13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purchase price allocation included goodwill of $66,178 of which $46,951 was assigned to the Americas &amp; Asia segment and $19,227 was assigned to the Europe &amp; Australia segment. The goodwill for this acquisition is not deductible for tax purposes.</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fair value of the assets acquired and liabilities assumed at the date of the acquisition:</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7,469</w:t>
            </w:r>
          </w:p>
        </w:tc>
      </w:tr>
      <w:tr>
        <w:trPr>
          <w:trHeight w:val="213"/>
        </w:trPr>
        <w:tc>
          <w:tcPr>
            <w:tcW w:w="9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Accounts receivable, net</w:t>
            </w: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23,697</w:t>
            </w:r>
          </w:p>
        </w:tc>
      </w:tr>
      <w:tr>
        <w:trPr>
          <w:trHeight w:val="219"/>
        </w:trPr>
        <w:tc>
          <w:tcPr>
            <w:tcW w:w="9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Inventories</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21,190</w:t>
            </w:r>
          </w:p>
        </w:tc>
      </w:tr>
      <w:tr>
        <w:trPr>
          <w:trHeight w:val="213"/>
        </w:trPr>
        <w:tc>
          <w:tcPr>
            <w:tcW w:w="9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w:t>
            </w:r>
          </w:p>
        </w:tc>
      </w:tr>
      <w:tr>
        <w:trPr>
          <w:trHeight w:val="219"/>
        </w:trPr>
        <w:tc>
          <w:tcPr>
            <w:tcW w:w="9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 net</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2,472</w:t>
            </w:r>
          </w:p>
        </w:tc>
      </w:tr>
      <w:tr>
        <w:trPr>
          <w:trHeight w:val="213"/>
        </w:trPr>
        <w:tc>
          <w:tcPr>
            <w:tcW w:w="9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66,178</w:t>
            </w:r>
          </w:p>
        </w:tc>
      </w:tr>
      <w:tr>
        <w:trPr>
          <w:trHeight w:val="219"/>
        </w:trPr>
        <w:tc>
          <w:tcPr>
            <w:tcW w:w="9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intangible assets</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64,099</w:t>
            </w:r>
          </w:p>
        </w:tc>
      </w:tr>
      <w:tr>
        <w:trPr>
          <w:trHeight w:val="213"/>
        </w:trPr>
        <w:tc>
          <w:tcPr>
            <w:tcW w:w="9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assets</w:t>
            </w: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6,800</w:t>
            </w:r>
          </w:p>
        </w:tc>
      </w:tr>
      <w:tr>
        <w:trPr>
          <w:trHeight w:val="219"/>
        </w:trPr>
        <w:tc>
          <w:tcPr>
            <w:tcW w:w="9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1,034</w:t>
            </w:r>
          </w:p>
        </w:tc>
      </w:tr>
      <w:tr>
        <w:trPr>
          <w:trHeight w:val="213"/>
        </w:trPr>
        <w:tc>
          <w:tcPr>
            <w:tcW w:w="9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Accounts payable</w:t>
            </w: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(17,353)</w:t>
            </w:r>
          </w:p>
        </w:tc>
      </w:tr>
      <w:tr>
        <w:trPr>
          <w:trHeight w:val="219"/>
        </w:trPr>
        <w:tc>
          <w:tcPr>
            <w:tcW w:w="9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compensation and benefits</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(9,106)</w:t>
            </w:r>
          </w:p>
        </w:tc>
      </w:tr>
      <w:tr>
        <w:trPr>
          <w:trHeight w:val="213"/>
        </w:trPr>
        <w:tc>
          <w:tcPr>
            <w:tcW w:w="9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Taxes, other than income taxes</w:t>
            </w: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(6,680)</w:t>
            </w:r>
          </w:p>
        </w:tc>
      </w:tr>
      <w:tr>
        <w:trPr>
          <w:trHeight w:val="219"/>
        </w:trPr>
        <w:tc>
          <w:tcPr>
            <w:tcW w:w="9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income taxes</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(1,807)</w:t>
            </w:r>
          </w:p>
        </w:tc>
      </w:tr>
      <w:tr>
        <w:trPr>
          <w:trHeight w:val="213"/>
        </w:trPr>
        <w:tc>
          <w:tcPr>
            <w:tcW w:w="9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(17,688)</w:t>
            </w:r>
          </w:p>
        </w:tc>
      </w:tr>
      <w:tr>
        <w:trPr>
          <w:trHeight w:val="219"/>
        </w:trPr>
        <w:tc>
          <w:tcPr>
            <w:tcW w:w="9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(6,800)</w:t>
            </w:r>
          </w:p>
        </w:tc>
      </w:tr>
      <w:tr>
        <w:trPr>
          <w:trHeight w:val="213"/>
        </w:trPr>
        <w:tc>
          <w:tcPr>
            <w:tcW w:w="9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(5,678)</w:t>
            </w:r>
          </w:p>
        </w:tc>
      </w:tr>
      <w:tr>
        <w:trPr>
          <w:trHeight w:val="212"/>
        </w:trPr>
        <w:tc>
          <w:tcPr>
            <w:tcW w:w="9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assets acquired</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128,376</w:t>
            </w:r>
          </w:p>
        </w:tc>
      </w:tr>
      <w:tr>
        <w:trPr>
          <w:trHeight w:val="213"/>
        </w:trPr>
        <w:tc>
          <w:tcPr>
            <w:tcW w:w="99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Less: cash acquired</w:t>
            </w: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(7,469)</w:t>
            </w:r>
          </w:p>
        </w:tc>
      </w:tr>
      <w:tr>
        <w:trPr>
          <w:trHeight w:val="199"/>
        </w:trPr>
        <w:tc>
          <w:tcPr>
            <w:tcW w:w="99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13"/>
        </w:trPr>
        <w:tc>
          <w:tcPr>
            <w:tcW w:w="9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Fair value of total consideration</w:t>
            </w: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120,907</w:t>
            </w:r>
          </w:p>
        </w:tc>
      </w:tr>
      <w:tr>
        <w:trPr>
          <w:trHeight w:val="23"/>
        </w:trPr>
        <w:tc>
          <w:tcPr>
            <w:tcW w:w="99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23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following table presents the unaudited pro forma operating results of the Company for the year ended July 31, 2025 and 2024, reflecting the acquisition of Gravotech as if it had occurred at the beginning of fiscal year 2024. The unaudited pro forma operating results for the year ended July 31, 2025 do not contain any adjustments to the accompanying condensed consolidated financial statements. The unaudited pro forma operating results for the year ended July 31, 2024 include Gravotech’s normal operating results and pro forma adjustments to include cumulative expenses, net of tax, for the non-recurring fair value adjustment to inventory, amortization expense for acquired intangible assets and interest expense on acquisition-related debt. The unaudited pro forma operating results are presented for comparative purposes only and do not necessarily reflect future operating results or those that would have occurred had the acquisition been completed at the beginning of fiscal year 2024.</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20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Years Ended July 31,</w:t>
            </w:r>
          </w:p>
        </w:tc>
        <w:tc>
          <w:tcPr>
            <w:tcW w:w="1220" w:type="dxa"/>
            <w:vAlign w:val="bottom"/>
            <w:tcBorders>
              <w:bottom w:val="single" w:sz="8" w:color="auto"/>
            </w:tcBorders>
          </w:tcPr>
          <w:p>
            <w:pPr>
              <w:spacing w:after="0"/>
              <w:rPr>
                <w:sz w:val="18"/>
                <w:szCs w:val="18"/>
                <w:color w:val="auto"/>
              </w:rPr>
            </w:pPr>
          </w:p>
        </w:tc>
      </w:tr>
      <w:tr>
        <w:trPr>
          <w:trHeight w:val="211"/>
        </w:trPr>
        <w:tc>
          <w:tcPr>
            <w:tcW w:w="72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7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7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sales, pro forma</w:t>
            </w:r>
          </w:p>
        </w:tc>
        <w:tc>
          <w:tcPr>
            <w:tcW w:w="1200" w:type="dxa"/>
            <w:vAlign w:val="bottom"/>
            <w:shd w:val="clear" w:color="auto" w:fill="CCEEFF"/>
          </w:tcPr>
          <w:p>
            <w:pPr>
              <w:jc w:val="right"/>
              <w:ind w:right="10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1,513,605</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1,457,537</w:t>
            </w:r>
          </w:p>
        </w:tc>
      </w:tr>
      <w:tr>
        <w:trPr>
          <w:trHeight w:val="210"/>
        </w:trPr>
        <w:tc>
          <w:tcPr>
            <w:tcW w:w="7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 pro forma</w:t>
            </w:r>
          </w:p>
        </w:tc>
        <w:tc>
          <w:tcPr>
            <w:tcW w:w="1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189,256</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189,258</w:t>
            </w:r>
          </w:p>
        </w:tc>
      </w:tr>
    </w:tbl>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October 1, 2024, the Company acquired all of the outstanding shares of AB&amp;R for $14,827, net of cash acquired. Based in Phoenix, Arizona, AB&amp;R provides integrated solutions for asset tracking, inventory management, and workflow optimization using advanced identification and tracking technologies, including barcoding, radio frequency identification (“RFID”) and Internet of Things (“IoT”)-based systems. The acquisition was funded through cash on hand and borrowings under the Company’s existing credit agreement. The purchase price allocation was finalized in the fourth quarter of the year ended July 31, 2025. The purchase price allocation included goodwill of $10,079, intangible assets of $4,600, and net tangible assets of $148. The goodwill for this acquisition is assigned to the Americas &amp; Asia segment and is deductible for tax purposes. Acquisition-related expenses of $305 were recognized in SG&amp;A expenses during the year ended July 31, 2025.</w:t>
      </w:r>
    </w:p>
    <w:p>
      <w:pPr>
        <w:spacing w:after="0" w:line="13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April 1, 2025, the Company acquired certain assets and liabilities representing the Microfluidic Solutions business unit of Funai Electric Co., Ltd., for $10,731. Headquartered in Lexington, Kentucky, with a manufacturing facility in Cebu, Philippines, Microfluidic Solutions specializes in the research, development and manufacturing of advanced inkjet microfluidic technologies. The acquisition was funded through cash on hand and borrowings under the Company’s existing credit agreement. The purchase price allocation was finalized in the fourth quarter of the year ended July 31, 2025. The purchase price allocation included property, plant and equipment of $13,315, inventories of $3,028, accounts payable of $1,111, and other liabilities of $3,903.</w:t>
      </w:r>
    </w:p>
    <w:p>
      <w:pPr>
        <w:spacing w:after="0" w:line="1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results of AB&amp;R and Microfluidic Solutions from the date of acquisition through July 31, 2025. Pro forma and other financial information are not presented for AB&amp;R or Microfluidic Solutions because their impact on the Company's results of operations and financial position is immaterial.</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Contingencies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the Company is subject to a variety of investigations, claims, suits, and other legal proceedings, including but not limited to, intellectual property, employment, unclaimed property, tort, and breach of contract matters. Any legal proceedings are subject to inherent uncertainties, and these matters and their potential effects may change in the future. The Company records a liability for contingencies when a loss is deemed to be probable and the loss can be reasonably estimated. The Company currently believes that the outcomes of such proceedings will not have a material adverse impact on its business, financial position, results of operations or cash flows.</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Subsequent Events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August 4, 2025, the Company acquired MECCO Partners LLC, a company that specializes in automated laser engraving systems, headquartered in Pittsburgh, Pennsylvania, for a cash purchase price of approximately $20,000, subject to a working capital adjustment provision. The Company expects to allocate a significant portion of the purchase price to goodwill and intangible assets. The assignment of goodwill to the Company’s existing reporting units is not complete as of the financial statements issuance date.</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September 3, 2025, the Company announced an increase in the annual dividend to shareholders of the Company's Class A Common Stock, from $0.96 to $0.98 per share. A quarterly dividend of $0.245 will be paid on October 31, 2025, to shareholders of record at the close of business on October 10, 2025. This dividend represents an increase of 2.1% and is the 40th consecutive annual increase in dividends.</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 </w:t>
      </w:r>
      <w:r>
        <w:rPr>
          <w:rFonts w:ascii="Times New Roman" w:cs="Times New Roman" w:eastAsia="Times New Roman" w:hAnsi="Times New Roman"/>
          <w:sz w:val="18"/>
          <w:szCs w:val="18"/>
          <w:b w:val="1"/>
          <w:bCs w:val="1"/>
          <w:i w:val="1"/>
          <w:iCs w:val="1"/>
          <w:color w:val="auto"/>
        </w:rPr>
        <w:t>Changes in and Disagreements with Accountants on Accounting and Financial Disclosure</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9A. </w:t>
      </w:r>
      <w:r>
        <w:rPr>
          <w:rFonts w:ascii="Times New Roman" w:cs="Times New Roman" w:eastAsia="Times New Roman" w:hAnsi="Times New Roman"/>
          <w:sz w:val="18"/>
          <w:szCs w:val="18"/>
          <w:b w:val="1"/>
          <w:bCs w:val="1"/>
          <w:i w:val="1"/>
          <w:iCs w:val="1"/>
          <w:color w:val="auto"/>
        </w:rPr>
        <w:t>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Brady Corporation maintains disclosure controls and procedures that are designed to ensure that information required to be disclosed by the Company in the reports filed by the Company under the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by the Company in the reports the Company files under the Exchange Act is accumulated and communicated to the Company’s management, including the Company’s principal executive and principal financial officers, or persons performing similar functions, as appropriate to allow timely decisions regarding required disclosure. The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Company carried out an evaluation, under the supervision and with the participation of its management, including its President and Chief Executive Officer and its Chief Financial Officer and Treasurer, of the effectiveness of the design and operation of the Company’s disclosure controls and procedures pursuant to Rule 13a-15 of the Exchange Act. Based on that evaluation, the Company’s President and Chief Executive Officer and Chief Financial Officer and Treasurer concluded that the Company’s disclosure controls and procedures are effective as of the end of the period covered by this report.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management of Brady Corporation and its subsidiaries is responsible for establishing and maintaining adequate internal control over financial reporting for the Company, as such term is defined in Rule 13a-15(f) under the Securities Exchange Act of 1934. The Company’s internal control over financial reporting is designed to provide reasonable assurance regarding the reliability of financial reporting and the preparation of financial statements for external purposes in accordance with generally accepted accounting principles.</w:t>
      </w:r>
    </w:p>
    <w:p>
      <w:pPr>
        <w:spacing w:after="0" w:line="12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With the participation of the President and Chief Executive Officer and Chief Financial Officer and Treasurer, management conducted an evaluation of the effectiveness of our internal control over financial reporting as of July 31, 2025, based on the framework and criteria established in </w:t>
      </w:r>
      <w:r>
        <w:rPr>
          <w:rFonts w:ascii="Times New Roman" w:cs="Times New Roman" w:eastAsia="Times New Roman" w:hAnsi="Times New Roman"/>
          <w:sz w:val="18"/>
          <w:szCs w:val="18"/>
          <w:i w:val="1"/>
          <w:iCs w:val="1"/>
          <w:color w:val="auto"/>
        </w:rPr>
        <w:t>Internal Control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Integrated Framework (2013)</w:t>
      </w:r>
      <w:r>
        <w:rPr>
          <w:rFonts w:ascii="Times New Roman" w:cs="Times New Roman" w:eastAsia="Times New Roman" w:hAnsi="Times New Roman"/>
          <w:sz w:val="18"/>
          <w:szCs w:val="18"/>
          <w:color w:val="auto"/>
        </w:rPr>
        <w:t>, issued by the Committee of Sponsoring Organizations of the Treadway Commission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Consistent with guidance issued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and Exchange Commission that an assessment of a recently acquired business may be omitted from management's report on internal control over financial reporting in the year of acquisition, management excluded an assessment of the effectiveness of the Company's internal control over financial reporting related to Gravotech, AB&amp;R and Microfluidic Solutions. The summation of the acquisitions represented 7.7% of the Company's consolidated total assets (excluding goodwill and intangible assets which were included in management's assessment of internal control over financial reporting) as of July 31, 2025 and 9.4% of the consolidated net sales for the year ended July 31, 2025. Based on the assessment, management concluded that, as of July 31, 2025, the Company’s internal control over financial reporting is effective based on those criteria.</w:t>
      </w:r>
    </w:p>
    <w:p>
      <w:pPr>
        <w:spacing w:after="0" w:line="13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Because of the inherent limitations of internal control over financial reporting, misstatements may not be prevented or detected on a timely basis. Also, projections of any evaluation of the effectiveness of internal control over financial reporting to future periods are subject to the risk that the controls may become inadequate because of changes in conditions, or that the degree of compliance with the policies or procedures may deteriorate.</w:t>
      </w:r>
    </w:p>
    <w:p>
      <w:pPr>
        <w:spacing w:after="0" w:line="12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Company’s internal control over financial reporting, as of July 31, 2025, has been audited by Deloitte &amp; Touche LLP, an independent registered public accounting firm, as stated in their report, which is included herein.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(as defined in Exchange Act Rules 13a-15(f) and 15d-15(f)) that occurred during the Company’s most recently completed fiscal quarter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2540" w:firstLine="2535"/>
        <w:spacing w:after="0" w:line="439"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 xml:space="preserve">To the shareholders and the Board of Directors of Brady Corporation </w:t>
      </w:r>
      <w:r>
        <w:rPr>
          <w:rFonts w:ascii="Times New Roman" w:cs="Times New Roman" w:eastAsia="Times New Roman" w:hAnsi="Times New Roman"/>
          <w:sz w:val="18"/>
          <w:szCs w:val="18"/>
          <w:b w:val="1"/>
          <w:bCs w:val="1"/>
          <w:color w:val="auto"/>
        </w:rPr>
        <w:t>Opinion on Internal Control over Financial Reporting</w:t>
      </w:r>
    </w:p>
    <w:p>
      <w:pPr>
        <w:spacing w:after="0" w:line="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Brady Corporation and subsidiaries (the “Company”) as of July 31, 2025,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In our opinion, the Company maintained, in all material respects, effective internal control over financial reporting as of July 31, 2025,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COSO.</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year ended July 31, 2025, of the Company and our report dated September 4, 2025 expressed an unqualified opinion on those financial statements.</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described in Management’s Report on Internal Control over Financial Reporting, management excluded from its assessment the internal control over financial reporting at Gravotech Holding (“Gravotech”), American Barcode and RFID Incorporated (“AB&amp;R”), and the Microfluidic Solutions business unit of Funai Electric Co., Ltd. (“Microfluidic Solutions”), which were acquired on August 1, 2024, October 1, 2024, and April 1, 2025, respectively, and whose financial statements constitute 7.7% of total assets and 9.4% of net sales of the consolidated financial statement amounts as of and for the year ended July 31, 2025. Accordingly, our audit did not include the internal control over financial reporting at Gravotech, AB&amp;R, and Microfluidic Solutions.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Milwaukee, Wisconsin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4, 2025</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9B. </w:t>
      </w:r>
      <w:r>
        <w:rPr>
          <w:rFonts w:ascii="Times New Roman" w:cs="Times New Roman" w:eastAsia="Times New Roman" w:hAnsi="Times New Roman"/>
          <w:sz w:val="18"/>
          <w:szCs w:val="18"/>
          <w:b w:val="1"/>
          <w:bCs w:val="1"/>
          <w:i w:val="1"/>
          <w:iCs w:val="1"/>
          <w:color w:val="auto"/>
        </w:rPr>
        <w:t>Other Information</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During the three months ended July 31, 2025, no director or Section 16 officer of the Company adopted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9C. </w:t>
      </w:r>
      <w:r>
        <w:rPr>
          <w:rFonts w:ascii="Times New Roman" w:cs="Times New Roman" w:eastAsia="Times New Roman" w:hAnsi="Times New Roman"/>
          <w:sz w:val="18"/>
          <w:szCs w:val="18"/>
          <w:b w:val="1"/>
          <w:bCs w:val="1"/>
          <w:i w:val="1"/>
          <w:iCs w:val="1"/>
          <w:color w:val="auto"/>
        </w:rPr>
        <w:t>Disclosure Regarding Foreign Jurisdictions That Prevent Inspections</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00"/>
          </w:cols>
          <w:pgMar w:left="320" w:top="118" w:right="107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3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4860" w:type="dxa"/>
            <w:vAlign w:val="bottom"/>
          </w:tcPr>
          <w:p>
            <w:pPr>
              <w:spacing w:after="0"/>
              <w:rPr>
                <w:sz w:val="20"/>
                <w:szCs w:val="20"/>
                <w:color w:val="auto"/>
              </w:rPr>
            </w:pPr>
          </w:p>
        </w:tc>
      </w:tr>
      <w:tr>
        <w:trPr>
          <w:trHeight w:val="459"/>
        </w:trPr>
        <w:tc>
          <w:tcPr>
            <w:tcW w:w="50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 xml:space="preserve">Item 10. </w:t>
            </w:r>
            <w:r>
              <w:rPr>
                <w:rFonts w:ascii="Times New Roman" w:cs="Times New Roman" w:eastAsia="Times New Roman" w:hAnsi="Times New Roman"/>
                <w:sz w:val="18"/>
                <w:szCs w:val="18"/>
                <w:b w:val="1"/>
                <w:bCs w:val="1"/>
                <w:i w:val="1"/>
                <w:iCs w:val="1"/>
                <w:color w:val="auto"/>
              </w:rPr>
              <w:t>Directors, Executive Officers and Corporate Governance</w:t>
            </w: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60" w:type="dxa"/>
            <w:vAlign w:val="bottom"/>
          </w:tcPr>
          <w:p>
            <w:pPr>
              <w:spacing w:after="0"/>
              <w:rPr>
                <w:sz w:val="24"/>
                <w:szCs w:val="24"/>
                <w:color w:val="auto"/>
              </w:rPr>
            </w:pPr>
          </w:p>
        </w:tc>
      </w:tr>
      <w:tr>
        <w:trPr>
          <w:trHeight w:val="418"/>
        </w:trPr>
        <w:tc>
          <w:tcPr>
            <w:tcW w:w="50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Age</w:t>
            </w:r>
          </w:p>
        </w:tc>
        <w:tc>
          <w:tcPr>
            <w:tcW w:w="4860" w:type="dxa"/>
            <w:vAlign w:val="bottom"/>
          </w:tcPr>
          <w:p>
            <w:pPr>
              <w:ind w:left="2260"/>
              <w:spacing w:after="0"/>
              <w:rPr>
                <w:sz w:val="20"/>
                <w:szCs w:val="20"/>
                <w:color w:val="auto"/>
              </w:rPr>
            </w:pPr>
            <w:r>
              <w:rPr>
                <w:rFonts w:ascii="Times New Roman" w:cs="Times New Roman" w:eastAsia="Times New Roman" w:hAnsi="Times New Roman"/>
                <w:sz w:val="18"/>
                <w:szCs w:val="18"/>
                <w:b w:val="1"/>
                <w:bCs w:val="1"/>
                <w:color w:val="auto"/>
              </w:rPr>
              <w:t>Title</w:t>
            </w:r>
          </w:p>
        </w:tc>
      </w:tr>
      <w:tr>
        <w:trPr>
          <w:trHeight w:val="223"/>
        </w:trPr>
        <w:tc>
          <w:tcPr>
            <w:tcW w:w="4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Russell R. Shaller</w:t>
            </w:r>
          </w:p>
        </w:tc>
        <w:tc>
          <w:tcPr>
            <w:tcW w:w="12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Borders>
              <w:top w:val="single" w:sz="8" w:color="CCEEFF"/>
            </w:tcBorders>
            <w:shd w:val="clear" w:color="auto" w:fill="CCEEFF"/>
          </w:tcPr>
          <w:p>
            <w:pPr>
              <w:spacing w:after="0"/>
              <w:rPr>
                <w:sz w:val="19"/>
                <w:szCs w:val="19"/>
                <w:color w:val="auto"/>
              </w:rPr>
            </w:pPr>
          </w:p>
        </w:tc>
        <w:tc>
          <w:tcPr>
            <w:tcW w:w="4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President, CEO and Director</w:t>
            </w:r>
          </w:p>
        </w:tc>
      </w:tr>
      <w:tr>
        <w:trPr>
          <w:trHeight w:val="229"/>
        </w:trPr>
        <w:tc>
          <w:tcPr>
            <w:tcW w:w="5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Ann E. Thornton</w:t>
            </w:r>
          </w:p>
        </w:tc>
        <w:tc>
          <w:tcPr>
            <w:tcW w:w="1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9"/>
                <w:szCs w:val="19"/>
                <w:color w:val="auto"/>
              </w:rPr>
            </w:pPr>
          </w:p>
        </w:tc>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Chief Accounting Officer and Treasurer</w:t>
            </w:r>
          </w:p>
        </w:tc>
      </w:tr>
      <w:tr>
        <w:trPr>
          <w:trHeight w:val="229"/>
        </w:trPr>
        <w:tc>
          <w:tcPr>
            <w:tcW w:w="5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Olivier Bojarski</w:t>
            </w:r>
          </w:p>
        </w:tc>
        <w:tc>
          <w:tcPr>
            <w:tcW w:w="1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9"/>
                <w:szCs w:val="19"/>
                <w:color w:val="auto"/>
              </w:rPr>
            </w:pPr>
          </w:p>
        </w:tc>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President – Americas &amp; Asia</w:t>
            </w:r>
          </w:p>
        </w:tc>
      </w:tr>
      <w:tr>
        <w:trPr>
          <w:trHeight w:val="230"/>
        </w:trPr>
        <w:tc>
          <w:tcPr>
            <w:tcW w:w="5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Thomas F. DeBruine</w:t>
            </w:r>
          </w:p>
        </w:tc>
        <w:tc>
          <w:tcPr>
            <w:tcW w:w="1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9"/>
                <w:szCs w:val="19"/>
                <w:color w:val="auto"/>
              </w:rPr>
            </w:pPr>
          </w:p>
        </w:tc>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Operating Officer</w:t>
            </w:r>
          </w:p>
        </w:tc>
      </w:tr>
      <w:tr>
        <w:trPr>
          <w:trHeight w:val="229"/>
        </w:trPr>
        <w:tc>
          <w:tcPr>
            <w:tcW w:w="5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Andrew T. Gorman</w:t>
            </w:r>
          </w:p>
        </w:tc>
        <w:tc>
          <w:tcPr>
            <w:tcW w:w="1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9"/>
                <w:szCs w:val="19"/>
                <w:color w:val="auto"/>
              </w:rPr>
            </w:pPr>
          </w:p>
        </w:tc>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Counsel and Secretary</w:t>
            </w:r>
          </w:p>
        </w:tc>
      </w:tr>
      <w:tr>
        <w:trPr>
          <w:trHeight w:val="229"/>
        </w:trPr>
        <w:tc>
          <w:tcPr>
            <w:tcW w:w="5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Brett Wilms</w:t>
            </w:r>
          </w:p>
        </w:tc>
        <w:tc>
          <w:tcPr>
            <w:tcW w:w="1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9"/>
                <w:szCs w:val="19"/>
                <w:color w:val="auto"/>
              </w:rPr>
            </w:pPr>
          </w:p>
        </w:tc>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 EMEA &amp; Australia</w:t>
            </w:r>
          </w:p>
        </w:tc>
      </w:tr>
      <w:tr>
        <w:trPr>
          <w:trHeight w:val="230"/>
        </w:trPr>
        <w:tc>
          <w:tcPr>
            <w:tcW w:w="5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Patrick W. Allender</w:t>
            </w:r>
          </w:p>
        </w:tc>
        <w:tc>
          <w:tcPr>
            <w:tcW w:w="1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19"/>
                <w:szCs w:val="19"/>
                <w:color w:val="auto"/>
              </w:rPr>
            </w:pPr>
          </w:p>
        </w:tc>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9"/>
        </w:trPr>
        <w:tc>
          <w:tcPr>
            <w:tcW w:w="5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David S. Bem</w:t>
            </w:r>
          </w:p>
        </w:tc>
        <w:tc>
          <w:tcPr>
            <w:tcW w:w="1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9"/>
                <w:szCs w:val="19"/>
                <w:color w:val="auto"/>
              </w:rPr>
            </w:pPr>
          </w:p>
        </w:tc>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30"/>
        </w:trPr>
        <w:tc>
          <w:tcPr>
            <w:tcW w:w="5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Elizabeth P. Bruno</w:t>
            </w:r>
          </w:p>
        </w:tc>
        <w:tc>
          <w:tcPr>
            <w:tcW w:w="1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19"/>
                <w:szCs w:val="19"/>
                <w:color w:val="auto"/>
              </w:rPr>
            </w:pPr>
          </w:p>
        </w:tc>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9"/>
        </w:trPr>
        <w:tc>
          <w:tcPr>
            <w:tcW w:w="5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Joanne Collins Smee</w:t>
            </w:r>
          </w:p>
        </w:tc>
        <w:tc>
          <w:tcPr>
            <w:tcW w:w="1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19"/>
                <w:szCs w:val="19"/>
                <w:color w:val="auto"/>
              </w:rPr>
            </w:pPr>
          </w:p>
        </w:tc>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9"/>
        </w:trPr>
        <w:tc>
          <w:tcPr>
            <w:tcW w:w="5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Deidre E. Cusack</w:t>
            </w:r>
          </w:p>
        </w:tc>
        <w:tc>
          <w:tcPr>
            <w:tcW w:w="1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9"/>
                <w:szCs w:val="19"/>
                <w:color w:val="auto"/>
              </w:rPr>
            </w:pPr>
          </w:p>
        </w:tc>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30"/>
        </w:trPr>
        <w:tc>
          <w:tcPr>
            <w:tcW w:w="5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Anne De Greef-Safft</w:t>
            </w:r>
          </w:p>
        </w:tc>
        <w:tc>
          <w:tcPr>
            <w:tcW w:w="1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9"/>
                <w:szCs w:val="19"/>
                <w:color w:val="auto"/>
              </w:rPr>
            </w:pPr>
          </w:p>
        </w:tc>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9"/>
        </w:trPr>
        <w:tc>
          <w:tcPr>
            <w:tcW w:w="5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Christopher M. Hix</w:t>
            </w:r>
          </w:p>
        </w:tc>
        <w:tc>
          <w:tcPr>
            <w:tcW w:w="1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9"/>
                <w:szCs w:val="19"/>
                <w:color w:val="auto"/>
              </w:rPr>
            </w:pPr>
          </w:p>
        </w:tc>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9"/>
        </w:trPr>
        <w:tc>
          <w:tcPr>
            <w:tcW w:w="5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Vineet Nargolwala</w:t>
            </w:r>
          </w:p>
        </w:tc>
        <w:tc>
          <w:tcPr>
            <w:tcW w:w="1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9"/>
                <w:szCs w:val="19"/>
                <w:color w:val="auto"/>
              </w:rPr>
            </w:pPr>
          </w:p>
        </w:tc>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30"/>
        </w:trPr>
        <w:tc>
          <w:tcPr>
            <w:tcW w:w="5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Bradley C. Richardson</w:t>
            </w:r>
          </w:p>
        </w:tc>
        <w:tc>
          <w:tcPr>
            <w:tcW w:w="1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CEEFF"/>
          </w:tcPr>
          <w:p>
            <w:pPr>
              <w:spacing w:after="0"/>
              <w:rPr>
                <w:sz w:val="19"/>
                <w:szCs w:val="19"/>
                <w:color w:val="auto"/>
              </w:rPr>
            </w:pPr>
          </w:p>
        </w:tc>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5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Michelle E. Williams</w:t>
            </w:r>
          </w:p>
        </w:tc>
        <w:tc>
          <w:tcPr>
            <w:tcW w:w="1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20"/>
                <w:szCs w:val="20"/>
                <w:color w:val="auto"/>
              </w:rPr>
            </w:pPr>
          </w:p>
        </w:tc>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3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Russell R. Shaller – </w:t>
      </w:r>
      <w:r>
        <w:rPr>
          <w:rFonts w:ascii="Times New Roman" w:cs="Times New Roman" w:eastAsia="Times New Roman" w:hAnsi="Times New Roman"/>
          <w:sz w:val="18"/>
          <w:szCs w:val="18"/>
          <w:color w:val="auto"/>
        </w:rPr>
        <w:t>Mr. Shaller joined the Company in 2015 and has served on the Company’s Board of Directors and as the Company’s President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CEO since April 2022 after serving as the Company’s Senior Vice President and President - Identification Solutions from 2015 to 2022. From 2008 to 2015, he served as President, Teledyne Microwave Solutions. Before joining Teledyne, Mr. Shaller held a number of positions of increasing responsibility at W.L. Gore &amp; Associates, including Division Leader, Electronic Products Division from 2003 to 2008 and General Manager of Gore Photonics from 2001 to 2003. Prior to joining W.L. Gore in 1993, Mr. Shaller worked in engineering and program management positions at Westinghouse Corporation. In 2023, Mr. Shaller was elected to the Board of Directors of Quaker Houghton. Mr. Shaller holds a bachelor’s degree in electrical engineering from the University of Michigan, a master’s degree in electrical engineering from Johns Hopkins University and a master’s degree in business administration from the University of Delaware.</w:t>
      </w:r>
    </w:p>
    <w:p>
      <w:pPr>
        <w:spacing w:after="0" w:line="13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Ann E. Thornton – </w:t>
      </w:r>
      <w:r>
        <w:rPr>
          <w:rFonts w:ascii="Times New Roman" w:cs="Times New Roman" w:eastAsia="Times New Roman" w:hAnsi="Times New Roman"/>
          <w:sz w:val="18"/>
          <w:szCs w:val="18"/>
          <w:color w:val="auto"/>
        </w:rPr>
        <w:t>Ms. Thornton joined the Company in 2009 and was named Chief Financial Officer and Treasurer in April 2023 after serving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Brady’s Chief Accounting Officer since 2016 and Corporate Controller and Director of Investor Relations since 2015. She held the positions of Corporate Accounting Supervisor, Corporate Accounting Manager, External Reporting Manager, Corporate Finance Manager and Director of Global Accounting from 2009 to 2014. Prior to joining the Company, Ms. Thornton was an auditor with PricewaterhouseCoopers from 2005 to 2009. She has a bachelor's degree in business administration and a master of accountancy degree from the University of Wisconsin - Madison and is a certified public accountant.</w:t>
      </w:r>
    </w:p>
    <w:p>
      <w:pPr>
        <w:spacing w:after="0" w:line="1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Olivier Bojarski – </w:t>
      </w:r>
      <w:r>
        <w:rPr>
          <w:rFonts w:ascii="Times New Roman" w:cs="Times New Roman" w:eastAsia="Times New Roman" w:hAnsi="Times New Roman"/>
          <w:sz w:val="18"/>
          <w:szCs w:val="18"/>
          <w:color w:val="auto"/>
        </w:rPr>
        <w:t>Mr. Bojarski joined the Company in August 2022 as President – Identification Solutions, before assuming the role of President –</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Americas &amp; Asia in February 2023. From 2016 to 2022, Mr. Bojarski held several positions of increasing responsibility at Belden Incorporated and served as Executive Vice President, Broadband and 5G from 2019 to 2022. Before joining Belden, Mr. Bojarski was General Manager of a business unit within the electrification division of ABB Ltd.</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Prior to joining ABB, Mr. Bojarski held a number of positions of increasing responsibility at Panduit Corporation. He holds a bachelor’s degree in electrical engineering from the Georgia Institute of Technology and a master’s degree in business administration from Georgia State University.</w:t>
      </w:r>
    </w:p>
    <w:p>
      <w:pPr>
        <w:spacing w:after="0" w:line="10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Thomas F. DeBruine </w:t>
      </w:r>
      <w:r>
        <w:rPr>
          <w:rFonts w:ascii="Times New Roman" w:cs="Times New Roman" w:eastAsia="Times New Roman" w:hAnsi="Times New Roman"/>
          <w:sz w:val="18"/>
          <w:szCs w:val="18"/>
          <w:color w:val="auto"/>
        </w:rPr>
        <w:t>- Mr. DeBruine joined the Company in November 2000 and was named Chief Operating Officer in June 2024 after serving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Vice President, Global Operations since 2022 and Director of Operations - Americas since 2016. Prior to 2016, Mr. DeBruine held local, regional and global roles in manufacturing, procurement and engineering within the Company. Prior to joining the Company, Mr. DeBruine held various operating leadership roles in automotive tier one supply and electric motor manufacturing industries. He holds a bachelor of science degree in industrial technology from the University of Wisconsin – Platteville.</w:t>
      </w:r>
    </w:p>
    <w:p>
      <w:pPr>
        <w:spacing w:after="0" w:line="1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Andrew T. Gorman – </w:t>
      </w:r>
      <w:r>
        <w:rPr>
          <w:rFonts w:ascii="Times New Roman" w:cs="Times New Roman" w:eastAsia="Times New Roman" w:hAnsi="Times New Roman"/>
          <w:sz w:val="18"/>
          <w:szCs w:val="18"/>
          <w:color w:val="auto"/>
        </w:rPr>
        <w:t>Mr. Gorman joined the Company as General Counsel and Corporate Secretary in April 2020. Prior to joining the Company, 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employed at AptarGroup, Inc., beginning in 2012. At AptarGroup, he served as Vice President, General Counsel, North America, Compliance Officer and Assistant Secretary. Before joining AptarGroup, he counseled corporate clients in private practice, including as an attorney at Mayer Brown, LLP in Chicago, where Mr. Gorman started his legal career. He holds a juris doctor from Loyola University Chicago School of Law, a master in professional accounting from The University of Texas at Austin, a bachelor of business administration from The University of Texas at Austin and is a certified public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accountant</w:t>
      </w:r>
      <w:r>
        <w:rPr>
          <w:rFonts w:ascii="Times New Roman" w:cs="Times New Roman" w:eastAsia="Times New Roman" w:hAnsi="Times New Roman"/>
          <w:sz w:val="21"/>
          <w:szCs w:val="21"/>
          <w:i w:val="1"/>
          <w:iCs w:val="1"/>
          <w:color w:val="auto"/>
        </w:rPr>
        <w:t>.</w:t>
      </w:r>
    </w:p>
    <w:p>
      <w:pPr>
        <w:spacing w:after="0" w:line="157"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Brett Wilms – </w:t>
      </w:r>
      <w:r>
        <w:rPr>
          <w:rFonts w:ascii="Times New Roman" w:cs="Times New Roman" w:eastAsia="Times New Roman" w:hAnsi="Times New Roman"/>
          <w:sz w:val="18"/>
          <w:szCs w:val="18"/>
          <w:color w:val="auto"/>
        </w:rPr>
        <w:t>Brett Wilms joined the Company in June 2018 as Managing Director of Identification Solutions EMEA. In October 2022, Mr. Wilms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added responsibility as the Interim General Manager of the Workplace Safety business, before being appointed to the role of President – EMEA &amp; Australia in February 2023. Prior to joining Brady, he was Managing Director of a business within Groupe Autajon, a French publicly-traded labels and packaging group with a primary focus on the pharmaceutical market. Before joining Groupe Autajon, Mr. Wilms was Vice President of Operations EMEA for Pentair, Inc. He holds a master’s degree in electrical engineering from the University of Brussels and a master’s degree in business administration from the University of Minnesota.</w:t>
      </w:r>
    </w:p>
    <w:p>
      <w:pPr>
        <w:spacing w:after="0" w:line="12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Patrick W. Allender – </w:t>
      </w:r>
      <w:r>
        <w:rPr>
          <w:rFonts w:ascii="Times New Roman" w:cs="Times New Roman" w:eastAsia="Times New Roman" w:hAnsi="Times New Roman"/>
          <w:sz w:val="18"/>
          <w:szCs w:val="18"/>
          <w:color w:val="auto"/>
        </w:rPr>
        <w:t>Mr. Allender was elected to the Board of Directors in 2007. He serves as the Chair of the Finance Committee and as a member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Audit and Corporate Governance Committees. He served as Executive Vice President and CFO of Danaher Corporation from 1998 to 2005 and Executive Vice President from 2005 to 2007. He served as a director of Colfax Corporation from 2008 to 2022, when ESAB Corporation separated from Colfax Corporation. Mr. Allender joined ESAB Corporation’s board in 2022, and currently serves as a director. Mr. Allender previously served as a director of Diebold Nixdorf, Inc. from 2011 to 2020. He has a bachelor's degree in accounting from Loyola University Maryland and is a certified public accountant. Mr. Allender's strong background in finance and accounting, as well as his past experience as the CFO of a public company, provides the Board with financial expertise and insight.</w:t>
      </w:r>
    </w:p>
    <w:p>
      <w:pPr>
        <w:spacing w:after="0" w:line="1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David S. Bem, Ph.D – </w:t>
      </w:r>
      <w:r>
        <w:rPr>
          <w:rFonts w:ascii="Times New Roman" w:cs="Times New Roman" w:eastAsia="Times New Roman" w:hAnsi="Times New Roman"/>
          <w:sz w:val="18"/>
          <w:szCs w:val="18"/>
          <w:color w:val="auto"/>
        </w:rPr>
        <w:t>Dr. Bem was elected to the Board of Directors in 2019. He serves as a member of the Management Development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Audit and Technology Committees. Dr. Bem is Vice President, Science and Technology and Chief Technology Officer of PPG. Prior to PPG, he spent 8 years at Dow Chemical Company in a number of research and development roles, most recently as Vice President, Research and Development Consumer Solutions and Infrastructure Solutions, and also worked in research and development roles at Celanese Corporation and UOP/Honeywell International, Inc. He has a bachelor’s degree in chemistry from West Virginia University and a doctorate in inorganic chemistry from the Massachusetts Institute of Technology. Dr. Bem’s extensive experience in technology and research and development provides the Board with important expertise in new product development and innovation.</w:t>
      </w:r>
    </w:p>
    <w:p>
      <w:pPr>
        <w:spacing w:after="0" w:line="1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Elizabeth P. Bruno, Ph.D – </w:t>
      </w:r>
      <w:r>
        <w:rPr>
          <w:rFonts w:ascii="Times New Roman" w:cs="Times New Roman" w:eastAsia="Times New Roman" w:hAnsi="Times New Roman"/>
          <w:sz w:val="18"/>
          <w:szCs w:val="18"/>
          <w:color w:val="auto"/>
        </w:rPr>
        <w:t>Dr. Bruno was elected to the Board of Directors in 2003. She serves as the Chair of the Corporate Governance Committee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is a member of the Management Development and Compensation, Finance, and Technology Committees. Dr. Bruno is the President of the Brady Education Foundation in Chapel Hill, North Carolina. Dr. Bruno has a bachelor’s degree in psychology from the University of Rochester, a master of child clinical psychology degree from the University of North Carolina Chapel Hill and a doctorate in developmental psychology from the University of North Carolina Chapel Hill. She is the granddaughter of William H. Brady, Jr., the founder of Brady Corporation. As a result of her substantial ownership stake in the Company, as well as her family's history with the Company, she is well positioned to understand, articulate and advocate for the rights and interests of the Company's shareholders.</w:t>
      </w:r>
    </w:p>
    <w:p>
      <w:pPr>
        <w:spacing w:after="0" w:line="1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Joanne Collins Smee – </w:t>
      </w:r>
      <w:r>
        <w:rPr>
          <w:rFonts w:ascii="Times New Roman" w:cs="Times New Roman" w:eastAsia="Times New Roman" w:hAnsi="Times New Roman"/>
          <w:sz w:val="18"/>
          <w:szCs w:val="18"/>
          <w:color w:val="auto"/>
        </w:rPr>
        <w:t>Ms. Collins Smee was elected to the Board of Directors in 2022. She serves as Chair of the Management Development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Committee, and is a member of the Audit Committee. Ms. Collins Smee was the Executive Vice President and President, Americas, for Xerox Corporation and had been in this role from June 2022 until her retirement in 2023. She was also an Executive Vice President of Xerox Holdings Corporation during that same period. Previously, she was Chief Commercial, SMB and Channels Officer for Xerox from February 2020 to June 2022. Ms. Collins Smee joined Xerox in September 2018 as Senior Vice President and Chief Commercial Officer. Before Xerox, she led</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Technology Transformation Services for the U.S. Federal Government and spent more than two decades at IBM in global executive roles spanning client sales and delivery of technical products and services. Ms. Collins Smee has a bachelor’s degree of arts from Boston College, a master of business administration degree from New York University and a master of arts degree from Columbia University. Ms. Collins Smee’s extensive experience in high-technology global business and strong leadership skills provide the Board with important expertise in product and services innovation.</w:t>
      </w:r>
    </w:p>
    <w:p>
      <w:pPr>
        <w:spacing w:after="0" w:line="12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Deidre E. Cusack – </w:t>
      </w:r>
      <w:r>
        <w:rPr>
          <w:rFonts w:ascii="Times New Roman" w:cs="Times New Roman" w:eastAsia="Times New Roman" w:hAnsi="Times New Roman"/>
          <w:sz w:val="18"/>
          <w:szCs w:val="18"/>
          <w:color w:val="auto"/>
        </w:rPr>
        <w:t>Ms. Cusack was elected to the Board of Directors in 2024 and serves as a member of the Technology Committee. She was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Vice President of Global Products &amp; Solutions of Dematic from 2020 until her retirement in 2024. She previously was Group Senior Vice President &amp; Global Product Group Manager of Distribution Transformers for ABB. Prior to ABB, she spent 19 years with Ametek, Inc. in a variety of business unit leadership roles. Ms. Cusack serves on the boards of Central Moloney and Rosendin Electric. Ms. Cusack has a bachelor's degree in optics from the University of Rochester and a master's degree in electrical engineering from Tufts University. Ms. Cusack's extensive experience in technology and research and development provides the Board with valuable expertise in new product development and innovation. Ms. Cusack was originally identified as a director nominee by a third-party search firm through a process conducted by the Corporate Governance Committee of the Board of Directors.</w:t>
      </w:r>
    </w:p>
    <w:p>
      <w:pPr>
        <w:spacing w:after="0" w:line="13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Anne De Greef-Safft – </w:t>
      </w:r>
      <w:r>
        <w:rPr>
          <w:rFonts w:ascii="Times New Roman" w:cs="Times New Roman" w:eastAsia="Times New Roman" w:hAnsi="Times New Roman"/>
          <w:sz w:val="18"/>
          <w:szCs w:val="18"/>
          <w:color w:val="auto"/>
        </w:rPr>
        <w:t>Ms. De Greef-Safft was elected to the Board of Directors in 2025 and serves as a member of the Audit Committee. From 2018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2024, she provided strategic and operational consulting services to private equity firms, including Windjammer Capital, and their portfolio companies. She was Group President of the Food Service Equipment Group for Standex International from 2015 to 2017. Prior to Standex, she held four successive positions at Danaher over a period of 12 years. She previously served in a variety of engineering, marketing, sales and business development roles within several global manufacturing companies. Ms. De Greef-Safft also serves on the board of Benchmark Electronics. A native of Belgium, Ms. De Greef-Safft has a bachelor’s and master’s degree in electronics engineering from the Catholic University of Louvain in Belgium, and a master of business administration from Babson College in Wellesley, Massachusetts. Ms. De Greef-Safft brings to the Company broad business acumen in global innovation-driven industrial companies as well as public company governance experience. Ms. De Greef-Safft was originally identified as a director nominee by a third-party search firm through a process conducted by the Corporate Governance Committee of the Board of Directors.</w:t>
      </w:r>
    </w:p>
    <w:p>
      <w:pPr>
        <w:spacing w:after="0" w:line="13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Christopher M. Hix – </w:t>
      </w:r>
      <w:r>
        <w:rPr>
          <w:rFonts w:ascii="Times New Roman" w:cs="Times New Roman" w:eastAsia="Times New Roman" w:hAnsi="Times New Roman"/>
          <w:sz w:val="18"/>
          <w:szCs w:val="18"/>
          <w:color w:val="auto"/>
        </w:rPr>
        <w:t>Mr. Hix was elected to the Board of Directors in May 2024. He serves as the Chair of the Audit Committee and is a member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Finance Committee. He served as the Executive Vice President and Chief Financial Officer of Enovis Corporation from 2016 to 2022 (and its predecessor Colfax Corporation). He previously served as the Senior Vice President and Chief Financial Officer of OM Group, and as the Senior Vice President and Chief Financial Officer of Robbins &amp; Myers. Prior to Robbins &amp; Myers, he spent 14 years with Roper Industries (now Roper Technologies) in a variety of operating, financial and strategic roles. Mr. Hix served on the board of ESAB Corporation from 2021 through 2024. Mr. Hix has a bachelor’s degree in business administration from the University of Southern California and a master of business administration from St. Mary’s College of California. He brings to the Company extensive knowledge and background in finance, global business operations, and mergers and acquisitions from his past experiences as the CFO of public companies.</w:t>
      </w:r>
    </w:p>
    <w:p>
      <w:pPr>
        <w:spacing w:after="0" w:line="13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Vineet Nargolwala – </w:t>
      </w:r>
      <w:r>
        <w:rPr>
          <w:rFonts w:ascii="Times New Roman" w:cs="Times New Roman" w:eastAsia="Times New Roman" w:hAnsi="Times New Roman"/>
          <w:sz w:val="18"/>
          <w:szCs w:val="18"/>
          <w:color w:val="auto"/>
        </w:rPr>
        <w:t>Mr. Nargolwala was elected to the Board of Directors in 2022. He serves as a member of the Finance and Management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and Compensation Committees. Mr. Nargolwala served as President, Chief Executive Officer and Director of Allegro MicroSystems, Inc. from 2022 to February 2025. Prior to joining Allegro, Mr. Nargolwala was with Sensata Technologies from 2013 to June 2022, most recently serving as the Executive Vice President, Sensing Solutions, from March 2020 to June 2022. Before joining Sensata, he was with Honeywell International, Inc., in business strategy and leadership roles of increasing responsibility. Mr. Nargolwala has a bachelor’s degree in electrical engineering from Maharaja Sayajirao University, a master of science in electrical engineering from the University of Texas-Arlington and a master in business administration from Cornell University. Mr. Nargolwala’s extensive experience in high-technology global business and strong leadership skills, provides the Board with important expertise in product and services innovation.</w:t>
      </w:r>
    </w:p>
    <w:p>
      <w:pPr>
        <w:spacing w:after="0" w:line="13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Bradley C. Richardson – </w:t>
      </w:r>
      <w:r>
        <w:rPr>
          <w:rFonts w:ascii="Times New Roman" w:cs="Times New Roman" w:eastAsia="Times New Roman" w:hAnsi="Times New Roman"/>
          <w:sz w:val="18"/>
          <w:szCs w:val="18"/>
          <w:color w:val="auto"/>
        </w:rPr>
        <w:t>Mr. Richardson was elected to the Board of Directors in 2007 and became Chairman of the Board in May 2021. He serves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Chair of the Board of Directors and is a member of the Audit, Corporate Governance, Finance and Management Development and Compensation Committees. He served as the Executive Vice President and CFO of Avient Corporation from 2013 through 2020. He previously served as the Executive Vice President and CFO of Diebold, Inc. and as Executive Vice President Corporate Strategy and CFO of Modine Manufacturing. Prior to Modine, he spent 21 years with BP Amoco serving in various financial and operational roles. Mr. Richardson has served on the boards of Modine Manufacturing and Tronox, Inc. In 2023, Mr. Richardson was elected to the Board of Directors of Virco Mfg. Corporation. Mr. Richardson has a bachelor’s degree in finance and economics from Miami University and a master of business administration in accounting and finance from Indiana University. He brings to the Company extensive knowledge and global experience in the areas of operations, strategy, accounting, tax accounting and finance, which are areas of critical importance to the Company as a global company.</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Michelle E. Williams, Ph.D – </w:t>
      </w:r>
      <w:r>
        <w:rPr>
          <w:rFonts w:ascii="Times New Roman" w:cs="Times New Roman" w:eastAsia="Times New Roman" w:hAnsi="Times New Roman"/>
          <w:sz w:val="18"/>
          <w:szCs w:val="18"/>
          <w:color w:val="auto"/>
        </w:rPr>
        <w:t>Dr. Williams was elected to the Board of Directors in 2019. She serves as the Chair of the Technology Committee and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member of the Corporate Governance Committee. Dr. Williams served as Global Group President of Altuglas International, a subsidiary of Arkema S.A., through May 2021. Prior to joining Arkema in 2011, she spent 23 years with Rohm and Haas Company and Dow Chemical in manufacturing, commercial, strategy and general management positions. She was General Manager, Chemical Mechanical Polishing Technologies, and later, General Manager, Adhesives and Sealants. In 2023, Dr. Williams was elected to the Board of Directors of Cabot Corporation. She has a bachelor’s degree in chemistry from Pace University and a doctorate in physical chemistry from the University of Utah. Dr. Williams’ experience in commercial, technology and business leadership roles provides the Board with important expertise in innovation, new product development and operations.</w:t>
      </w:r>
    </w:p>
    <w:p>
      <w:pPr>
        <w:spacing w:after="0" w:line="13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All directors are elected to serve until their respective successors are elected at the next annual meeting of shareholders. Officers serve at the discretion of the Board of Directors. None of the Company's directors or executive officers has any family relationship with any other director or executive officer.</w:t>
      </w:r>
    </w:p>
    <w:p>
      <w:pPr>
        <w:spacing w:after="0" w:line="10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Board Leadership Structure - </w:t>
      </w:r>
      <w:r>
        <w:rPr>
          <w:rFonts w:ascii="Times New Roman" w:cs="Times New Roman" w:eastAsia="Times New Roman" w:hAnsi="Times New Roman"/>
          <w:sz w:val="18"/>
          <w:szCs w:val="18"/>
          <w:color w:val="auto"/>
        </w:rPr>
        <w:t>The Board does not have a formal policy regarding the separation of the roles of Chief Executive Officer and Chair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Board, as the Board believes it is in the best interest of the Company to make that determination based on the position and direction of the Company and the membership of the Board. Since September 2015, the Board’s leadership structure has included a non-executive Chair of the Board of Directors. Mr. Richardson, an independent director, currently serves in the position of non-executive Chair of the Board. The duties of the non-executive Chair include, among others: chairing meetings of the Board and executive sessions of the non-management directors; meeting periodically with the Chief Executive Officer and consulting as necessary with management on issues facing the Company; facilitating effective communication among the Chief Executive Officer and all members of the Board; and overseeing the Board's shareholder communication policies and procedures.</w:t>
      </w:r>
    </w:p>
    <w:p>
      <w:pPr>
        <w:spacing w:after="0" w:line="13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Board believes that its current leadership structure enhances the Board's oversight of, and independence from, Company management; the ability of the Board to carry out its roles and responsibilities on behalf of the Company’s shareholders; and the Company’s overall corporate governance.</w:t>
      </w:r>
    </w:p>
    <w:p>
      <w:pPr>
        <w:spacing w:after="0" w:line="10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Risk Oversight - </w:t>
      </w:r>
      <w:r>
        <w:rPr>
          <w:rFonts w:ascii="Times New Roman" w:cs="Times New Roman" w:eastAsia="Times New Roman" w:hAnsi="Times New Roman"/>
          <w:sz w:val="18"/>
          <w:szCs w:val="18"/>
          <w:color w:val="auto"/>
        </w:rPr>
        <w:t>The Board oversees the Company's risk management processes directly and through its committees. In general, the Board oversees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of risks inherent in the operation of the Company's businesses, the implementation of its strategic plan, its acquisition and capital allocation program and its organizational structure. Each of the Board's committees also oversees the management of Company risks that fall within the respective committee's areas of responsibility. Specifically, cybersecurity is a critical part of risk management for the Company. The Audit Committee is aware of the rapidly evolving nature of threats presented by cybersecurity incidents and is committed to the prevention, timely detection, and mitigation of the effects of any such incidents on the Company. Additionally, the Audit Committee, Corporate Governance Committee, Management Development and Compensation Committee, and Technology Committee, each review certain risks, exposures and opportunities relating to the Company’s ESG strategies, initiatives, policies and practices. The Company's management is responsible for reporting significant risks to executive management as a part of the disclosure process. The significance of the risk is assessed by executive management and escalated to the respective Board committee or the Board of Directors as deemed appropriate. The Company reviews its risk assessment with the Audit Committee annually.</w:t>
      </w:r>
    </w:p>
    <w:p>
      <w:pPr>
        <w:spacing w:after="0" w:line="131"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Audit Committee Financial Expert - </w:t>
      </w:r>
      <w:r>
        <w:rPr>
          <w:rFonts w:ascii="Times New Roman" w:cs="Times New Roman" w:eastAsia="Times New Roman" w:hAnsi="Times New Roman"/>
          <w:sz w:val="18"/>
          <w:szCs w:val="18"/>
          <w:color w:val="auto"/>
        </w:rPr>
        <w:t>The Board of Directors has determined that at least one Audit Committee financial expert is serving on its Audit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Committee. Messrs. Hix, Chair of the Audit Committee; Allender, member of the Audit Committee; and Richardson, member of the Audit Committee, are financial experts under the rules of the SEC and financially literate and independent under the rules of the NYSE.</w:t>
      </w:r>
    </w:p>
    <w:p>
      <w:pPr>
        <w:spacing w:after="0" w:line="11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Director Independence - </w:t>
      </w:r>
      <w:r>
        <w:rPr>
          <w:rFonts w:ascii="Times New Roman" w:cs="Times New Roman" w:eastAsia="Times New Roman" w:hAnsi="Times New Roman"/>
          <w:sz w:val="18"/>
          <w:szCs w:val="18"/>
          <w:color w:val="auto"/>
        </w:rPr>
        <w:t>A majority of the directors must meet the criteria for independence established by the Board in accordance with the rules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NYSE. In determining the independence of a director, the Board must find that a director has no relationship that may interfere with the exercise of his or her independence from management and the Company. In undertaking this determination with respect to the Company’s directors other than Mr. Shaller, President and CEO, the Board considered the commercial relationships of the Company, if any, with those entities that have employed the Company’s directors. The commercial relationships, which involved the purchase and sale of products on customary terms, did not exceed the maximum amounts proscribed by the director independence rules of the NYSE. Furthermore, the compensation paid to the Company’s directors by their employers was not linked in any way to the commercial relationships their employers had with the Company. After consideration of these factors, the Board concluded that the commercial relationships were not material and did not prevent the Company’s directors from being considered independent. Based on application of the NYSE independence criteria, all directors, with the exception of Mr. Shaller, are deemed independent. All members of the Audit, Management Development and Compensation, and Corporate Governance Committees are deemed independent.</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Meetings of Non-management Directors - </w:t>
      </w:r>
      <w:r>
        <w:rPr>
          <w:rFonts w:ascii="Times New Roman" w:cs="Times New Roman" w:eastAsia="Times New Roman" w:hAnsi="Times New Roman"/>
          <w:sz w:val="18"/>
          <w:szCs w:val="18"/>
          <w:color w:val="auto"/>
        </w:rPr>
        <w:t>The non-management directors of the Board regularly meet without any members of management present.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Chair of the Board, Mr. Richardson, is the presiding director at these sessions. In fiscal 2025, executive sessions were conducted at all regularly scheduled Board meetings. Interested parties can raise concerns to be addressed at these meetings by calling the confidential Brady hotline at 1-877-781-9309.</w:t>
      </w:r>
    </w:p>
    <w:p>
      <w:pPr>
        <w:spacing w:after="0" w:line="126" w:lineRule="exact"/>
        <w:rPr>
          <w:sz w:val="20"/>
          <w:szCs w:val="20"/>
          <w:color w:val="auto"/>
        </w:rPr>
      </w:pPr>
    </w:p>
    <w:p>
      <w:pPr>
        <w:jc w:val="both"/>
        <w:ind w:right="2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Audit Committee Members - </w:t>
      </w:r>
      <w:r>
        <w:rPr>
          <w:rFonts w:ascii="Times New Roman" w:cs="Times New Roman" w:eastAsia="Times New Roman" w:hAnsi="Times New Roman"/>
          <w:sz w:val="18"/>
          <w:szCs w:val="18"/>
          <w:color w:val="auto"/>
        </w:rPr>
        <w:t>The Audit Committee, which is a separately-designated standing committee of the Board of Directors, is composed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Messrs. Hix (Chair), Allender, Bem and Richardson and Mses. Collins Smee and De Greef-Safft. Each member of the Audit Committee has been determined by the Board to be independent under the rules of the SEC and NYSE.</w:t>
      </w:r>
    </w:p>
    <w:p>
      <w:pPr>
        <w:spacing w:after="0" w:line="11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Code of Ethics - </w:t>
      </w:r>
      <w:r>
        <w:rPr>
          <w:rFonts w:ascii="Times New Roman" w:cs="Times New Roman" w:eastAsia="Times New Roman" w:hAnsi="Times New Roman"/>
          <w:sz w:val="18"/>
          <w:szCs w:val="18"/>
          <w:color w:val="auto"/>
        </w:rPr>
        <w:t>The Company has a code of ethics. This code of ethics applies to all of the Company's employees, officers and directors. The code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ethics can be viewed at the Company's corporate website, www.bradyid.com, or may be obtained in print by any person, without charge, by contacting Brady Corporation, Investor Relations, P.O. Box 571, Milwaukee, WI 53201, or by contacting </w:t>
      </w:r>
      <w:r>
        <w:rPr>
          <w:rFonts w:ascii="Times New Roman" w:cs="Times New Roman" w:eastAsia="Times New Roman" w:hAnsi="Times New Roman"/>
          <w:sz w:val="18"/>
          <w:szCs w:val="18"/>
          <w:u w:val="single" w:color="auto"/>
          <w:color w:val="0000FF"/>
        </w:rPr>
        <w:t>investor@bradycorp.com</w:t>
      </w:r>
      <w:r>
        <w:rPr>
          <w:rFonts w:ascii="Times New Roman" w:cs="Times New Roman" w:eastAsia="Times New Roman" w:hAnsi="Times New Roman"/>
          <w:sz w:val="18"/>
          <w:szCs w:val="18"/>
          <w:color w:val="auto"/>
        </w:rPr>
        <w:t>. The Company intends to satisfy the disclosure requirements under Item 5.05 of Form 8-K regarding an amendment to, or a waiver from, a provision of its code of ethics by placing such information on its website.</w:t>
      </w:r>
    </w:p>
    <w:p>
      <w:pPr>
        <w:spacing w:after="0" w:line="1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Insider Trading Policy - </w:t>
      </w:r>
      <w:r>
        <w:rPr>
          <w:rFonts w:ascii="Times New Roman" w:cs="Times New Roman" w:eastAsia="Times New Roman" w:hAnsi="Times New Roman"/>
          <w:sz w:val="18"/>
          <w:szCs w:val="18"/>
          <w:color w:val="auto"/>
        </w:rPr>
        <w:t>The Company’s Board of Directors has adopted an insider trading policy which governs the purchase, sale and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dispositions of our securities by the Company, directors, officers and employees, and is reasonably designed to promote compliance with insider trading laws, rules and regulations, and the listing standards applicable to us. Our insider trading policy has been filed as Exhibit 19 to this Annual Report on Form 10-K. We reserve the right to purchase securities outside of the scope of the insider trading policy subject to compliance with applicable laws.</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Corporate Governance Guidelines - </w:t>
      </w:r>
      <w:r>
        <w:rPr>
          <w:rFonts w:ascii="Times New Roman" w:cs="Times New Roman" w:eastAsia="Times New Roman" w:hAnsi="Times New Roman"/>
          <w:sz w:val="18"/>
          <w:szCs w:val="18"/>
          <w:color w:val="auto"/>
        </w:rPr>
        <w:t>Brady's Corporate Governance Principles, as well as the charters of the Audit, Corporate Governance, Finance,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Management Development and Compensation, and Technology Committees, are available on the Company's Corporate website, www.bradyid.com. Shareholders may request printed copies of these documents from Brady Corporation, Investor Relations, P.O. Box 571, Milwaukee, WI 53201 or by contacting </w:t>
      </w:r>
      <w:r>
        <w:rPr>
          <w:rFonts w:ascii="Times New Roman" w:cs="Times New Roman" w:eastAsia="Times New Roman" w:hAnsi="Times New Roman"/>
          <w:sz w:val="18"/>
          <w:szCs w:val="18"/>
          <w:u w:val="single" w:color="auto"/>
          <w:color w:val="0000FF"/>
        </w:rPr>
        <w:t>investor@bradycorp.com</w:t>
      </w:r>
      <w:r>
        <w:rPr>
          <w:rFonts w:ascii="Times New Roman" w:cs="Times New Roman" w:eastAsia="Times New Roman" w:hAnsi="Times New Roman"/>
          <w:sz w:val="18"/>
          <w:szCs w:val="18"/>
          <w:color w:val="auto"/>
        </w:rPr>
        <w:t>.</w:t>
      </w:r>
    </w:p>
    <w:p>
      <w:pPr>
        <w:spacing w:after="0" w:line="126"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Director Qualifications - </w:t>
      </w:r>
      <w:r>
        <w:rPr>
          <w:rFonts w:ascii="Times New Roman" w:cs="Times New Roman" w:eastAsia="Times New Roman" w:hAnsi="Times New Roman"/>
          <w:sz w:val="18"/>
          <w:szCs w:val="18"/>
          <w:color w:val="auto"/>
        </w:rPr>
        <w:t>Brady's Corporate Governance Committee reviews the individual skills and characteristics of the directors, as well 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composition of the Board as a whole. This assessment includes a consideration of independence, age, skills, expertise, and industry backgrounds in the context of the needs of the Board and the Company. The Corporate Governance Committee seeks a broad range of perspectives and considers both the personal characteristics and experience of directors and prospective nominees to the Board so that, as a group, the Board will possess the appropriate talent, skills and expertise to oversee the Company's businesses. The Board does not discriminate on the basis of race, national origin, gender, religion, disability, or sexual orientation in selecting director candidates.</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To the Company’s knowledge, based solely on a review of the Section 16(a) filings and written representations that no other reports were required, during the fiscal year ended July 31, 2025, all Section 16(a) filing requirements were complied with applicable to the Company's officers, directors and greater than 10 percent beneficial owners.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11. </w:t>
      </w:r>
      <w:r>
        <w:rPr>
          <w:rFonts w:ascii="Times New Roman" w:cs="Times New Roman" w:eastAsia="Times New Roman" w:hAnsi="Times New Roman"/>
          <w:sz w:val="18"/>
          <w:szCs w:val="18"/>
          <w:b w:val="1"/>
          <w:bCs w:val="1"/>
          <w:i w:val="1"/>
          <w:iCs w:val="1"/>
          <w:color w:val="auto"/>
        </w:rPr>
        <w:t>Executive Compensation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Discussion and Analysis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Compensation Discussion and Analysis describes the Company's executive compensation pay-for-performance philosophy and practices, the elements of our executive compensation programs, and the compensation decisions the Management Development and Compensation Committee (the “Committee”) has made under those programs and the factors considered in making those decisions. The Compensation Discussion and Analysis also analyzes the total compensation of Brady’s Chief Executive Officer (principal executive officer), Chief Financial Officer (principal financial officer), and the three other most highly compensated executive officers that were serving as executive officers as of July 31, 2025.</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fiscal 2025, the following named executive officers' (the “NEOs”) compensation is disclosed and discussed in this section:</w:t>
      </w:r>
    </w:p>
    <w:p>
      <w:pPr>
        <w:spacing w:after="0" w:line="171"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Russell R. Shaller, President, Chief Executive Officer and Director;</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 E. Thornton, Chief Financial Officer, Chief Accounting Officer and Treasurer;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Olivier Bojarski, President - Americas &amp; Asia;</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Thomas F. DeBruine, Chief Operating Officer;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Andrew T. Gorman, General Counsel and Secretary.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2025 Business Highlights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Refer to Item 1 “General Development of Business” for a business overview and key initiatives during fiscal 2025. Highlights for fiscal 2025 include:</w:t>
      </w:r>
    </w:p>
    <w:p>
      <w:pPr>
        <w:spacing w:after="0" w:line="171" w:lineRule="exact"/>
        <w:rPr>
          <w:sz w:val="20"/>
          <w:szCs w:val="20"/>
          <w:color w:val="auto"/>
        </w:rPr>
      </w:pPr>
    </w:p>
    <w:p>
      <w:pPr>
        <w:ind w:left="660" w:hanging="328"/>
        <w:spacing w:after="0" w:line="261"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completed the acquisitions of Gravotech Holding (“Gravotech”), American Barcode and RFID Incorporated (“AB&amp;R”), and the Microfluidic Solutions business unit of Funai Electric Co., Ltd. (“Microfluidic Solutions”) during fiscal 2025.</w:t>
      </w:r>
    </w:p>
    <w:p>
      <w:pPr>
        <w:ind w:left="660" w:right="20" w:hanging="328"/>
        <w:spacing w:after="0" w:line="250"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R&amp;D increased 17.9% to $79.9 million in fiscal 2025 compared to $67.7 million in fiscal 2024, demonstrating the Company's continued focus on innovation.</w:t>
      </w:r>
    </w:p>
    <w:p>
      <w:pPr>
        <w:ind w:left="660" w:hanging="328"/>
        <w:spacing w:after="0" w:line="260"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were $1,513.6 million in fiscal 2025 compared to $1,341.4 million in fiscal 2024, an increase of 12.8%. Organic sales increased 2.6%, acquisitions increased sales by 10.5% and divestitures decreased sales by 0.3%.</w:t>
      </w:r>
    </w:p>
    <w:p>
      <w:pPr>
        <w:spacing w:after="0" w:line="12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Refer to Item 7 “Management's Discussion and Analysis of Financial Condition and Results of Operations” for further discussion of fiscal 2025 results.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2025 Executive Summary</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fiscal 2025, the Board of Directors approved a 17.2% increase in base salary for Mr. Shaller. In addition, Mr. Shaller recommended and the Committee approved increases in base salary for Ms. Thornton and Messrs. Bojarski and Gorman. All increases were made to recognize the performance, current scope of responsibilities and peer company data for each executive.</w:t>
      </w:r>
    </w:p>
    <w:p>
      <w:pPr>
        <w:spacing w:after="0" w:line="12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Company's fiscal 2025 annual equity grants consisted of 50% time-based restricted stock units (“RSUs”) and 50% performance-based restricted stock units (“PRSUs”) to align executive compensation with the creation of long-term shareholder value. The RSUs vest equally over three years and are intended to facilitate retention and align with the creation of long-term shareholder value. The PRSUs reinforce the Company's pay-for-performance philosophy because award payout increases and decreases based on Company performance. Specifically, the PRSU awards granted in fiscal 2025 will vest based on</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achievement of performance conditions relating to Company revenue and diluted earnings per share (“EPS”) targets as set forth in the below table:</w:t>
      </w:r>
    </w:p>
    <w:p>
      <w:pPr>
        <w:spacing w:after="0" w:line="216" w:lineRule="exact"/>
        <w:rPr>
          <w:sz w:val="20"/>
          <w:szCs w:val="20"/>
          <w:color w:val="auto"/>
        </w:rPr>
      </w:pPr>
    </w:p>
    <w:tbl>
      <w:tblPr>
        <w:tblLayout w:type="fixed"/>
        <w:tblInd w:w="2440" w:type="dxa"/>
        <w:tblCellMar>
          <w:top w:w="0" w:type="dxa"/>
          <w:left w:w="0" w:type="dxa"/>
          <w:bottom w:w="0" w:type="dxa"/>
          <w:right w:w="0" w:type="dxa"/>
        </w:tblCellMar>
      </w:tblPr>
      <w:tr>
        <w:trPr>
          <w:trHeight w:val="229"/>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Performance Period</w:t>
            </w:r>
          </w:p>
        </w:tc>
        <w:tc>
          <w:tcPr>
            <w:tcW w:w="2460" w:type="dxa"/>
            <w:vAlign w:val="bottom"/>
            <w:shd w:val="clear" w:color="auto" w:fill="CCEEFF"/>
          </w:tcPr>
          <w:p>
            <w:pPr>
              <w:jc w:val="center"/>
              <w:ind w:left="1230"/>
              <w:spacing w:after="0"/>
              <w:rPr>
                <w:sz w:val="20"/>
                <w:szCs w:val="20"/>
                <w:color w:val="auto"/>
              </w:rPr>
            </w:pPr>
            <w:r>
              <w:rPr>
                <w:rFonts w:ascii="Times New Roman" w:cs="Times New Roman" w:eastAsia="Times New Roman" w:hAnsi="Times New Roman"/>
                <w:sz w:val="18"/>
                <w:szCs w:val="18"/>
                <w:b w:val="1"/>
                <w:bCs w:val="1"/>
                <w:color w:val="auto"/>
                <w:w w:val="97"/>
              </w:rPr>
              <w:t>Weighting</w:t>
            </w:r>
          </w:p>
        </w:tc>
      </w:tr>
      <w:tr>
        <w:trPr>
          <w:trHeight w:val="229"/>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August 1, 2024 through July 31, 2025</w:t>
            </w:r>
          </w:p>
        </w:tc>
        <w:tc>
          <w:tcPr>
            <w:tcW w:w="2460" w:type="dxa"/>
            <w:vAlign w:val="bottom"/>
          </w:tcPr>
          <w:p>
            <w:pPr>
              <w:jc w:val="center"/>
              <w:ind w:left="1230"/>
              <w:spacing w:after="0"/>
              <w:rPr>
                <w:sz w:val="20"/>
                <w:szCs w:val="20"/>
                <w:color w:val="auto"/>
              </w:rPr>
            </w:pPr>
            <w:r>
              <w:rPr>
                <w:rFonts w:ascii="Times New Roman" w:cs="Times New Roman" w:eastAsia="Times New Roman" w:hAnsi="Times New Roman"/>
                <w:sz w:val="18"/>
                <w:szCs w:val="18"/>
                <w:color w:val="auto"/>
              </w:rPr>
              <w:t>25%</w:t>
            </w:r>
          </w:p>
        </w:tc>
      </w:tr>
      <w:tr>
        <w:trPr>
          <w:trHeight w:val="230"/>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1, 2025 through July 31, 2026</w:t>
            </w:r>
          </w:p>
        </w:tc>
        <w:tc>
          <w:tcPr>
            <w:tcW w:w="2460" w:type="dxa"/>
            <w:vAlign w:val="bottom"/>
            <w:shd w:val="clear" w:color="auto" w:fill="CCEEFF"/>
          </w:tcPr>
          <w:p>
            <w:pPr>
              <w:jc w:val="center"/>
              <w:ind w:left="1230"/>
              <w:spacing w:after="0"/>
              <w:rPr>
                <w:sz w:val="20"/>
                <w:szCs w:val="20"/>
                <w:color w:val="auto"/>
              </w:rPr>
            </w:pPr>
            <w:r>
              <w:rPr>
                <w:rFonts w:ascii="Times New Roman" w:cs="Times New Roman" w:eastAsia="Times New Roman" w:hAnsi="Times New Roman"/>
                <w:sz w:val="18"/>
                <w:szCs w:val="18"/>
                <w:color w:val="auto"/>
              </w:rPr>
              <w:t>25%</w:t>
            </w:r>
          </w:p>
        </w:tc>
      </w:tr>
      <w:tr>
        <w:trPr>
          <w:trHeight w:val="229"/>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August 1, 2026 through July 31, 2027</w:t>
            </w:r>
          </w:p>
        </w:tc>
        <w:tc>
          <w:tcPr>
            <w:tcW w:w="2460" w:type="dxa"/>
            <w:vAlign w:val="bottom"/>
          </w:tcPr>
          <w:p>
            <w:pPr>
              <w:jc w:val="center"/>
              <w:ind w:left="1230"/>
              <w:spacing w:after="0"/>
              <w:rPr>
                <w:sz w:val="20"/>
                <w:szCs w:val="20"/>
                <w:color w:val="auto"/>
              </w:rPr>
            </w:pPr>
            <w:r>
              <w:rPr>
                <w:rFonts w:ascii="Times New Roman" w:cs="Times New Roman" w:eastAsia="Times New Roman" w:hAnsi="Times New Roman"/>
                <w:sz w:val="18"/>
                <w:szCs w:val="18"/>
                <w:color w:val="auto"/>
              </w:rPr>
              <w:t>25%</w:t>
            </w:r>
          </w:p>
        </w:tc>
      </w:tr>
      <w:tr>
        <w:trPr>
          <w:trHeight w:val="230"/>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1, 2024 through July 31, 2027</w:t>
            </w:r>
          </w:p>
        </w:tc>
        <w:tc>
          <w:tcPr>
            <w:tcW w:w="2460" w:type="dxa"/>
            <w:vAlign w:val="bottom"/>
            <w:shd w:val="clear" w:color="auto" w:fill="CCEEFF"/>
          </w:tcPr>
          <w:p>
            <w:pPr>
              <w:jc w:val="center"/>
              <w:ind w:left="1230"/>
              <w:spacing w:after="0"/>
              <w:rPr>
                <w:sz w:val="20"/>
                <w:szCs w:val="20"/>
                <w:color w:val="auto"/>
              </w:rPr>
            </w:pPr>
            <w:r>
              <w:rPr>
                <w:rFonts w:ascii="Times New Roman" w:cs="Times New Roman" w:eastAsia="Times New Roman" w:hAnsi="Times New Roman"/>
                <w:sz w:val="18"/>
                <w:szCs w:val="18"/>
                <w:color w:val="auto"/>
              </w:rPr>
              <w:t>25%</w:t>
            </w:r>
          </w:p>
        </w:tc>
      </w:tr>
    </w:tbl>
    <w:p>
      <w:pPr>
        <w:spacing w:after="0" w:line="2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Payout opportunities will range from 0% to 200% of the target award at the end of the three-year performance period.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Compensation Practices</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As part of the Company's pay-for-performance philosophy, the Company's compensation program includes several features that maintain alignment with shareholders: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Emphasis on Variable Compensation</w:t>
            </w:r>
          </w:p>
        </w:tc>
        <w:tc>
          <w:tcPr>
            <w:tcW w:w="8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 significant portion of each NEO's total compensation opportunity is tied to Company performance, which is</w:t>
            </w:r>
          </w:p>
        </w:tc>
      </w:tr>
      <w:tr>
        <w:trPr>
          <w:trHeight w:val="234"/>
        </w:trPr>
        <w:tc>
          <w:tcPr>
            <w:tcW w:w="3020" w:type="dxa"/>
            <w:vAlign w:val="bottom"/>
          </w:tcPr>
          <w:p>
            <w:pPr>
              <w:spacing w:after="0"/>
              <w:rPr>
                <w:sz w:val="20"/>
                <w:szCs w:val="20"/>
                <w:color w:val="auto"/>
              </w:rPr>
            </w:pPr>
          </w:p>
        </w:tc>
        <w:tc>
          <w:tcPr>
            <w:tcW w:w="8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intended to drive shareholder value.</w:t>
            </w:r>
          </w:p>
        </w:tc>
      </w:tr>
      <w:tr>
        <w:trPr>
          <w:trHeight w:val="292"/>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Ownership Requirements</w:t>
            </w:r>
          </w:p>
        </w:tc>
        <w:tc>
          <w:tcPr>
            <w:tcW w:w="8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Company believes that the interests of shareholders and executives are aligned when executives are</w:t>
            </w:r>
          </w:p>
        </w:tc>
      </w:tr>
      <w:tr>
        <w:trPr>
          <w:trHeight w:val="184"/>
        </w:trPr>
        <w:tc>
          <w:tcPr>
            <w:tcW w:w="3020" w:type="dxa"/>
            <w:vAlign w:val="bottom"/>
          </w:tcPr>
          <w:p>
            <w:pPr>
              <w:spacing w:after="0"/>
              <w:rPr>
                <w:sz w:val="16"/>
                <w:szCs w:val="16"/>
                <w:color w:val="auto"/>
              </w:rPr>
            </w:pPr>
          </w:p>
        </w:tc>
        <w:tc>
          <w:tcPr>
            <w:tcW w:w="8220" w:type="dxa"/>
            <w:vAlign w:val="bottom"/>
          </w:tcPr>
          <w:p>
            <w:pPr>
              <w:ind w:left="160"/>
              <w:spacing w:after="0" w:line="184" w:lineRule="exact"/>
              <w:rPr>
                <w:sz w:val="20"/>
                <w:szCs w:val="20"/>
                <w:color w:val="auto"/>
              </w:rPr>
            </w:pPr>
            <w:r>
              <w:rPr>
                <w:rFonts w:ascii="Times New Roman" w:cs="Times New Roman" w:eastAsia="Times New Roman" w:hAnsi="Times New Roman"/>
                <w:sz w:val="18"/>
                <w:szCs w:val="18"/>
                <w:color w:val="auto"/>
              </w:rPr>
              <w:t>shareholders in possession of a meaningful amount of Company stock. Furthermore, stock ownership</w:t>
            </w:r>
          </w:p>
        </w:tc>
      </w:tr>
      <w:tr>
        <w:trPr>
          <w:trHeight w:val="180"/>
        </w:trPr>
        <w:tc>
          <w:tcPr>
            <w:tcW w:w="3020" w:type="dxa"/>
            <w:vAlign w:val="bottom"/>
          </w:tcPr>
          <w:p>
            <w:pPr>
              <w:spacing w:after="0"/>
              <w:rPr>
                <w:sz w:val="15"/>
                <w:szCs w:val="15"/>
                <w:color w:val="auto"/>
              </w:rPr>
            </w:pPr>
          </w:p>
        </w:tc>
        <w:tc>
          <w:tcPr>
            <w:tcW w:w="8220" w:type="dxa"/>
            <w:vAlign w:val="bottom"/>
          </w:tcPr>
          <w:p>
            <w:pPr>
              <w:ind w:left="160"/>
              <w:spacing w:after="0" w:line="181" w:lineRule="exact"/>
              <w:rPr>
                <w:sz w:val="20"/>
                <w:szCs w:val="20"/>
                <w:color w:val="auto"/>
              </w:rPr>
            </w:pPr>
            <w:r>
              <w:rPr>
                <w:rFonts w:ascii="Times New Roman" w:cs="Times New Roman" w:eastAsia="Times New Roman" w:hAnsi="Times New Roman"/>
                <w:sz w:val="18"/>
                <w:szCs w:val="18"/>
                <w:color w:val="auto"/>
              </w:rPr>
              <w:t>requirements encourage positive performance behaviors and discourage executive officers from taking</w:t>
            </w:r>
          </w:p>
        </w:tc>
      </w:tr>
      <w:tr>
        <w:trPr>
          <w:trHeight w:val="175"/>
        </w:trPr>
        <w:tc>
          <w:tcPr>
            <w:tcW w:w="3020" w:type="dxa"/>
            <w:vAlign w:val="bottom"/>
          </w:tcPr>
          <w:p>
            <w:pPr>
              <w:spacing w:after="0"/>
              <w:rPr>
                <w:sz w:val="15"/>
                <w:szCs w:val="15"/>
                <w:color w:val="auto"/>
              </w:rPr>
            </w:pPr>
          </w:p>
        </w:tc>
        <w:tc>
          <w:tcPr>
            <w:tcW w:w="822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excessive risk. In order to encourage our executive officers and directors to acquire and retain ownership of a</w:t>
            </w:r>
          </w:p>
        </w:tc>
      </w:tr>
      <w:tr>
        <w:trPr>
          <w:trHeight w:val="184"/>
        </w:trPr>
        <w:tc>
          <w:tcPr>
            <w:tcW w:w="3020" w:type="dxa"/>
            <w:vAlign w:val="bottom"/>
          </w:tcPr>
          <w:p>
            <w:pPr>
              <w:spacing w:after="0"/>
              <w:rPr>
                <w:sz w:val="16"/>
                <w:szCs w:val="16"/>
                <w:color w:val="auto"/>
              </w:rPr>
            </w:pPr>
          </w:p>
        </w:tc>
        <w:tc>
          <w:tcPr>
            <w:tcW w:w="8220" w:type="dxa"/>
            <w:vAlign w:val="bottom"/>
          </w:tcPr>
          <w:p>
            <w:pPr>
              <w:ind w:left="160"/>
              <w:spacing w:after="0" w:line="184" w:lineRule="exact"/>
              <w:rPr>
                <w:sz w:val="20"/>
                <w:szCs w:val="20"/>
                <w:color w:val="auto"/>
              </w:rPr>
            </w:pPr>
            <w:r>
              <w:rPr>
                <w:rFonts w:ascii="Times New Roman" w:cs="Times New Roman" w:eastAsia="Times New Roman" w:hAnsi="Times New Roman"/>
                <w:sz w:val="18"/>
                <w:szCs w:val="18"/>
                <w:color w:val="auto"/>
              </w:rPr>
              <w:t>significant number of shares of the Company's stock, stock ownership requirements have been established and</w:t>
            </w:r>
          </w:p>
        </w:tc>
      </w:tr>
      <w:tr>
        <w:trPr>
          <w:trHeight w:val="180"/>
        </w:trPr>
        <w:tc>
          <w:tcPr>
            <w:tcW w:w="3020" w:type="dxa"/>
            <w:vAlign w:val="bottom"/>
          </w:tcPr>
          <w:p>
            <w:pPr>
              <w:spacing w:after="0"/>
              <w:rPr>
                <w:sz w:val="15"/>
                <w:szCs w:val="15"/>
                <w:color w:val="auto"/>
              </w:rPr>
            </w:pPr>
          </w:p>
        </w:tc>
        <w:tc>
          <w:tcPr>
            <w:tcW w:w="8220" w:type="dxa"/>
            <w:vAlign w:val="bottom"/>
          </w:tcPr>
          <w:p>
            <w:pPr>
              <w:ind w:left="160"/>
              <w:spacing w:after="0" w:line="181" w:lineRule="exact"/>
              <w:rPr>
                <w:sz w:val="20"/>
                <w:szCs w:val="20"/>
                <w:color w:val="auto"/>
              </w:rPr>
            </w:pPr>
            <w:r>
              <w:rPr>
                <w:rFonts w:ascii="Times New Roman" w:cs="Times New Roman" w:eastAsia="Times New Roman" w:hAnsi="Times New Roman"/>
                <w:sz w:val="18"/>
                <w:szCs w:val="18"/>
                <w:color w:val="auto"/>
              </w:rPr>
              <w:t>are equal to a specified multiple of the executive officer's base salary. Our NEOs are expected to obtain the</w:t>
            </w:r>
          </w:p>
        </w:tc>
      </w:tr>
      <w:tr>
        <w:trPr>
          <w:trHeight w:val="175"/>
        </w:trPr>
        <w:tc>
          <w:tcPr>
            <w:tcW w:w="3020" w:type="dxa"/>
            <w:vAlign w:val="bottom"/>
          </w:tcPr>
          <w:p>
            <w:pPr>
              <w:spacing w:after="0"/>
              <w:rPr>
                <w:sz w:val="15"/>
                <w:szCs w:val="15"/>
                <w:color w:val="auto"/>
              </w:rPr>
            </w:pPr>
          </w:p>
        </w:tc>
        <w:tc>
          <w:tcPr>
            <w:tcW w:w="822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required ownership levels within five years of becoming an executive officer. Refer to the heading “Stock</w:t>
            </w:r>
          </w:p>
        </w:tc>
      </w:tr>
      <w:tr>
        <w:trPr>
          <w:trHeight w:val="184"/>
        </w:trPr>
        <w:tc>
          <w:tcPr>
            <w:tcW w:w="3020" w:type="dxa"/>
            <w:vAlign w:val="bottom"/>
          </w:tcPr>
          <w:p>
            <w:pPr>
              <w:spacing w:after="0"/>
              <w:rPr>
                <w:sz w:val="16"/>
                <w:szCs w:val="16"/>
                <w:color w:val="auto"/>
              </w:rPr>
            </w:pPr>
          </w:p>
        </w:tc>
        <w:tc>
          <w:tcPr>
            <w:tcW w:w="8220" w:type="dxa"/>
            <w:vAlign w:val="bottom"/>
          </w:tcPr>
          <w:p>
            <w:pPr>
              <w:ind w:left="160"/>
              <w:spacing w:after="0" w:line="184" w:lineRule="exact"/>
              <w:rPr>
                <w:sz w:val="20"/>
                <w:szCs w:val="20"/>
                <w:color w:val="auto"/>
              </w:rPr>
            </w:pPr>
            <w:r>
              <w:rPr>
                <w:rFonts w:ascii="Times New Roman" w:cs="Times New Roman" w:eastAsia="Times New Roman" w:hAnsi="Times New Roman"/>
                <w:sz w:val="18"/>
                <w:szCs w:val="18"/>
                <w:color w:val="auto"/>
                <w:w w:val="99"/>
              </w:rPr>
              <w:t>Ownership Requirements” for further discussion of the stock ownership requirements established for each NEO</w:t>
            </w:r>
          </w:p>
        </w:tc>
      </w:tr>
      <w:tr>
        <w:trPr>
          <w:trHeight w:val="180"/>
        </w:trPr>
        <w:tc>
          <w:tcPr>
            <w:tcW w:w="3020" w:type="dxa"/>
            <w:vAlign w:val="bottom"/>
          </w:tcPr>
          <w:p>
            <w:pPr>
              <w:spacing w:after="0"/>
              <w:rPr>
                <w:sz w:val="15"/>
                <w:szCs w:val="15"/>
                <w:color w:val="auto"/>
              </w:rPr>
            </w:pPr>
          </w:p>
        </w:tc>
        <w:tc>
          <w:tcPr>
            <w:tcW w:w="8220" w:type="dxa"/>
            <w:vAlign w:val="bottom"/>
          </w:tcPr>
          <w:p>
            <w:pPr>
              <w:ind w:left="160"/>
              <w:spacing w:after="0" w:line="181" w:lineRule="exact"/>
              <w:rPr>
                <w:sz w:val="20"/>
                <w:szCs w:val="20"/>
                <w:color w:val="auto"/>
              </w:rPr>
            </w:pPr>
            <w:r>
              <w:rPr>
                <w:rFonts w:ascii="Times New Roman" w:cs="Times New Roman" w:eastAsia="Times New Roman" w:hAnsi="Times New Roman"/>
                <w:sz w:val="18"/>
                <w:szCs w:val="18"/>
                <w:color w:val="auto"/>
              </w:rPr>
              <w:t>and the actions that the Company may take when an executive is not in compliance with his or her respective</w:t>
            </w:r>
          </w:p>
        </w:tc>
      </w:tr>
      <w:tr>
        <w:trPr>
          <w:trHeight w:val="234"/>
        </w:trPr>
        <w:tc>
          <w:tcPr>
            <w:tcW w:w="3020" w:type="dxa"/>
            <w:vAlign w:val="bottom"/>
          </w:tcPr>
          <w:p>
            <w:pPr>
              <w:spacing w:after="0"/>
              <w:rPr>
                <w:sz w:val="20"/>
                <w:szCs w:val="20"/>
                <w:color w:val="auto"/>
              </w:rPr>
            </w:pPr>
          </w:p>
        </w:tc>
        <w:tc>
          <w:tcPr>
            <w:tcW w:w="8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stock ownership requirement.</w:t>
            </w:r>
          </w:p>
        </w:tc>
      </w:tr>
      <w:tr>
        <w:trPr>
          <w:trHeight w:val="279"/>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Clawback Provisions</w:t>
            </w:r>
          </w:p>
        </w:tc>
        <w:tc>
          <w:tcPr>
            <w:tcW w:w="8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During fiscal 2024, the Committee adopted the Brady Corporation Incentive Recovery Policy, which requires</w:t>
            </w:r>
          </w:p>
        </w:tc>
      </w:tr>
      <w:tr>
        <w:trPr>
          <w:trHeight w:val="184"/>
        </w:trPr>
        <w:tc>
          <w:tcPr>
            <w:tcW w:w="3020" w:type="dxa"/>
            <w:vAlign w:val="bottom"/>
          </w:tcPr>
          <w:p>
            <w:pPr>
              <w:spacing w:after="0"/>
              <w:rPr>
                <w:sz w:val="16"/>
                <w:szCs w:val="16"/>
                <w:color w:val="auto"/>
              </w:rPr>
            </w:pPr>
          </w:p>
        </w:tc>
        <w:tc>
          <w:tcPr>
            <w:tcW w:w="8220" w:type="dxa"/>
            <w:vAlign w:val="bottom"/>
          </w:tcPr>
          <w:p>
            <w:pPr>
              <w:ind w:left="160"/>
              <w:spacing w:after="0" w:line="184" w:lineRule="exact"/>
              <w:rPr>
                <w:sz w:val="20"/>
                <w:szCs w:val="20"/>
                <w:color w:val="auto"/>
              </w:rPr>
            </w:pPr>
            <w:r>
              <w:rPr>
                <w:rFonts w:ascii="Times New Roman" w:cs="Times New Roman" w:eastAsia="Times New Roman" w:hAnsi="Times New Roman"/>
                <w:sz w:val="18"/>
                <w:szCs w:val="18"/>
                <w:color w:val="auto"/>
              </w:rPr>
              <w:t>the Company to recover the amount of erroneously awarded incentive-based compensation received by certain</w:t>
            </w:r>
          </w:p>
        </w:tc>
      </w:tr>
      <w:tr>
        <w:trPr>
          <w:trHeight w:val="180"/>
        </w:trPr>
        <w:tc>
          <w:tcPr>
            <w:tcW w:w="3020" w:type="dxa"/>
            <w:vAlign w:val="bottom"/>
          </w:tcPr>
          <w:p>
            <w:pPr>
              <w:spacing w:after="0"/>
              <w:rPr>
                <w:sz w:val="15"/>
                <w:szCs w:val="15"/>
                <w:color w:val="auto"/>
              </w:rPr>
            </w:pPr>
          </w:p>
        </w:tc>
        <w:tc>
          <w:tcPr>
            <w:tcW w:w="8220" w:type="dxa"/>
            <w:vAlign w:val="bottom"/>
          </w:tcPr>
          <w:p>
            <w:pPr>
              <w:ind w:left="160"/>
              <w:spacing w:after="0" w:line="181" w:lineRule="exact"/>
              <w:rPr>
                <w:sz w:val="20"/>
                <w:szCs w:val="20"/>
                <w:color w:val="auto"/>
              </w:rPr>
            </w:pPr>
            <w:r>
              <w:rPr>
                <w:rFonts w:ascii="Times New Roman" w:cs="Times New Roman" w:eastAsia="Times New Roman" w:hAnsi="Times New Roman"/>
                <w:sz w:val="18"/>
                <w:szCs w:val="18"/>
                <w:color w:val="auto"/>
              </w:rPr>
              <w:t>covered officers, including the NEOs, in the event of certain accounting restatements. The Incentive Recovery</w:t>
            </w:r>
          </w:p>
        </w:tc>
      </w:tr>
      <w:tr>
        <w:trPr>
          <w:trHeight w:val="175"/>
        </w:trPr>
        <w:tc>
          <w:tcPr>
            <w:tcW w:w="3020" w:type="dxa"/>
            <w:vAlign w:val="bottom"/>
          </w:tcPr>
          <w:p>
            <w:pPr>
              <w:spacing w:after="0"/>
              <w:rPr>
                <w:sz w:val="15"/>
                <w:szCs w:val="15"/>
                <w:color w:val="auto"/>
              </w:rPr>
            </w:pPr>
          </w:p>
        </w:tc>
        <w:tc>
          <w:tcPr>
            <w:tcW w:w="822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Policy satisfies NYSE listing requirements implementing SEC rules adopted under the Dodd-Frank Wall Street</w:t>
            </w:r>
          </w:p>
        </w:tc>
      </w:tr>
      <w:tr>
        <w:trPr>
          <w:trHeight w:val="184"/>
        </w:trPr>
        <w:tc>
          <w:tcPr>
            <w:tcW w:w="3020" w:type="dxa"/>
            <w:vAlign w:val="bottom"/>
          </w:tcPr>
          <w:p>
            <w:pPr>
              <w:spacing w:after="0"/>
              <w:rPr>
                <w:sz w:val="16"/>
                <w:szCs w:val="16"/>
                <w:color w:val="auto"/>
              </w:rPr>
            </w:pPr>
          </w:p>
        </w:tc>
        <w:tc>
          <w:tcPr>
            <w:tcW w:w="8220" w:type="dxa"/>
            <w:vAlign w:val="bottom"/>
          </w:tcPr>
          <w:p>
            <w:pPr>
              <w:ind w:left="160"/>
              <w:spacing w:after="0" w:line="184" w:lineRule="exact"/>
              <w:rPr>
                <w:sz w:val="20"/>
                <w:szCs w:val="20"/>
                <w:color w:val="auto"/>
              </w:rPr>
            </w:pPr>
            <w:r>
              <w:rPr>
                <w:rFonts w:ascii="Times New Roman" w:cs="Times New Roman" w:eastAsia="Times New Roman" w:hAnsi="Times New Roman"/>
                <w:sz w:val="18"/>
                <w:szCs w:val="18"/>
                <w:color w:val="auto"/>
              </w:rPr>
              <w:t>and Consumer Protection Act and applies to incentive-based compensation received on or after the effective</w:t>
            </w:r>
          </w:p>
        </w:tc>
      </w:tr>
      <w:tr>
        <w:trPr>
          <w:trHeight w:val="180"/>
        </w:trPr>
        <w:tc>
          <w:tcPr>
            <w:tcW w:w="3020" w:type="dxa"/>
            <w:vAlign w:val="bottom"/>
          </w:tcPr>
          <w:p>
            <w:pPr>
              <w:spacing w:after="0"/>
              <w:rPr>
                <w:sz w:val="15"/>
                <w:szCs w:val="15"/>
                <w:color w:val="auto"/>
              </w:rPr>
            </w:pPr>
          </w:p>
        </w:tc>
        <w:tc>
          <w:tcPr>
            <w:tcW w:w="8220" w:type="dxa"/>
            <w:vAlign w:val="bottom"/>
          </w:tcPr>
          <w:p>
            <w:pPr>
              <w:ind w:left="160"/>
              <w:spacing w:after="0" w:line="181" w:lineRule="exact"/>
              <w:rPr>
                <w:sz w:val="20"/>
                <w:szCs w:val="20"/>
                <w:color w:val="auto"/>
              </w:rPr>
            </w:pPr>
            <w:r>
              <w:rPr>
                <w:rFonts w:ascii="Times New Roman" w:cs="Times New Roman" w:eastAsia="Times New Roman" w:hAnsi="Times New Roman"/>
                <w:sz w:val="18"/>
                <w:szCs w:val="18"/>
                <w:color w:val="auto"/>
              </w:rPr>
              <w:t>date required by the listing requirements. The Incentive Recovery Policy is filed as Exhibit 97 to this Annual</w:t>
            </w:r>
          </w:p>
        </w:tc>
      </w:tr>
      <w:tr>
        <w:trPr>
          <w:trHeight w:val="234"/>
        </w:trPr>
        <w:tc>
          <w:tcPr>
            <w:tcW w:w="3020" w:type="dxa"/>
            <w:vAlign w:val="bottom"/>
          </w:tcPr>
          <w:p>
            <w:pPr>
              <w:spacing w:after="0"/>
              <w:rPr>
                <w:sz w:val="20"/>
                <w:szCs w:val="20"/>
                <w:color w:val="auto"/>
              </w:rPr>
            </w:pPr>
          </w:p>
        </w:tc>
        <w:tc>
          <w:tcPr>
            <w:tcW w:w="8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Report on Form 10-K and incorporated by reference.</w:t>
            </w:r>
          </w:p>
        </w:tc>
      </w:tr>
      <w:tr>
        <w:trPr>
          <w:trHeight w:val="301"/>
        </w:trPr>
        <w:tc>
          <w:tcPr>
            <w:tcW w:w="3020" w:type="dxa"/>
            <w:vAlign w:val="bottom"/>
          </w:tcPr>
          <w:p>
            <w:pPr>
              <w:spacing w:after="0"/>
              <w:rPr>
                <w:sz w:val="24"/>
                <w:szCs w:val="24"/>
                <w:color w:val="auto"/>
              </w:rPr>
            </w:pPr>
          </w:p>
        </w:tc>
        <w:tc>
          <w:tcPr>
            <w:tcW w:w="8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 addition to the Incentive Recovery Policy, there is a recoupment policy under which incentive compensation</w:t>
            </w:r>
          </w:p>
        </w:tc>
      </w:tr>
      <w:tr>
        <w:trPr>
          <w:trHeight w:val="180"/>
        </w:trPr>
        <w:tc>
          <w:tcPr>
            <w:tcW w:w="3020" w:type="dxa"/>
            <w:vAlign w:val="bottom"/>
          </w:tcPr>
          <w:p>
            <w:pPr>
              <w:spacing w:after="0"/>
              <w:rPr>
                <w:sz w:val="15"/>
                <w:szCs w:val="15"/>
                <w:color w:val="auto"/>
              </w:rPr>
            </w:pPr>
          </w:p>
        </w:tc>
        <w:tc>
          <w:tcPr>
            <w:tcW w:w="8220" w:type="dxa"/>
            <w:vAlign w:val="bottom"/>
          </w:tcPr>
          <w:p>
            <w:pPr>
              <w:ind w:left="160"/>
              <w:spacing w:after="0" w:line="181" w:lineRule="exact"/>
              <w:rPr>
                <w:sz w:val="20"/>
                <w:szCs w:val="20"/>
                <w:color w:val="auto"/>
              </w:rPr>
            </w:pPr>
            <w:r>
              <w:rPr>
                <w:rFonts w:ascii="Times New Roman" w:cs="Times New Roman" w:eastAsia="Times New Roman" w:hAnsi="Times New Roman"/>
                <w:sz w:val="18"/>
                <w:szCs w:val="18"/>
                <w:color w:val="auto"/>
              </w:rPr>
              <w:t>payments and/or awards may be recouped by the Company if such payments and/or awards were based on</w:t>
            </w:r>
          </w:p>
        </w:tc>
      </w:tr>
      <w:tr>
        <w:trPr>
          <w:trHeight w:val="176"/>
        </w:trPr>
        <w:tc>
          <w:tcPr>
            <w:tcW w:w="3020" w:type="dxa"/>
            <w:vAlign w:val="bottom"/>
          </w:tcPr>
          <w:p>
            <w:pPr>
              <w:spacing w:after="0"/>
              <w:rPr>
                <w:sz w:val="15"/>
                <w:szCs w:val="15"/>
                <w:color w:val="auto"/>
              </w:rPr>
            </w:pPr>
          </w:p>
        </w:tc>
        <w:tc>
          <w:tcPr>
            <w:tcW w:w="822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w w:val="99"/>
              </w:rPr>
              <w:t>erroneous results. The recoupment policy applies to executive officers and other key executives who participate</w:t>
            </w:r>
          </w:p>
        </w:tc>
      </w:tr>
      <w:tr>
        <w:trPr>
          <w:trHeight w:val="184"/>
        </w:trPr>
        <w:tc>
          <w:tcPr>
            <w:tcW w:w="3020" w:type="dxa"/>
            <w:vAlign w:val="bottom"/>
          </w:tcPr>
          <w:p>
            <w:pPr>
              <w:spacing w:after="0"/>
              <w:rPr>
                <w:sz w:val="16"/>
                <w:szCs w:val="16"/>
                <w:color w:val="auto"/>
              </w:rPr>
            </w:pPr>
          </w:p>
        </w:tc>
        <w:tc>
          <w:tcPr>
            <w:tcW w:w="8220" w:type="dxa"/>
            <w:vAlign w:val="bottom"/>
          </w:tcPr>
          <w:p>
            <w:pPr>
              <w:ind w:left="160"/>
              <w:spacing w:after="0" w:line="184" w:lineRule="exact"/>
              <w:rPr>
                <w:sz w:val="20"/>
                <w:szCs w:val="20"/>
                <w:color w:val="auto"/>
              </w:rPr>
            </w:pPr>
            <w:r>
              <w:rPr>
                <w:rFonts w:ascii="Times New Roman" w:cs="Times New Roman" w:eastAsia="Times New Roman" w:hAnsi="Times New Roman"/>
                <w:sz w:val="18"/>
                <w:szCs w:val="18"/>
                <w:color w:val="auto"/>
              </w:rPr>
              <w:t>in any of the Company's incentive plans and i) have engaged in intentional misconduct that results in a material</w:t>
            </w:r>
          </w:p>
        </w:tc>
      </w:tr>
      <w:tr>
        <w:trPr>
          <w:trHeight w:val="180"/>
        </w:trPr>
        <w:tc>
          <w:tcPr>
            <w:tcW w:w="3020" w:type="dxa"/>
            <w:vAlign w:val="bottom"/>
          </w:tcPr>
          <w:p>
            <w:pPr>
              <w:spacing w:after="0"/>
              <w:rPr>
                <w:sz w:val="15"/>
                <w:szCs w:val="15"/>
                <w:color w:val="auto"/>
              </w:rPr>
            </w:pPr>
          </w:p>
        </w:tc>
        <w:tc>
          <w:tcPr>
            <w:tcW w:w="8220" w:type="dxa"/>
            <w:vAlign w:val="bottom"/>
          </w:tcPr>
          <w:p>
            <w:pPr>
              <w:ind w:left="160"/>
              <w:spacing w:after="0" w:line="181" w:lineRule="exact"/>
              <w:rPr>
                <w:sz w:val="20"/>
                <w:szCs w:val="20"/>
                <w:color w:val="auto"/>
              </w:rPr>
            </w:pPr>
            <w:r>
              <w:rPr>
                <w:rFonts w:ascii="Times New Roman" w:cs="Times New Roman" w:eastAsia="Times New Roman" w:hAnsi="Times New Roman"/>
                <w:sz w:val="18"/>
                <w:szCs w:val="18"/>
                <w:color w:val="auto"/>
              </w:rPr>
              <w:t>inaccuracy in the Company's financial statements, ii) have engaged in fraudulent or other willful and deliberate</w:t>
            </w:r>
          </w:p>
        </w:tc>
      </w:tr>
      <w:tr>
        <w:trPr>
          <w:trHeight w:val="176"/>
        </w:trPr>
        <w:tc>
          <w:tcPr>
            <w:tcW w:w="3020" w:type="dxa"/>
            <w:vAlign w:val="bottom"/>
          </w:tcPr>
          <w:p>
            <w:pPr>
              <w:spacing w:after="0"/>
              <w:rPr>
                <w:sz w:val="15"/>
                <w:szCs w:val="15"/>
                <w:color w:val="auto"/>
              </w:rPr>
            </w:pPr>
          </w:p>
        </w:tc>
        <w:tc>
          <w:tcPr>
            <w:tcW w:w="822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conduct that is detrimental to the Company or iii) there is a material, negative revision of a performance</w:t>
            </w:r>
          </w:p>
        </w:tc>
      </w:tr>
      <w:tr>
        <w:trPr>
          <w:trHeight w:val="184"/>
        </w:trPr>
        <w:tc>
          <w:tcPr>
            <w:tcW w:w="3020" w:type="dxa"/>
            <w:vAlign w:val="bottom"/>
          </w:tcPr>
          <w:p>
            <w:pPr>
              <w:spacing w:after="0"/>
              <w:rPr>
                <w:sz w:val="16"/>
                <w:szCs w:val="16"/>
                <w:color w:val="auto"/>
              </w:rPr>
            </w:pPr>
          </w:p>
        </w:tc>
        <w:tc>
          <w:tcPr>
            <w:tcW w:w="8220" w:type="dxa"/>
            <w:vAlign w:val="bottom"/>
          </w:tcPr>
          <w:p>
            <w:pPr>
              <w:ind w:left="160"/>
              <w:spacing w:after="0" w:line="184" w:lineRule="exact"/>
              <w:rPr>
                <w:sz w:val="20"/>
                <w:szCs w:val="20"/>
                <w:color w:val="auto"/>
              </w:rPr>
            </w:pPr>
            <w:r>
              <w:rPr>
                <w:rFonts w:ascii="Times New Roman" w:cs="Times New Roman" w:eastAsia="Times New Roman" w:hAnsi="Times New Roman"/>
                <w:sz w:val="18"/>
                <w:szCs w:val="18"/>
                <w:color w:val="auto"/>
              </w:rPr>
              <w:t>measure for which incentive compensation was paid or awarded. Under the recoupment policy, the Committee</w:t>
            </w:r>
          </w:p>
        </w:tc>
      </w:tr>
      <w:tr>
        <w:trPr>
          <w:trHeight w:val="180"/>
        </w:trPr>
        <w:tc>
          <w:tcPr>
            <w:tcW w:w="3020" w:type="dxa"/>
            <w:vAlign w:val="bottom"/>
          </w:tcPr>
          <w:p>
            <w:pPr>
              <w:spacing w:after="0"/>
              <w:rPr>
                <w:sz w:val="15"/>
                <w:szCs w:val="15"/>
                <w:color w:val="auto"/>
              </w:rPr>
            </w:pPr>
          </w:p>
        </w:tc>
        <w:tc>
          <w:tcPr>
            <w:tcW w:w="8220" w:type="dxa"/>
            <w:vAlign w:val="bottom"/>
          </w:tcPr>
          <w:p>
            <w:pPr>
              <w:ind w:left="160"/>
              <w:spacing w:after="0" w:line="181" w:lineRule="exact"/>
              <w:rPr>
                <w:sz w:val="20"/>
                <w:szCs w:val="20"/>
                <w:color w:val="auto"/>
              </w:rPr>
            </w:pPr>
            <w:r>
              <w:rPr>
                <w:rFonts w:ascii="Times New Roman" w:cs="Times New Roman" w:eastAsia="Times New Roman" w:hAnsi="Times New Roman"/>
                <w:sz w:val="18"/>
                <w:szCs w:val="18"/>
                <w:color w:val="auto"/>
              </w:rPr>
              <w:t>may take a variety of actions including, among others, seeking repayment of incentive compensation (cash</w:t>
            </w:r>
          </w:p>
        </w:tc>
      </w:tr>
      <w:tr>
        <w:trPr>
          <w:trHeight w:val="175"/>
        </w:trPr>
        <w:tc>
          <w:tcPr>
            <w:tcW w:w="3020" w:type="dxa"/>
            <w:vAlign w:val="bottom"/>
          </w:tcPr>
          <w:p>
            <w:pPr>
              <w:spacing w:after="0"/>
              <w:rPr>
                <w:sz w:val="15"/>
                <w:szCs w:val="15"/>
                <w:color w:val="auto"/>
              </w:rPr>
            </w:pPr>
          </w:p>
        </w:tc>
        <w:tc>
          <w:tcPr>
            <w:tcW w:w="822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and/or equity) that is greater than what would have been awarded if the compensation had been based on</w:t>
            </w:r>
          </w:p>
        </w:tc>
      </w:tr>
      <w:tr>
        <w:trPr>
          <w:trHeight w:val="184"/>
        </w:trPr>
        <w:tc>
          <w:tcPr>
            <w:tcW w:w="3020" w:type="dxa"/>
            <w:vAlign w:val="bottom"/>
          </w:tcPr>
          <w:p>
            <w:pPr>
              <w:spacing w:after="0"/>
              <w:rPr>
                <w:sz w:val="16"/>
                <w:szCs w:val="16"/>
                <w:color w:val="auto"/>
              </w:rPr>
            </w:pPr>
          </w:p>
        </w:tc>
        <w:tc>
          <w:tcPr>
            <w:tcW w:w="8220" w:type="dxa"/>
            <w:vAlign w:val="bottom"/>
          </w:tcPr>
          <w:p>
            <w:pPr>
              <w:ind w:left="160"/>
              <w:spacing w:after="0" w:line="184" w:lineRule="exact"/>
              <w:rPr>
                <w:sz w:val="20"/>
                <w:szCs w:val="20"/>
                <w:color w:val="auto"/>
              </w:rPr>
            </w:pPr>
            <w:r>
              <w:rPr>
                <w:rFonts w:ascii="Times New Roman" w:cs="Times New Roman" w:eastAsia="Times New Roman" w:hAnsi="Times New Roman"/>
                <w:sz w:val="18"/>
                <w:szCs w:val="18"/>
                <w:color w:val="auto"/>
              </w:rPr>
              <w:t>accurate results and the forfeiture of incentive compensation. As this policy suggests, the Committee believes</w:t>
            </w:r>
          </w:p>
        </w:tc>
      </w:tr>
      <w:tr>
        <w:trPr>
          <w:trHeight w:val="180"/>
        </w:trPr>
        <w:tc>
          <w:tcPr>
            <w:tcW w:w="3020" w:type="dxa"/>
            <w:vAlign w:val="bottom"/>
          </w:tcPr>
          <w:p>
            <w:pPr>
              <w:spacing w:after="0"/>
              <w:rPr>
                <w:sz w:val="15"/>
                <w:szCs w:val="15"/>
                <w:color w:val="auto"/>
              </w:rPr>
            </w:pPr>
          </w:p>
        </w:tc>
        <w:tc>
          <w:tcPr>
            <w:tcW w:w="8220" w:type="dxa"/>
            <w:vAlign w:val="bottom"/>
          </w:tcPr>
          <w:p>
            <w:pPr>
              <w:ind w:left="160"/>
              <w:spacing w:after="0" w:line="181" w:lineRule="exact"/>
              <w:rPr>
                <w:sz w:val="20"/>
                <w:szCs w:val="20"/>
                <w:color w:val="auto"/>
              </w:rPr>
            </w:pPr>
            <w:r>
              <w:rPr>
                <w:rFonts w:ascii="Times New Roman" w:cs="Times New Roman" w:eastAsia="Times New Roman" w:hAnsi="Times New Roman"/>
                <w:sz w:val="18"/>
                <w:szCs w:val="18"/>
                <w:color w:val="auto"/>
              </w:rPr>
              <w:t>that any incentive compensation should be based only on accurate and reliable financial and operational</w:t>
            </w:r>
          </w:p>
        </w:tc>
      </w:tr>
      <w:tr>
        <w:trPr>
          <w:trHeight w:val="175"/>
        </w:trPr>
        <w:tc>
          <w:tcPr>
            <w:tcW w:w="3020" w:type="dxa"/>
            <w:vAlign w:val="bottom"/>
          </w:tcPr>
          <w:p>
            <w:pPr>
              <w:spacing w:after="0"/>
              <w:rPr>
                <w:sz w:val="15"/>
                <w:szCs w:val="15"/>
                <w:color w:val="auto"/>
              </w:rPr>
            </w:pPr>
          </w:p>
        </w:tc>
        <w:tc>
          <w:tcPr>
            <w:tcW w:w="822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information, and, thus, any inappropriately paid incentive compensation should be returned to the Company for</w:t>
            </w:r>
          </w:p>
        </w:tc>
      </w:tr>
      <w:tr>
        <w:trPr>
          <w:trHeight w:val="184"/>
        </w:trPr>
        <w:tc>
          <w:tcPr>
            <w:tcW w:w="3020" w:type="dxa"/>
            <w:vAlign w:val="bottom"/>
          </w:tcPr>
          <w:p>
            <w:pPr>
              <w:spacing w:after="0"/>
              <w:rPr>
                <w:sz w:val="16"/>
                <w:szCs w:val="16"/>
                <w:color w:val="auto"/>
              </w:rPr>
            </w:pPr>
          </w:p>
        </w:tc>
        <w:tc>
          <w:tcPr>
            <w:tcW w:w="8220" w:type="dxa"/>
            <w:vAlign w:val="bottom"/>
          </w:tcPr>
          <w:p>
            <w:pPr>
              <w:ind w:left="160"/>
              <w:spacing w:after="0" w:line="184" w:lineRule="exact"/>
              <w:rPr>
                <w:sz w:val="20"/>
                <w:szCs w:val="20"/>
                <w:color w:val="auto"/>
              </w:rPr>
            </w:pPr>
            <w:r>
              <w:rPr>
                <w:rFonts w:ascii="Times New Roman" w:cs="Times New Roman" w:eastAsia="Times New Roman" w:hAnsi="Times New Roman"/>
                <w:sz w:val="18"/>
                <w:szCs w:val="18"/>
                <w:color w:val="auto"/>
              </w:rPr>
              <w:t>the benefit of shareholders. The Committee believes that this recoupment policy enhances the Company's</w:t>
            </w:r>
          </w:p>
        </w:tc>
      </w:tr>
      <w:tr>
        <w:trPr>
          <w:trHeight w:val="234"/>
        </w:trPr>
        <w:tc>
          <w:tcPr>
            <w:tcW w:w="3020" w:type="dxa"/>
            <w:vAlign w:val="bottom"/>
          </w:tcPr>
          <w:p>
            <w:pPr>
              <w:spacing w:after="0"/>
              <w:rPr>
                <w:sz w:val="20"/>
                <w:szCs w:val="20"/>
                <w:color w:val="auto"/>
              </w:rPr>
            </w:pPr>
          </w:p>
        </w:tc>
        <w:tc>
          <w:tcPr>
            <w:tcW w:w="8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compensation risk mitigation efforts.</w:t>
            </w:r>
          </w:p>
        </w:tc>
      </w:tr>
      <w:tr>
        <w:trPr>
          <w:trHeight w:val="283"/>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 Thresholds and Caps</w:t>
            </w:r>
          </w:p>
        </w:tc>
        <w:tc>
          <w:tcPr>
            <w:tcW w:w="8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Excessive risk-taking is mitigated by utilizing caps on incentive plan payouts, multiple performance metrics,</w:t>
            </w:r>
          </w:p>
        </w:tc>
      </w:tr>
      <w:tr>
        <w:trPr>
          <w:trHeight w:val="184"/>
        </w:trPr>
        <w:tc>
          <w:tcPr>
            <w:tcW w:w="3020" w:type="dxa"/>
            <w:vAlign w:val="bottom"/>
          </w:tcPr>
          <w:p>
            <w:pPr>
              <w:spacing w:after="0"/>
              <w:rPr>
                <w:sz w:val="16"/>
                <w:szCs w:val="16"/>
                <w:color w:val="auto"/>
              </w:rPr>
            </w:pPr>
          </w:p>
        </w:tc>
        <w:tc>
          <w:tcPr>
            <w:tcW w:w="8220" w:type="dxa"/>
            <w:vAlign w:val="bottom"/>
          </w:tcPr>
          <w:p>
            <w:pPr>
              <w:ind w:left="160"/>
              <w:spacing w:after="0" w:line="184" w:lineRule="exact"/>
              <w:rPr>
                <w:sz w:val="20"/>
                <w:szCs w:val="20"/>
                <w:color w:val="auto"/>
              </w:rPr>
            </w:pPr>
            <w:r>
              <w:rPr>
                <w:rFonts w:ascii="Times New Roman" w:cs="Times New Roman" w:eastAsia="Times New Roman" w:hAnsi="Times New Roman"/>
                <w:sz w:val="18"/>
                <w:szCs w:val="18"/>
                <w:color w:val="auto"/>
              </w:rPr>
              <w:t>and different performance metrics for our annual cash incentive program and PRSUs. Our cash incentive</w:t>
            </w:r>
          </w:p>
        </w:tc>
      </w:tr>
      <w:tr>
        <w:trPr>
          <w:trHeight w:val="180"/>
        </w:trPr>
        <w:tc>
          <w:tcPr>
            <w:tcW w:w="3020" w:type="dxa"/>
            <w:vAlign w:val="bottom"/>
          </w:tcPr>
          <w:p>
            <w:pPr>
              <w:spacing w:after="0"/>
              <w:rPr>
                <w:sz w:val="15"/>
                <w:szCs w:val="15"/>
                <w:color w:val="auto"/>
              </w:rPr>
            </w:pPr>
          </w:p>
        </w:tc>
        <w:tc>
          <w:tcPr>
            <w:tcW w:w="8220" w:type="dxa"/>
            <w:vAlign w:val="bottom"/>
          </w:tcPr>
          <w:p>
            <w:pPr>
              <w:ind w:left="160"/>
              <w:spacing w:after="0" w:line="181" w:lineRule="exact"/>
              <w:rPr>
                <w:sz w:val="20"/>
                <w:szCs w:val="20"/>
                <w:color w:val="auto"/>
              </w:rPr>
            </w:pPr>
            <w:r>
              <w:rPr>
                <w:rFonts w:ascii="Times New Roman" w:cs="Times New Roman" w:eastAsia="Times New Roman" w:hAnsi="Times New Roman"/>
                <w:sz w:val="18"/>
                <w:szCs w:val="18"/>
                <w:color w:val="auto"/>
              </w:rPr>
              <w:t>awards are determined based on financial results for organic revenue, income before income taxes, division</w:t>
            </w:r>
          </w:p>
        </w:tc>
      </w:tr>
      <w:tr>
        <w:trPr>
          <w:trHeight w:val="175"/>
        </w:trPr>
        <w:tc>
          <w:tcPr>
            <w:tcW w:w="3020" w:type="dxa"/>
            <w:vAlign w:val="bottom"/>
          </w:tcPr>
          <w:p>
            <w:pPr>
              <w:spacing w:after="0"/>
              <w:rPr>
                <w:sz w:val="15"/>
                <w:szCs w:val="15"/>
                <w:color w:val="auto"/>
              </w:rPr>
            </w:pPr>
          </w:p>
        </w:tc>
        <w:tc>
          <w:tcPr>
            <w:tcW w:w="822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organic revenue and division operating income, which aggregate to a maximum payout of 200% of target.</w:t>
            </w:r>
          </w:p>
        </w:tc>
      </w:tr>
      <w:tr>
        <w:trPr>
          <w:trHeight w:val="184"/>
        </w:trPr>
        <w:tc>
          <w:tcPr>
            <w:tcW w:w="3020" w:type="dxa"/>
            <w:vAlign w:val="bottom"/>
          </w:tcPr>
          <w:p>
            <w:pPr>
              <w:spacing w:after="0"/>
              <w:rPr>
                <w:sz w:val="16"/>
                <w:szCs w:val="16"/>
                <w:color w:val="auto"/>
              </w:rPr>
            </w:pPr>
          </w:p>
        </w:tc>
        <w:tc>
          <w:tcPr>
            <w:tcW w:w="8220" w:type="dxa"/>
            <w:vAlign w:val="bottom"/>
          </w:tcPr>
          <w:p>
            <w:pPr>
              <w:ind w:left="160"/>
              <w:spacing w:after="0" w:line="184" w:lineRule="exact"/>
              <w:rPr>
                <w:sz w:val="20"/>
                <w:szCs w:val="20"/>
                <w:color w:val="auto"/>
              </w:rPr>
            </w:pPr>
            <w:r>
              <w:rPr>
                <w:rFonts w:ascii="Times New Roman" w:cs="Times New Roman" w:eastAsia="Times New Roman" w:hAnsi="Times New Roman"/>
                <w:sz w:val="18"/>
                <w:szCs w:val="18"/>
                <w:color w:val="auto"/>
              </w:rPr>
              <w:t>Executive officers then receive a performance rating that results in a multiplier ranging from 0% to 150%,</w:t>
            </w:r>
          </w:p>
        </w:tc>
      </w:tr>
      <w:tr>
        <w:trPr>
          <w:trHeight w:val="234"/>
        </w:trPr>
        <w:tc>
          <w:tcPr>
            <w:tcW w:w="3020" w:type="dxa"/>
            <w:vAlign w:val="bottom"/>
          </w:tcPr>
          <w:p>
            <w:pPr>
              <w:spacing w:after="0"/>
              <w:rPr>
                <w:sz w:val="20"/>
                <w:szCs w:val="20"/>
                <w:color w:val="auto"/>
              </w:rPr>
            </w:pPr>
          </w:p>
        </w:tc>
        <w:tc>
          <w:tcPr>
            <w:tcW w:w="8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resulting in a maximum payout of 300% of target.</w:t>
            </w:r>
          </w:p>
        </w:tc>
      </w:tr>
      <w:tr>
        <w:trPr>
          <w:trHeight w:val="297"/>
        </w:trPr>
        <w:tc>
          <w:tcPr>
            <w:tcW w:w="3020" w:type="dxa"/>
            <w:vAlign w:val="bottom"/>
          </w:tcPr>
          <w:p>
            <w:pPr>
              <w:spacing w:after="0"/>
              <w:rPr>
                <w:sz w:val="24"/>
                <w:szCs w:val="24"/>
                <w:color w:val="auto"/>
              </w:rPr>
            </w:pPr>
          </w:p>
        </w:tc>
        <w:tc>
          <w:tcPr>
            <w:tcW w:w="8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We  grant  equity  compensation  to  executive  officers  that  promotes  long-term  financial  and  operating</w:t>
            </w:r>
          </w:p>
        </w:tc>
      </w:tr>
      <w:tr>
        <w:trPr>
          <w:trHeight w:val="184"/>
        </w:trPr>
        <w:tc>
          <w:tcPr>
            <w:tcW w:w="3020" w:type="dxa"/>
            <w:vAlign w:val="bottom"/>
          </w:tcPr>
          <w:p>
            <w:pPr>
              <w:spacing w:after="0"/>
              <w:rPr>
                <w:sz w:val="16"/>
                <w:szCs w:val="16"/>
                <w:color w:val="auto"/>
              </w:rPr>
            </w:pPr>
          </w:p>
        </w:tc>
        <w:tc>
          <w:tcPr>
            <w:tcW w:w="8220" w:type="dxa"/>
            <w:vAlign w:val="bottom"/>
          </w:tcPr>
          <w:p>
            <w:pPr>
              <w:ind w:left="160"/>
              <w:spacing w:after="0" w:line="184" w:lineRule="exact"/>
              <w:rPr>
                <w:sz w:val="20"/>
                <w:szCs w:val="20"/>
                <w:color w:val="auto"/>
              </w:rPr>
            </w:pPr>
            <w:r>
              <w:rPr>
                <w:rFonts w:ascii="Times New Roman" w:cs="Times New Roman" w:eastAsia="Times New Roman" w:hAnsi="Times New Roman"/>
                <w:sz w:val="18"/>
                <w:szCs w:val="18"/>
                <w:color w:val="auto"/>
              </w:rPr>
              <w:t>performance by delivering incremental value to the extent that our stock price increases over time. PRSUs</w:t>
            </w:r>
          </w:p>
        </w:tc>
      </w:tr>
      <w:tr>
        <w:trPr>
          <w:trHeight w:val="180"/>
        </w:trPr>
        <w:tc>
          <w:tcPr>
            <w:tcW w:w="3020" w:type="dxa"/>
            <w:vAlign w:val="bottom"/>
          </w:tcPr>
          <w:p>
            <w:pPr>
              <w:spacing w:after="0"/>
              <w:rPr>
                <w:sz w:val="15"/>
                <w:szCs w:val="15"/>
                <w:color w:val="auto"/>
              </w:rPr>
            </w:pPr>
          </w:p>
        </w:tc>
        <w:tc>
          <w:tcPr>
            <w:tcW w:w="8220" w:type="dxa"/>
            <w:vAlign w:val="bottom"/>
          </w:tcPr>
          <w:p>
            <w:pPr>
              <w:ind w:left="160"/>
              <w:spacing w:after="0" w:line="181" w:lineRule="exact"/>
              <w:rPr>
                <w:sz w:val="20"/>
                <w:szCs w:val="20"/>
                <w:color w:val="auto"/>
              </w:rPr>
            </w:pPr>
            <w:r>
              <w:rPr>
                <w:rFonts w:ascii="Times New Roman" w:cs="Times New Roman" w:eastAsia="Times New Roman" w:hAnsi="Times New Roman"/>
                <w:sz w:val="18"/>
                <w:szCs w:val="18"/>
                <w:color w:val="auto"/>
              </w:rPr>
              <w:t>incorporate Company performance relative to a benchmark over a three-year period and have a maximum</w:t>
            </w:r>
          </w:p>
        </w:tc>
      </w:tr>
      <w:tr>
        <w:trPr>
          <w:trHeight w:val="234"/>
        </w:trPr>
        <w:tc>
          <w:tcPr>
            <w:tcW w:w="3020" w:type="dxa"/>
            <w:vAlign w:val="bottom"/>
          </w:tcPr>
          <w:p>
            <w:pPr>
              <w:spacing w:after="0"/>
              <w:rPr>
                <w:sz w:val="20"/>
                <w:szCs w:val="20"/>
                <w:color w:val="auto"/>
              </w:rPr>
            </w:pPr>
          </w:p>
        </w:tc>
        <w:tc>
          <w:tcPr>
            <w:tcW w:w="8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payout of 200% of target.</w:t>
            </w:r>
          </w:p>
        </w:tc>
      </w:tr>
      <w:tr>
        <w:trPr>
          <w:trHeight w:val="279"/>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Insider  Trading  and  Anti-Hedging</w:t>
            </w:r>
          </w:p>
        </w:tc>
        <w:tc>
          <w:tcPr>
            <w:tcW w:w="8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Our Insider Trading Policy prohibits executive officers from trading during certain periods each quarter until</w:t>
            </w:r>
          </w:p>
        </w:tc>
      </w:tr>
      <w:tr>
        <w:trPr>
          <w:trHeight w:val="184"/>
        </w:trPr>
        <w:tc>
          <w:tcPr>
            <w:tcW w:w="30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Policy</w:t>
            </w:r>
          </w:p>
        </w:tc>
        <w:tc>
          <w:tcPr>
            <w:tcW w:w="8220" w:type="dxa"/>
            <w:vAlign w:val="bottom"/>
          </w:tcPr>
          <w:p>
            <w:pPr>
              <w:ind w:left="160"/>
              <w:spacing w:after="0" w:line="184" w:lineRule="exact"/>
              <w:rPr>
                <w:sz w:val="20"/>
                <w:szCs w:val="20"/>
                <w:color w:val="auto"/>
              </w:rPr>
            </w:pPr>
            <w:r>
              <w:rPr>
                <w:rFonts w:ascii="Times New Roman" w:cs="Times New Roman" w:eastAsia="Times New Roman" w:hAnsi="Times New Roman"/>
                <w:sz w:val="18"/>
                <w:szCs w:val="18"/>
                <w:color w:val="auto"/>
              </w:rPr>
              <w:t>after we publicly disclose our financial and operating results. We may impose additional restricted trading</w:t>
            </w:r>
          </w:p>
        </w:tc>
      </w:tr>
      <w:tr>
        <w:trPr>
          <w:trHeight w:val="180"/>
        </w:trPr>
        <w:tc>
          <w:tcPr>
            <w:tcW w:w="3020" w:type="dxa"/>
            <w:vAlign w:val="bottom"/>
          </w:tcPr>
          <w:p>
            <w:pPr>
              <w:spacing w:after="0"/>
              <w:rPr>
                <w:sz w:val="15"/>
                <w:szCs w:val="15"/>
                <w:color w:val="auto"/>
              </w:rPr>
            </w:pPr>
          </w:p>
        </w:tc>
        <w:tc>
          <w:tcPr>
            <w:tcW w:w="8220" w:type="dxa"/>
            <w:vAlign w:val="bottom"/>
          </w:tcPr>
          <w:p>
            <w:pPr>
              <w:ind w:left="160"/>
              <w:spacing w:after="0" w:line="181" w:lineRule="exact"/>
              <w:rPr>
                <w:sz w:val="20"/>
                <w:szCs w:val="20"/>
                <w:color w:val="auto"/>
              </w:rPr>
            </w:pPr>
            <w:r>
              <w:rPr>
                <w:rFonts w:ascii="Times New Roman" w:cs="Times New Roman" w:eastAsia="Times New Roman" w:hAnsi="Times New Roman"/>
                <w:sz w:val="18"/>
                <w:szCs w:val="18"/>
                <w:color w:val="auto"/>
              </w:rPr>
              <w:t>periods at any time if we believe trading by executives would be inappropriate because of developments that</w:t>
            </w:r>
          </w:p>
        </w:tc>
      </w:tr>
      <w:tr>
        <w:trPr>
          <w:trHeight w:val="176"/>
        </w:trPr>
        <w:tc>
          <w:tcPr>
            <w:tcW w:w="3020" w:type="dxa"/>
            <w:vAlign w:val="bottom"/>
          </w:tcPr>
          <w:p>
            <w:pPr>
              <w:spacing w:after="0"/>
              <w:rPr>
                <w:sz w:val="15"/>
                <w:szCs w:val="15"/>
                <w:color w:val="auto"/>
              </w:rPr>
            </w:pPr>
          </w:p>
        </w:tc>
        <w:tc>
          <w:tcPr>
            <w:tcW w:w="822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are, or could be, material and which have not been publicly disclosed. The Insider Trading Policy also prohibits</w:t>
            </w:r>
          </w:p>
        </w:tc>
      </w:tr>
      <w:tr>
        <w:trPr>
          <w:trHeight w:val="184"/>
        </w:trPr>
        <w:tc>
          <w:tcPr>
            <w:tcW w:w="3020" w:type="dxa"/>
            <w:vAlign w:val="bottom"/>
          </w:tcPr>
          <w:p>
            <w:pPr>
              <w:spacing w:after="0"/>
              <w:rPr>
                <w:sz w:val="16"/>
                <w:szCs w:val="16"/>
                <w:color w:val="auto"/>
              </w:rPr>
            </w:pPr>
          </w:p>
        </w:tc>
        <w:tc>
          <w:tcPr>
            <w:tcW w:w="8220" w:type="dxa"/>
            <w:vAlign w:val="bottom"/>
          </w:tcPr>
          <w:p>
            <w:pPr>
              <w:ind w:left="160"/>
              <w:spacing w:after="0" w:line="184" w:lineRule="exact"/>
              <w:rPr>
                <w:sz w:val="20"/>
                <w:szCs w:val="20"/>
                <w:color w:val="auto"/>
              </w:rPr>
            </w:pPr>
            <w:r>
              <w:rPr>
                <w:rFonts w:ascii="Times New Roman" w:cs="Times New Roman" w:eastAsia="Times New Roman" w:hAnsi="Times New Roman"/>
                <w:sz w:val="18"/>
                <w:szCs w:val="18"/>
                <w:color w:val="auto"/>
              </w:rPr>
              <w:t>the pledging of Company stock as collateral for loans, holding Company securities in a margin account by</w:t>
            </w:r>
          </w:p>
        </w:tc>
      </w:tr>
      <w:tr>
        <w:trPr>
          <w:trHeight w:val="234"/>
        </w:trPr>
        <w:tc>
          <w:tcPr>
            <w:tcW w:w="3020" w:type="dxa"/>
            <w:vAlign w:val="bottom"/>
          </w:tcPr>
          <w:p>
            <w:pPr>
              <w:spacing w:after="0"/>
              <w:rPr>
                <w:sz w:val="20"/>
                <w:szCs w:val="20"/>
                <w:color w:val="auto"/>
              </w:rPr>
            </w:pPr>
          </w:p>
        </w:tc>
        <w:tc>
          <w:tcPr>
            <w:tcW w:w="8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officers, directors or employees, and the hedging of Company securities.</w:t>
            </w:r>
          </w:p>
        </w:tc>
      </w:tr>
      <w:tr>
        <w:trPr>
          <w:trHeight w:val="283"/>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Annual Risk Reviews</w:t>
            </w:r>
          </w:p>
        </w:tc>
        <w:tc>
          <w:tcPr>
            <w:tcW w:w="8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Company conducts an annual compensation-related risk review and presents findings and suggested risk</w:t>
            </w:r>
          </w:p>
        </w:tc>
      </w:tr>
      <w:tr>
        <w:trPr>
          <w:trHeight w:val="234"/>
        </w:trPr>
        <w:tc>
          <w:tcPr>
            <w:tcW w:w="3020" w:type="dxa"/>
            <w:vAlign w:val="bottom"/>
          </w:tcPr>
          <w:p>
            <w:pPr>
              <w:spacing w:after="0"/>
              <w:rPr>
                <w:sz w:val="20"/>
                <w:szCs w:val="20"/>
                <w:color w:val="auto"/>
              </w:rPr>
            </w:pPr>
          </w:p>
        </w:tc>
        <w:tc>
          <w:tcPr>
            <w:tcW w:w="8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mitigation actions to both the Audit and Management Development and Compensation Committees.</w:t>
            </w:r>
          </w:p>
        </w:tc>
      </w:tr>
      <w:tr>
        <w:trPr>
          <w:trHeight w:val="873"/>
        </w:trPr>
        <w:tc>
          <w:tcPr>
            <w:tcW w:w="3020" w:type="dxa"/>
            <w:vAlign w:val="bottom"/>
          </w:tcPr>
          <w:p>
            <w:pPr>
              <w:spacing w:after="0"/>
              <w:rPr>
                <w:sz w:val="24"/>
                <w:szCs w:val="24"/>
                <w:color w:val="auto"/>
              </w:rPr>
            </w:pPr>
          </w:p>
        </w:tc>
        <w:tc>
          <w:tcPr>
            <w:tcW w:w="8220" w:type="dxa"/>
            <w:vAlign w:val="bottom"/>
          </w:tcPr>
          <w:p>
            <w:pPr>
              <w:ind w:left="2520"/>
              <w:spacing w:after="0"/>
              <w:rPr>
                <w:sz w:val="20"/>
                <w:szCs w:val="20"/>
                <w:color w:val="auto"/>
              </w:rPr>
            </w:pPr>
            <w:r>
              <w:rPr>
                <w:rFonts w:ascii="Times New Roman" w:cs="Times New Roman" w:eastAsia="Times New Roman" w:hAnsi="Times New Roman"/>
                <w:sz w:val="18"/>
                <w:szCs w:val="18"/>
                <w:color w:val="auto"/>
              </w:rPr>
              <w:t>66</w:t>
            </w:r>
          </w:p>
        </w:tc>
      </w:tr>
      <w:tr>
        <w:trPr>
          <w:trHeight w:val="115"/>
        </w:trPr>
        <w:tc>
          <w:tcPr>
            <w:tcW w:w="3020" w:type="dxa"/>
            <w:vAlign w:val="bottom"/>
            <w:tcBorders>
              <w:bottom w:val="single" w:sz="8" w:color="9A9A9A"/>
            </w:tcBorders>
          </w:tcPr>
          <w:p>
            <w:pPr>
              <w:spacing w:after="0"/>
              <w:rPr>
                <w:sz w:val="10"/>
                <w:szCs w:val="10"/>
                <w:color w:val="auto"/>
              </w:rPr>
            </w:pPr>
          </w:p>
        </w:tc>
        <w:tc>
          <w:tcPr>
            <w:tcW w:w="82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Company’s compensation programs also maintain alignment with shareholders by not including certain features:</w:t>
      </w:r>
    </w:p>
    <w:p>
      <w:pPr>
        <w:sectPr>
          <w:pgSz w:w="11900" w:h="16838" w:orient="portrait"/>
          <w:cols w:equalWidth="0" w:num="1">
            <w:col w:w="11240"/>
          </w:cols>
          <w:pgMar w:left="320" w:top="118" w:right="339" w:bottom="1440" w:gutter="0" w:footer="0" w:header="0"/>
        </w:sectPr>
      </w:pPr>
    </w:p>
    <w:p>
      <w:pPr>
        <w:spacing w:after="0" w:line="223" w:lineRule="exact"/>
        <w:rPr>
          <w:sz w:val="20"/>
          <w:szCs w:val="20"/>
          <w:color w:val="auto"/>
        </w:rPr>
      </w:pPr>
    </w:p>
    <w:p>
      <w:pPr>
        <w:ind w:left="20" w:right="20"/>
        <w:spacing w:after="0" w:line="237" w:lineRule="auto"/>
        <w:rPr>
          <w:sz w:val="20"/>
          <w:szCs w:val="20"/>
          <w:color w:val="auto"/>
        </w:rPr>
      </w:pPr>
      <w:r>
        <w:rPr>
          <w:rFonts w:ascii="Times New Roman" w:cs="Times New Roman" w:eastAsia="Times New Roman" w:hAnsi="Times New Roman"/>
          <w:sz w:val="18"/>
          <w:szCs w:val="18"/>
          <w:color w:val="auto"/>
        </w:rPr>
        <w:t>No Excessive Change of Control Payments</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8"/>
          <w:szCs w:val="18"/>
          <w:color w:val="auto"/>
        </w:rPr>
        <w:t>Messrs. Shaller, Bojarski and DeBruine and Ms. Thornton's maximum cash benefit is equal to two times their base salary and two times their target annual cash incentive in the year in which the termination occurs. For all</w:t>
      </w:r>
    </w:p>
    <w:p>
      <w:pPr>
        <w:spacing w:after="0" w:line="1" w:lineRule="exact"/>
        <w:rPr>
          <w:sz w:val="20"/>
          <w:szCs w:val="20"/>
          <w:color w:val="auto"/>
        </w:rPr>
      </w:pPr>
    </w:p>
    <w:p>
      <w:pPr>
        <w:sectPr>
          <w:pgSz w:w="11900" w:h="16838" w:orient="portrait"/>
          <w:cols w:equalWidth="0" w:num="2">
            <w:col w:w="2420" w:space="720"/>
            <w:col w:w="8100"/>
          </w:cols>
          <w:pgMar w:left="320" w:top="118" w:right="339" w:bottom="1440" w:gutter="0" w:footer="0" w:header="0"/>
          <w:type w:val="continuous"/>
        </w:sectPr>
      </w:pPr>
    </w:p>
    <w:p>
      <w:pPr>
        <w:jc w:val="both"/>
        <w:ind w:left="3140" w:right="20"/>
        <w:spacing w:after="0" w:line="198" w:lineRule="auto"/>
        <w:rPr>
          <w:sz w:val="20"/>
          <w:szCs w:val="20"/>
          <w:color w:val="auto"/>
        </w:rPr>
      </w:pPr>
      <w:r>
        <w:rPr>
          <w:rFonts w:ascii="Times New Roman" w:cs="Times New Roman" w:eastAsia="Times New Roman" w:hAnsi="Times New Roman"/>
          <w:sz w:val="18"/>
          <w:szCs w:val="18"/>
          <w:color w:val="auto"/>
        </w:rPr>
        <w:t>other NEOs, their maximum cash benefit is equal to two times salary and two times the average annual cash incentive payment received in the three years immediately prior to the date the change of control occurs. In the event of a change of control, unexercised stock options become fully exercisable or, if canceled, each named</w:t>
      </w:r>
    </w:p>
    <w:p>
      <w:pPr>
        <w:spacing w:after="0" w:line="2" w:lineRule="exact"/>
        <w:rPr>
          <w:sz w:val="20"/>
          <w:szCs w:val="20"/>
          <w:color w:val="auto"/>
        </w:rPr>
      </w:pPr>
    </w:p>
    <w:p>
      <w:pPr>
        <w:ind w:left="3140" w:right="20"/>
        <w:spacing w:after="0" w:line="226" w:lineRule="auto"/>
        <w:rPr>
          <w:sz w:val="20"/>
          <w:szCs w:val="20"/>
          <w:color w:val="auto"/>
        </w:rPr>
      </w:pPr>
      <w:r>
        <w:rPr>
          <w:rFonts w:ascii="Times New Roman" w:cs="Times New Roman" w:eastAsia="Times New Roman" w:hAnsi="Times New Roman"/>
          <w:sz w:val="18"/>
          <w:szCs w:val="18"/>
          <w:color w:val="auto"/>
        </w:rPr>
        <w:t>executive officer shall be given cash or stock equal to the in-the-money value of the canceled stock options. In the event of a change of control, PRSUs and RSUs become fully vested at target.</w:t>
      </w:r>
    </w:p>
    <w:p>
      <w:pPr>
        <w:sectPr>
          <w:pgSz w:w="11900" w:h="16838" w:orient="portrait"/>
          <w:cols w:equalWidth="0" w:num="1">
            <w:col w:w="11240"/>
          </w:cols>
          <w:pgMar w:left="320" w:top="118" w:right="339" w:bottom="1440" w:gutter="0" w:footer="0" w:header="0"/>
          <w:type w:val="continuous"/>
        </w:sectPr>
      </w:pPr>
    </w:p>
    <w:p>
      <w:pPr>
        <w:spacing w:after="0" w:line="103" w:lineRule="exact"/>
        <w:rPr>
          <w:sz w:val="20"/>
          <w:szCs w:val="20"/>
          <w:color w:val="auto"/>
        </w:rPr>
      </w:pPr>
    </w:p>
    <w:p>
      <w:pPr>
        <w:ind w:left="20"/>
        <w:spacing w:after="0" w:line="237" w:lineRule="auto"/>
        <w:rPr>
          <w:sz w:val="20"/>
          <w:szCs w:val="20"/>
          <w:color w:val="auto"/>
        </w:rPr>
      </w:pPr>
      <w:r>
        <w:rPr>
          <w:rFonts w:ascii="Times New Roman" w:cs="Times New Roman" w:eastAsia="Times New Roman" w:hAnsi="Times New Roman"/>
          <w:sz w:val="18"/>
          <w:szCs w:val="18"/>
          <w:color w:val="auto"/>
        </w:rPr>
        <w:t>No Reloads, Repricing, or Options Issued at a Discount</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8"/>
          <w:szCs w:val="18"/>
          <w:color w:val="auto"/>
        </w:rPr>
        <w:t>Stock options issued are not repriced, replaced, or regranted through cancellation or by lowering the option price of a previously granted option.</w:t>
      </w:r>
    </w:p>
    <w:p>
      <w:pPr>
        <w:spacing w:after="0" w:line="118" w:lineRule="exact"/>
        <w:rPr>
          <w:sz w:val="20"/>
          <w:szCs w:val="20"/>
          <w:color w:val="auto"/>
        </w:rPr>
      </w:pPr>
    </w:p>
    <w:p>
      <w:pPr>
        <w:sectPr>
          <w:pgSz w:w="11900" w:h="16838" w:orient="portrait"/>
          <w:cols w:equalWidth="0" w:num="2">
            <w:col w:w="2520" w:space="620"/>
            <w:col w:w="8100"/>
          </w:cols>
          <w:pgMar w:left="320" w:top="118" w:right="339" w:bottom="1440" w:gutter="0" w:footer="0" w:header="0"/>
          <w:type w:val="continuous"/>
        </w:sectPr>
      </w:pPr>
    </w:p>
    <w:p>
      <w:pPr>
        <w:ind w:left="20"/>
        <w:spacing w:after="0" w:line="237" w:lineRule="auto"/>
        <w:rPr>
          <w:sz w:val="20"/>
          <w:szCs w:val="20"/>
          <w:color w:val="auto"/>
        </w:rPr>
      </w:pPr>
      <w:r>
        <w:rPr>
          <w:rFonts w:ascii="Times New Roman" w:cs="Times New Roman" w:eastAsia="Times New Roman" w:hAnsi="Times New Roman"/>
          <w:sz w:val="18"/>
          <w:szCs w:val="18"/>
          <w:color w:val="auto"/>
        </w:rPr>
        <w:t>Policies and Practices Relating to the Timing of Equity Awards</w:t>
      </w:r>
    </w:p>
    <w:p>
      <w:pPr>
        <w:spacing w:after="0" w:line="20" w:lineRule="exact"/>
        <w:rPr>
          <w:sz w:val="20"/>
          <w:szCs w:val="20"/>
          <w:color w:val="auto"/>
        </w:rPr>
      </w:pPr>
      <w:r>
        <w:rPr>
          <w:sz w:val="20"/>
          <w:szCs w:val="20"/>
          <w:color w:val="auto"/>
        </w:rPr>
        <w:br w:type="column"/>
      </w:r>
    </w:p>
    <w:p>
      <w:pPr>
        <w:ind w:right="20"/>
        <w:spacing w:after="0" w:line="237" w:lineRule="auto"/>
        <w:rPr>
          <w:sz w:val="20"/>
          <w:szCs w:val="20"/>
          <w:color w:val="auto"/>
        </w:rPr>
      </w:pPr>
      <w:r>
        <w:rPr>
          <w:rFonts w:ascii="Times New Roman" w:cs="Times New Roman" w:eastAsia="Times New Roman" w:hAnsi="Times New Roman"/>
          <w:sz w:val="18"/>
          <w:szCs w:val="18"/>
          <w:color w:val="auto"/>
        </w:rPr>
        <w:t>We generally grant annual equity-based awards during the first quarter of our fiscal year based on the Committee’s approval of the awards, although such timing may change from year to year. The Committee also</w:t>
      </w:r>
    </w:p>
    <w:p>
      <w:pPr>
        <w:spacing w:after="0" w:line="1" w:lineRule="exact"/>
        <w:rPr>
          <w:sz w:val="20"/>
          <w:szCs w:val="20"/>
          <w:color w:val="auto"/>
        </w:rPr>
      </w:pPr>
    </w:p>
    <w:p>
      <w:pPr>
        <w:sectPr>
          <w:pgSz w:w="11900" w:h="16838" w:orient="portrait"/>
          <w:cols w:equalWidth="0" w:num="2">
            <w:col w:w="2700" w:space="440"/>
            <w:col w:w="8100"/>
          </w:cols>
          <w:pgMar w:left="320" w:top="118" w:right="339" w:bottom="1440" w:gutter="0" w:footer="0" w:header="0"/>
          <w:type w:val="continuous"/>
        </w:sectPr>
      </w:pPr>
    </w:p>
    <w:p>
      <w:pPr>
        <w:jc w:val="both"/>
        <w:ind w:left="3140" w:right="20"/>
        <w:spacing w:after="0" w:line="198" w:lineRule="auto"/>
        <w:rPr>
          <w:sz w:val="20"/>
          <w:szCs w:val="20"/>
          <w:color w:val="auto"/>
        </w:rPr>
      </w:pPr>
      <w:r>
        <w:rPr>
          <w:rFonts w:ascii="Times New Roman" w:cs="Times New Roman" w:eastAsia="Times New Roman" w:hAnsi="Times New Roman"/>
          <w:sz w:val="18"/>
          <w:szCs w:val="18"/>
          <w:color w:val="auto"/>
        </w:rPr>
        <w:t>may consider and approve interim or mid-year grants, or grants made on another basis, from time to time based on business needs, changing compensation practices or other factors, in the discretion of the Committee. The Committee does not take into account material nonpublic information in determining the timing and terms of</w:t>
      </w:r>
    </w:p>
    <w:p>
      <w:pPr>
        <w:spacing w:after="0" w:line="2" w:lineRule="exact"/>
        <w:rPr>
          <w:sz w:val="20"/>
          <w:szCs w:val="20"/>
          <w:color w:val="auto"/>
        </w:rPr>
      </w:pPr>
    </w:p>
    <w:p>
      <w:pPr>
        <w:ind w:left="3140" w:right="20"/>
        <w:spacing w:after="0" w:line="226" w:lineRule="auto"/>
        <w:rPr>
          <w:sz w:val="20"/>
          <w:szCs w:val="20"/>
          <w:color w:val="auto"/>
        </w:rPr>
      </w:pPr>
      <w:r>
        <w:rPr>
          <w:rFonts w:ascii="Times New Roman" w:cs="Times New Roman" w:eastAsia="Times New Roman" w:hAnsi="Times New Roman"/>
          <w:sz w:val="18"/>
          <w:szCs w:val="18"/>
          <w:color w:val="auto"/>
        </w:rPr>
        <w:t>equity-based awards, and we have not timed the disclosure of material nonpublic information for the purpose of affecting the value of executive compensation.</w:t>
      </w:r>
    </w:p>
    <w:p>
      <w:pPr>
        <w:sectPr>
          <w:pgSz w:w="11900" w:h="16838" w:orient="portrait"/>
          <w:cols w:equalWidth="0" w:num="1">
            <w:col w:w="11240"/>
          </w:cols>
          <w:pgMar w:left="320" w:top="118" w:right="339" w:bottom="1440" w:gutter="0" w:footer="0" w:header="0"/>
          <w:type w:val="continuous"/>
        </w:sect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Philosophy and Objectives</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We seek to align the interests of our executives with those of our shareholders by evaluating performance on the basis of key financial measurements that we believe closely correlate to long-term shareholder value. To this end, we have structured our compensation program to accomplish the following:</w:t>
      </w:r>
    </w:p>
    <w:p>
      <w:pPr>
        <w:spacing w:after="0" w:line="108"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the Company to attract, retain, motivate, develop and reward talented executives;</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compensation plans that are both internally equitable when comparing similar roles and levels within the Company and externally competitive when comparing to the external market and the Company’s designated peer group;</w:t>
      </w: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 appropriate balance between base salary and short-term and long-term incentive opportunities;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integrated compensation programs aligned to the Company’s annual and long-term financial goals and realized performance in order to reward the successful creation of long-term shareholder value;</w:t>
      </w:r>
    </w:p>
    <w:p>
      <w:pPr>
        <w:ind w:left="660" w:hanging="328"/>
        <w:spacing w:after="0" w:line="250"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and reward individual initiative and achievement with the amount of compensation each executive receives reflective of the executive’s level of proficiency within his or her role and their level of sustained performance; and</w:t>
      </w: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Institute a pay-for-performance philosophy where the level of rewards is aligned to Company performance results.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Determining Compensation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 Development &amp; Compensation Committee’s Role</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Committee is responsible for fulfilling the following responsibilities and duties:</w:t>
      </w:r>
    </w:p>
    <w:p>
      <w:pPr>
        <w:spacing w:after="0" w:line="171"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approve and monitor the compensation of the Company's CEO and executive officers</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approve corporate goals and objectives relevant to the CEO and executive officers and evaluate CEO and executive officer performance in light of those goals and objectives</w:t>
      </w: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approve executive compensation, benefits, policies and strategies to support corporate objectives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the development process for executives and review development plans of key executives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compensation programs, policies and practices for potential risk and to ensure they do not foster excessive risk taking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 the Company's equity incentive plans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 with management regarding executive compensation</w:t>
      </w:r>
    </w:p>
    <w:p>
      <w:pPr>
        <w:spacing w:after="0" w:line="15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an annual basis with respect to executive officers, the Committee approves base salary adjustments, long-term equity incentive awards, the annual cash incentives paid for the achievement of performance metrics in the prior fiscal year and the annual cash incentive performance targets for the upcoming fiscal year. In addition, the Committee annually reviews a summary of the elements of compensation for each executive officer in order to evaluate, among other items, how a potential change to an element of our compensation program would affect the respective executive officer's overall compensation. When a new</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executive officer is hired, the Committee is involved in reviewing and approving base salary, annual incentive target, sign-on incentives, annual equity awards, and other aspects of the executive's compensation.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Consultant's Role</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Committee has historically utilized the services of an executive compensation consulting firm to assist with the review and evaluation of compensation levels and policies on a periodic basis, as well as to provide advice with respect to new or modified compensation programs. In fiscal 2025, the Committee utilized the services of Pearl Meyer as their compensation consultant, which was determined to be independent by the Corporate Governance Committee. In fiscal 2025, the compensation consultant completed an analysis of the Company's current compensation peer group, reviewed the Company's short-term and long-term incentive framework relative to market trends and the Company's strategy and objectives, completed a peer group review of CEO annual total compensation, presented to the Board of Directors any significant regulatory changes and executive compensation trends, and worked on ad hoc compensation-related requests from the Management Development &amp; Compensation Committee throughout the year.</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Role</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To aid in determining compensation for fiscal 2025, management obtained compensation data on peer group executive officer compensation through a subscription with Equilar, Inc. and published survey data from various third parties. Our CEO, Mr. Shaller, used this data to make recommendations to the Committee concerning compensation for each executive officer other than himself. Mr. Shaller made no recommendation with respect to his own compensation. In setting compensation for each executive officer, the Committee takes into consideration these recommendations, along with Company results during the fiscal year, the level of responsibility and demonstrated leadership capability, third-party market compensation data, and the results of annual performance reviews which, for our CEO, included a self-assessment and feedback from his direct reports and each member of the Board of Directors. The Committee also took into consideration the recommendations of Pearl Meyer with respect to compensation elements for the CEO. Mr. Shaller did not attend the portion of any meeting during which the Committee discussed matters related specifically to his compensation.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Elements of Compensation</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total compensation program includes five elements: base salary, annual cash incentives, long-term equity incentives, employee benefits, and perquisites. We use these elements of compensation to attract, retain, motivate, develop and reward our executives.</w:t>
      </w:r>
    </w:p>
    <w:p>
      <w:pPr>
        <w:spacing w:after="0" w:line="10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compensation philosophy is to allocate a significant portion of total compensation to long-term compensation (equity incentive awards) in order to align the achievement of performance goals for our executives with shareholder interests. For fiscal 2025, equity incentive awards comprised 70% of Mr. Shaller’s total target compensation in his role as President, Chief Executive Officer and Director of the Company and on average, 43% of the total target compensation of the other NEOs.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general, we target each NEO's total of base salary, annual cash incentive, and long-term equity incentive compensation elements to be at or near the market median (50th percentile) with an opportunity for above market median pay (generally up to the 75th percentile) if performance goals for annual and long-term incentives are achieved above target. Our compensation structure is balanced by the payment of below market median compensation to our NEOs when actual financial results or individual performance do not meet expected results. The following table describes the purpose of each compensation element and how that element is related to our pay-for-performance approach:</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0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Compensation Element</w:t>
            </w:r>
          </w:p>
        </w:tc>
        <w:tc>
          <w:tcPr>
            <w:tcW w:w="3620" w:type="dxa"/>
            <w:vAlign w:val="bottom"/>
            <w:gridSpan w:val="2"/>
          </w:tcPr>
          <w:p>
            <w:pPr>
              <w:ind w:left="1440"/>
              <w:spacing w:after="0"/>
              <w:rPr>
                <w:sz w:val="20"/>
                <w:szCs w:val="20"/>
                <w:color w:val="auto"/>
              </w:rPr>
            </w:pPr>
            <w:r>
              <w:rPr>
                <w:rFonts w:ascii="Times New Roman" w:cs="Times New Roman" w:eastAsia="Times New Roman" w:hAnsi="Times New Roman"/>
                <w:sz w:val="18"/>
                <w:szCs w:val="18"/>
                <w:b w:val="1"/>
                <w:bCs w:val="1"/>
                <w:color w:val="auto"/>
              </w:rPr>
              <w:t>Purpose</w:t>
            </w:r>
          </w:p>
        </w:tc>
        <w:tc>
          <w:tcPr>
            <w:tcW w:w="5220" w:type="dxa"/>
            <w:vAlign w:val="bottom"/>
          </w:tcPr>
          <w:p>
            <w:pPr>
              <w:ind w:left="1680"/>
              <w:spacing w:after="0"/>
              <w:rPr>
                <w:sz w:val="20"/>
                <w:szCs w:val="20"/>
                <w:color w:val="auto"/>
              </w:rPr>
            </w:pPr>
            <w:r>
              <w:rPr>
                <w:rFonts w:ascii="Times New Roman" w:cs="Times New Roman" w:eastAsia="Times New Roman" w:hAnsi="Times New Roman"/>
                <w:sz w:val="18"/>
                <w:szCs w:val="18"/>
                <w:b w:val="1"/>
                <w:bCs w:val="1"/>
                <w:color w:val="auto"/>
              </w:rPr>
              <w:t>Performance Alignment</w:t>
            </w:r>
          </w:p>
        </w:tc>
      </w:tr>
      <w:tr>
        <w:trPr>
          <w:trHeight w:val="169"/>
        </w:trPr>
        <w:tc>
          <w:tcPr>
            <w:tcW w:w="2280" w:type="dxa"/>
            <w:vAlign w:val="bottom"/>
            <w:tcBorders>
              <w:top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Base salary</w:t>
            </w:r>
          </w:p>
        </w:tc>
        <w:tc>
          <w:tcPr>
            <w:tcW w:w="120" w:type="dxa"/>
            <w:vAlign w:val="bottom"/>
          </w:tcPr>
          <w:p>
            <w:pPr>
              <w:spacing w:after="0"/>
              <w:rPr>
                <w:sz w:val="14"/>
                <w:szCs w:val="14"/>
                <w:color w:val="auto"/>
              </w:rPr>
            </w:pPr>
          </w:p>
        </w:tc>
        <w:tc>
          <w:tcPr>
            <w:tcW w:w="3500" w:type="dxa"/>
            <w:vAlign w:val="bottom"/>
            <w:tcBorders>
              <w:top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A fixed level of income used to attract and</w:t>
            </w:r>
          </w:p>
        </w:tc>
        <w:tc>
          <w:tcPr>
            <w:tcW w:w="120" w:type="dxa"/>
            <w:vAlign w:val="bottom"/>
          </w:tcPr>
          <w:p>
            <w:pPr>
              <w:spacing w:after="0"/>
              <w:rPr>
                <w:sz w:val="14"/>
                <w:szCs w:val="14"/>
                <w:color w:val="auto"/>
              </w:rPr>
            </w:pPr>
          </w:p>
        </w:tc>
        <w:tc>
          <w:tcPr>
            <w:tcW w:w="5220" w:type="dxa"/>
            <w:vAlign w:val="bottom"/>
            <w:tcBorders>
              <w:top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Base  salary  increase  depends  upon  individual  performance,  job</w:t>
            </w:r>
          </w:p>
        </w:tc>
      </w:tr>
      <w:tr>
        <w:trPr>
          <w:trHeight w:val="184"/>
        </w:trPr>
        <w:tc>
          <w:tcPr>
            <w:tcW w:w="2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2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retain  executives  by  compensating  for  the</w:t>
            </w:r>
          </w:p>
        </w:tc>
        <w:tc>
          <w:tcPr>
            <w:tcW w:w="52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proficiency and market competitiveness.</w:t>
            </w:r>
          </w:p>
        </w:tc>
      </w:tr>
      <w:tr>
        <w:trPr>
          <w:trHeight w:val="180"/>
        </w:trPr>
        <w:tc>
          <w:tcPr>
            <w:tcW w:w="2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2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primary functions and responsibilities of the</w:t>
            </w:r>
          </w:p>
        </w:tc>
        <w:tc>
          <w:tcPr>
            <w:tcW w:w="5220" w:type="dxa"/>
            <w:vAlign w:val="bottom"/>
          </w:tcPr>
          <w:p>
            <w:pPr>
              <w:spacing w:after="0"/>
              <w:rPr>
                <w:sz w:val="15"/>
                <w:szCs w:val="15"/>
                <w:color w:val="auto"/>
              </w:rPr>
            </w:pPr>
          </w:p>
        </w:tc>
      </w:tr>
      <w:tr>
        <w:trPr>
          <w:trHeight w:val="234"/>
        </w:trPr>
        <w:tc>
          <w:tcPr>
            <w:tcW w:w="2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position.</w:t>
            </w:r>
          </w:p>
        </w:tc>
        <w:tc>
          <w:tcPr>
            <w:tcW w:w="5220" w:type="dxa"/>
            <w:vAlign w:val="bottom"/>
          </w:tcPr>
          <w:p>
            <w:pPr>
              <w:spacing w:after="0"/>
              <w:rPr>
                <w:sz w:val="20"/>
                <w:szCs w:val="20"/>
                <w:color w:val="auto"/>
              </w:rPr>
            </w:pPr>
          </w:p>
        </w:tc>
      </w:tr>
      <w:tr>
        <w:trPr>
          <w:trHeight w:val="279"/>
        </w:trPr>
        <w:tc>
          <w:tcPr>
            <w:tcW w:w="2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Annual cash incentive award</w:t>
            </w:r>
          </w:p>
        </w:tc>
        <w:tc>
          <w:tcPr>
            <w:tcW w:w="3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  attract,  retain,  motivate  and  reward</w:t>
            </w: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Financial performance and individual performance of each executive</w:t>
            </w:r>
          </w:p>
        </w:tc>
      </w:tr>
      <w:tr>
        <w:trPr>
          <w:trHeight w:val="184"/>
        </w:trPr>
        <w:tc>
          <w:tcPr>
            <w:tcW w:w="2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2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executives for achieving or exceeding annual</w:t>
            </w:r>
          </w:p>
        </w:tc>
        <w:tc>
          <w:tcPr>
            <w:tcW w:w="52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determines  the  amount  of  the  respective  executive's  annual  cash</w:t>
            </w:r>
          </w:p>
        </w:tc>
      </w:tr>
      <w:tr>
        <w:trPr>
          <w:trHeight w:val="180"/>
        </w:trPr>
        <w:tc>
          <w:tcPr>
            <w:tcW w:w="2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2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performance  goals  at  total  Company  and</w:t>
            </w:r>
          </w:p>
        </w:tc>
        <w:tc>
          <w:tcPr>
            <w:tcW w:w="52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incentive award.</w:t>
            </w:r>
          </w:p>
        </w:tc>
      </w:tr>
      <w:tr>
        <w:trPr>
          <w:trHeight w:val="234"/>
        </w:trPr>
        <w:tc>
          <w:tcPr>
            <w:tcW w:w="2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division levels.</w:t>
            </w:r>
          </w:p>
        </w:tc>
        <w:tc>
          <w:tcPr>
            <w:tcW w:w="5220" w:type="dxa"/>
            <w:vAlign w:val="bottom"/>
          </w:tcPr>
          <w:p>
            <w:pPr>
              <w:spacing w:after="0"/>
              <w:rPr>
                <w:sz w:val="20"/>
                <w:szCs w:val="20"/>
                <w:color w:val="auto"/>
              </w:rPr>
            </w:pPr>
          </w:p>
        </w:tc>
      </w:tr>
      <w:tr>
        <w:trPr>
          <w:trHeight w:val="279"/>
        </w:trPr>
        <w:tc>
          <w:tcPr>
            <w:tcW w:w="2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Annual long-term equity</w:t>
            </w:r>
          </w:p>
        </w:tc>
        <w:tc>
          <w:tcPr>
            <w:tcW w:w="3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  attract,  retain,  motivate  and  reward</w:t>
            </w: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 assessment of executive leadership, experience and expected future</w:t>
            </w:r>
          </w:p>
        </w:tc>
      </w:tr>
      <w:tr>
        <w:trPr>
          <w:trHeight w:val="184"/>
        </w:trPr>
        <w:tc>
          <w:tcPr>
            <w:tcW w:w="240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incentive awards: RSUs and</w:t>
            </w:r>
          </w:p>
        </w:tc>
        <w:tc>
          <w:tcPr>
            <w:tcW w:w="362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executives for the successful creation of long-</w:t>
            </w:r>
          </w:p>
        </w:tc>
        <w:tc>
          <w:tcPr>
            <w:tcW w:w="52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contribution, combined with market data, are used to determine the</w:t>
            </w:r>
          </w:p>
        </w:tc>
      </w:tr>
      <w:tr>
        <w:trPr>
          <w:trHeight w:val="234"/>
        </w:trPr>
        <w:tc>
          <w:tcPr>
            <w:tcW w:w="2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PRSUs</w:t>
            </w:r>
          </w:p>
        </w:tc>
        <w:tc>
          <w:tcPr>
            <w:tcW w:w="3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term shareholder value.</w:t>
            </w: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 of equity granted to each executive.</w:t>
            </w:r>
          </w:p>
        </w:tc>
      </w:tr>
      <w:tr>
        <w:trPr>
          <w:trHeight w:val="297"/>
        </w:trPr>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RSUs are intended to facilitate retention and to align executives with</w:t>
            </w:r>
          </w:p>
        </w:tc>
      </w:tr>
      <w:tr>
        <w:trPr>
          <w:trHeight w:val="234"/>
        </w:trPr>
        <w:tc>
          <w:tcPr>
            <w:tcW w:w="2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creation of long-term shareholder value.</w:t>
            </w:r>
          </w:p>
        </w:tc>
      </w:tr>
      <w:tr>
        <w:trPr>
          <w:trHeight w:val="306"/>
        </w:trPr>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PRSUs are intended to align executives with long-term financial goals</w:t>
            </w:r>
          </w:p>
        </w:tc>
      </w:tr>
      <w:tr>
        <w:trPr>
          <w:trHeight w:val="234"/>
        </w:trPr>
        <w:tc>
          <w:tcPr>
            <w:tcW w:w="2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the creation of long-term shareholder value.</w:t>
            </w: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Benchmarking Total Compensation</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Committee uses peer group data to assess the reasonableness and competitiveness of several elements of compensation, including base salaries, annual cash incentives, and long-term equity awards of positions similar to those of our NEOs. The guiding principles of the Company's peer group company selection process includes considerations for company size and scope, industry focus, operational scope, product and workforce. The following 18 companies were included in the fiscal 2025 total compensation analysis conducted using publicly available data:</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Albany International Corp.</w:t>
            </w:r>
          </w:p>
        </w:tc>
        <w:tc>
          <w:tcPr>
            <w:tcW w:w="37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Franklin Electric Co., Inc.</w:t>
            </w:r>
          </w:p>
        </w:tc>
        <w:tc>
          <w:tcPr>
            <w:tcW w:w="46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Methode Electronics, Inc.</w:t>
            </w:r>
          </w:p>
        </w:tc>
      </w:tr>
      <w:tr>
        <w:trPr>
          <w:trHeight w:val="229"/>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Allegion plc</w:t>
            </w:r>
          </w:p>
        </w:tc>
        <w:tc>
          <w:tcPr>
            <w:tcW w:w="37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Graco Inc.</w:t>
            </w:r>
          </w:p>
        </w:tc>
        <w:tc>
          <w:tcPr>
            <w:tcW w:w="46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MSA Safety Incorporated</w:t>
            </w:r>
          </w:p>
        </w:tc>
      </w:tr>
      <w:tr>
        <w:trPr>
          <w:trHeight w:val="230"/>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Barnes Group Inc.</w:t>
            </w:r>
          </w:p>
        </w:tc>
        <w:tc>
          <w:tcPr>
            <w:tcW w:w="37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Helios Technologies, Inc.</w:t>
            </w:r>
          </w:p>
        </w:tc>
        <w:tc>
          <w:tcPr>
            <w:tcW w:w="46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Nordson Corporation</w:t>
            </w:r>
          </w:p>
        </w:tc>
      </w:tr>
      <w:tr>
        <w:trPr>
          <w:trHeight w:val="230"/>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EnPro Industries, Inc.</w:t>
            </w:r>
          </w:p>
        </w:tc>
        <w:tc>
          <w:tcPr>
            <w:tcW w:w="37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IDEX Corporation</w:t>
            </w:r>
          </w:p>
        </w:tc>
        <w:tc>
          <w:tcPr>
            <w:tcW w:w="46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Tennant Company</w:t>
            </w:r>
          </w:p>
        </w:tc>
      </w:tr>
      <w:tr>
        <w:trPr>
          <w:trHeight w:val="230"/>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ESCO Technologies Inc.</w:t>
            </w:r>
          </w:p>
        </w:tc>
        <w:tc>
          <w:tcPr>
            <w:tcW w:w="37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Ingevity Corporation</w:t>
            </w:r>
          </w:p>
        </w:tc>
        <w:tc>
          <w:tcPr>
            <w:tcW w:w="46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TriMas Corporation</w:t>
            </w:r>
          </w:p>
        </w:tc>
      </w:tr>
      <w:tr>
        <w:trPr>
          <w:trHeight w:val="234"/>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 Signal Corp.</w:t>
            </w:r>
          </w:p>
        </w:tc>
        <w:tc>
          <w:tcPr>
            <w:tcW w:w="37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Kadant Inc.</w:t>
            </w:r>
          </w:p>
        </w:tc>
        <w:tc>
          <w:tcPr>
            <w:tcW w:w="46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Watts Water Technologies, Inc.</w:t>
            </w:r>
          </w:p>
        </w:tc>
      </w:tr>
      <w:tr>
        <w:trPr>
          <w:trHeight w:val="850"/>
        </w:trPr>
        <w:tc>
          <w:tcPr>
            <w:tcW w:w="2860" w:type="dxa"/>
            <w:vAlign w:val="bottom"/>
          </w:tcPr>
          <w:p>
            <w:pPr>
              <w:spacing w:after="0"/>
              <w:rPr>
                <w:sz w:val="24"/>
                <w:szCs w:val="24"/>
                <w:color w:val="auto"/>
              </w:rPr>
            </w:pPr>
          </w:p>
        </w:tc>
        <w:tc>
          <w:tcPr>
            <w:tcW w:w="3740" w:type="dxa"/>
            <w:vAlign w:val="bottom"/>
          </w:tcPr>
          <w:p>
            <w:pPr>
              <w:ind w:left="2680"/>
              <w:spacing w:after="0"/>
              <w:rPr>
                <w:sz w:val="20"/>
                <w:szCs w:val="20"/>
                <w:color w:val="auto"/>
              </w:rPr>
            </w:pPr>
            <w:r>
              <w:rPr>
                <w:rFonts w:ascii="Times New Roman" w:cs="Times New Roman" w:eastAsia="Times New Roman" w:hAnsi="Times New Roman"/>
                <w:sz w:val="18"/>
                <w:szCs w:val="18"/>
                <w:color w:val="auto"/>
              </w:rPr>
              <w:t>69</w:t>
            </w:r>
          </w:p>
        </w:tc>
        <w:tc>
          <w:tcPr>
            <w:tcW w:w="4640" w:type="dxa"/>
            <w:vAlign w:val="bottom"/>
          </w:tcPr>
          <w:p>
            <w:pPr>
              <w:spacing w:after="0"/>
              <w:rPr>
                <w:sz w:val="24"/>
                <w:szCs w:val="24"/>
                <w:color w:val="auto"/>
              </w:rPr>
            </w:pPr>
          </w:p>
        </w:tc>
      </w:tr>
      <w:tr>
        <w:trPr>
          <w:trHeight w:val="115"/>
        </w:trPr>
        <w:tc>
          <w:tcPr>
            <w:tcW w:w="2860" w:type="dxa"/>
            <w:vAlign w:val="bottom"/>
            <w:tcBorders>
              <w:bottom w:val="single" w:sz="8" w:color="9A9A9A"/>
            </w:tcBorders>
          </w:tcPr>
          <w:p>
            <w:pPr>
              <w:spacing w:after="0"/>
              <w:rPr>
                <w:sz w:val="10"/>
                <w:szCs w:val="10"/>
                <w:color w:val="auto"/>
              </w:rPr>
            </w:pPr>
          </w:p>
        </w:tc>
        <w:tc>
          <w:tcPr>
            <w:tcW w:w="3740" w:type="dxa"/>
            <w:vAlign w:val="bottom"/>
            <w:tcBorders>
              <w:bottom w:val="single" w:sz="8" w:color="9A9A9A"/>
            </w:tcBorders>
          </w:tcPr>
          <w:p>
            <w:pPr>
              <w:spacing w:after="0"/>
              <w:rPr>
                <w:sz w:val="10"/>
                <w:szCs w:val="10"/>
                <w:color w:val="auto"/>
              </w:rPr>
            </w:pPr>
          </w:p>
        </w:tc>
        <w:tc>
          <w:tcPr>
            <w:tcW w:w="46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2025 Named Executive Officer Compensation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Base Salaries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table below reflects the base salary for each NEO in effect at the end of each fiscal year.</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Named Executive Officer</w:t>
            </w:r>
          </w:p>
        </w:tc>
        <w:tc>
          <w:tcPr>
            <w:tcW w:w="160" w:type="dxa"/>
            <w:vAlign w:val="bottom"/>
          </w:tcPr>
          <w:p>
            <w:pPr>
              <w:spacing w:after="0"/>
              <w:rPr>
                <w:sz w:val="20"/>
                <w:szCs w:val="20"/>
                <w:color w:val="auto"/>
              </w:rPr>
            </w:pP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July 31, 2025</w:t>
            </w:r>
          </w:p>
        </w:tc>
        <w:tc>
          <w:tcPr>
            <w:tcW w:w="180" w:type="dxa"/>
            <w:vAlign w:val="bottom"/>
          </w:tcPr>
          <w:p>
            <w:pPr>
              <w:spacing w:after="0"/>
              <w:rPr>
                <w:sz w:val="20"/>
                <w:szCs w:val="20"/>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July 31, 2024</w:t>
            </w:r>
          </w:p>
        </w:tc>
        <w:tc>
          <w:tcPr>
            <w:tcW w:w="21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Percentage Change</w:t>
            </w:r>
          </w:p>
        </w:tc>
      </w:tr>
      <w:tr>
        <w:trPr>
          <w:trHeight w:val="223"/>
        </w:trPr>
        <w:tc>
          <w:tcPr>
            <w:tcW w:w="5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Russell R. Shaller</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1,025,000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874,500</w:t>
            </w:r>
          </w:p>
        </w:tc>
        <w:tc>
          <w:tcPr>
            <w:tcW w:w="10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17.2 %</w:t>
            </w:r>
          </w:p>
        </w:tc>
      </w:tr>
      <w:tr>
        <w:trPr>
          <w:trHeight w:val="229"/>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Ann E. Thornton</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472,500</w:t>
            </w:r>
          </w:p>
        </w:tc>
        <w:tc>
          <w:tcPr>
            <w:tcW w:w="10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9.0 %</w:t>
            </w:r>
          </w:p>
        </w:tc>
      </w:tr>
      <w:tr>
        <w:trPr>
          <w:trHeight w:val="230"/>
        </w:trPr>
        <w:tc>
          <w:tcPr>
            <w:tcW w:w="5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Olivier Bojarski</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466,500</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r>
      <w:tr>
        <w:trPr>
          <w:trHeight w:val="229"/>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Thomas F. DeBruine</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450,000</w:t>
            </w:r>
          </w:p>
        </w:tc>
        <w:tc>
          <w:tcPr>
            <w:tcW w:w="10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5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Andrew T. Gorman</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345,000</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8.7 %</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Annual Cash Incentive Awards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All executives participate in an annual cash incentive plan. The Company is organized and managed on a global basis within two segments: Americas</w:t>
      </w:r>
    </w:p>
    <w:p>
      <w:pPr>
        <w:spacing w:after="0" w:line="27" w:lineRule="exact"/>
        <w:rPr>
          <w:sz w:val="20"/>
          <w:szCs w:val="20"/>
          <w:color w:val="auto"/>
        </w:rPr>
      </w:pPr>
    </w:p>
    <w:p>
      <w:pPr>
        <w:ind w:right="20" w:firstLine="8"/>
        <w:spacing w:after="0" w:line="260" w:lineRule="auto"/>
        <w:tabs>
          <w:tab w:leader="none" w:pos="20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Asia and Europe &amp; Australia. Annual cash incentive award payouts to Mr. Bojarski, President of Americas &amp; Asia, are primarily based on segment performance. Payouts to the other NEOs are based on total company performance.</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Management and the Committee annually evaluate the performance metrics of the cash incentive award program, and concluded that the elements of the fiscal 2025 plan represent critical elements of the Company’s performance that when combined, are designed to result in sustainable long-term sales and profit growth. Set forth below is a description of the fiscal 2025 financial performance metrics for the annual cash incentive plan: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Performance Metric</w:t>
            </w:r>
          </w:p>
        </w:tc>
        <w:tc>
          <w:tcPr>
            <w:tcW w:w="6040" w:type="dxa"/>
            <w:vAlign w:val="bottom"/>
            <w:gridSpan w:val="2"/>
          </w:tcPr>
          <w:p>
            <w:pPr>
              <w:ind w:left="2580"/>
              <w:spacing w:after="0"/>
              <w:rPr>
                <w:sz w:val="20"/>
                <w:szCs w:val="20"/>
                <w:color w:val="auto"/>
              </w:rPr>
            </w:pPr>
            <w:r>
              <w:rPr>
                <w:rFonts w:ascii="Times New Roman" w:cs="Times New Roman" w:eastAsia="Times New Roman" w:hAnsi="Times New Roman"/>
                <w:sz w:val="18"/>
                <w:szCs w:val="18"/>
                <w:b w:val="1"/>
                <w:bCs w:val="1"/>
                <w:color w:val="auto"/>
              </w:rPr>
              <w:t>Definition</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Weighting</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NEO</w:t>
            </w:r>
          </w:p>
        </w:tc>
      </w:tr>
      <w:tr>
        <w:trPr>
          <w:trHeight w:val="169"/>
        </w:trPr>
        <w:tc>
          <w:tcPr>
            <w:tcW w:w="1920" w:type="dxa"/>
            <w:vAlign w:val="bottom"/>
            <w:tcBorders>
              <w:top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Total sales</w:t>
            </w:r>
          </w:p>
        </w:tc>
        <w:tc>
          <w:tcPr>
            <w:tcW w:w="100" w:type="dxa"/>
            <w:vAlign w:val="bottom"/>
          </w:tcPr>
          <w:p>
            <w:pPr>
              <w:spacing w:after="0"/>
              <w:rPr>
                <w:sz w:val="14"/>
                <w:szCs w:val="14"/>
                <w:color w:val="auto"/>
              </w:rPr>
            </w:pPr>
          </w:p>
        </w:tc>
        <w:tc>
          <w:tcPr>
            <w:tcW w:w="5940" w:type="dxa"/>
            <w:vAlign w:val="bottom"/>
            <w:tcBorders>
              <w:top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Total sales is measured as total net sales calculated in accordance with U.S.</w:t>
            </w:r>
          </w:p>
        </w:tc>
        <w:tc>
          <w:tcPr>
            <w:tcW w:w="100" w:type="dxa"/>
            <w:vAlign w:val="bottom"/>
          </w:tcPr>
          <w:p>
            <w:pPr>
              <w:spacing w:after="0"/>
              <w:rPr>
                <w:sz w:val="14"/>
                <w:szCs w:val="14"/>
                <w:color w:val="auto"/>
              </w:rPr>
            </w:pPr>
          </w:p>
        </w:tc>
        <w:tc>
          <w:tcPr>
            <w:tcW w:w="112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6"/>
              </w:rPr>
              <w:t>35%</w:t>
            </w:r>
          </w:p>
        </w:tc>
        <w:tc>
          <w:tcPr>
            <w:tcW w:w="100" w:type="dxa"/>
            <w:vAlign w:val="bottom"/>
          </w:tcPr>
          <w:p>
            <w:pPr>
              <w:spacing w:after="0"/>
              <w:rPr>
                <w:sz w:val="14"/>
                <w:szCs w:val="14"/>
                <w:color w:val="auto"/>
              </w:rPr>
            </w:pPr>
          </w:p>
        </w:tc>
        <w:tc>
          <w:tcPr>
            <w:tcW w:w="196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Messrs. Shaller,</w:t>
            </w:r>
          </w:p>
        </w:tc>
      </w:tr>
      <w:tr>
        <w:trPr>
          <w:trHeight w:val="184"/>
        </w:trPr>
        <w:tc>
          <w:tcPr>
            <w:tcW w:w="1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4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GAAP, excluding the impact of foreign currency translation and any current year</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DeBruine, Gorman and</w:t>
            </w:r>
          </w:p>
        </w:tc>
      </w:tr>
      <w:tr>
        <w:trPr>
          <w:trHeight w:val="234"/>
        </w:trPr>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acquisitions or divestitures.</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Ms. Thornton</w:t>
            </w:r>
          </w:p>
        </w:tc>
      </w:tr>
      <w:tr>
        <w:trPr>
          <w:trHeight w:val="283"/>
        </w:trPr>
        <w:tc>
          <w:tcPr>
            <w:tcW w:w="2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income before</w:t>
            </w:r>
          </w:p>
        </w:tc>
        <w:tc>
          <w:tcPr>
            <w:tcW w:w="6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income before income taxes is defined as total net sales minus total</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65%</w:t>
            </w:r>
          </w:p>
        </w:tc>
        <w:tc>
          <w:tcPr>
            <w:tcW w:w="100" w:type="dxa"/>
            <w:vAlign w:val="bottom"/>
          </w:tcPr>
          <w:p>
            <w:pPr>
              <w:spacing w:after="0"/>
              <w:rPr>
                <w:sz w:val="24"/>
                <w:szCs w:val="24"/>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Messrs. Shaller,</w:t>
            </w:r>
          </w:p>
        </w:tc>
      </w:tr>
      <w:tr>
        <w:trPr>
          <w:trHeight w:val="184"/>
        </w:trPr>
        <w:tc>
          <w:tcPr>
            <w:tcW w:w="202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income taxes</w:t>
            </w:r>
          </w:p>
        </w:tc>
        <w:tc>
          <w:tcPr>
            <w:tcW w:w="604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expenses before deducting income tax expense calculated in accordance with</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DeBruine, Gorman and</w:t>
            </w:r>
          </w:p>
        </w:tc>
      </w:tr>
      <w:tr>
        <w:trPr>
          <w:trHeight w:val="180"/>
        </w:trPr>
        <w:tc>
          <w:tcPr>
            <w:tcW w:w="1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4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U.S. GAAP, excluding the impact of foreign currency translation, current year</w:t>
            </w: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rPr>
              <w:t>Ms. Thornton</w:t>
            </w:r>
          </w:p>
        </w:tc>
      </w:tr>
      <w:tr>
        <w:trPr>
          <w:trHeight w:val="176"/>
        </w:trPr>
        <w:tc>
          <w:tcPr>
            <w:tcW w:w="1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acquisitions or divestitures, and other adjustments approved by the Committee. In</w:t>
            </w: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tcPr>
          <w:p>
            <w:pPr>
              <w:spacing w:after="0"/>
              <w:rPr>
                <w:sz w:val="15"/>
                <w:szCs w:val="15"/>
                <w:color w:val="auto"/>
              </w:rPr>
            </w:pPr>
          </w:p>
        </w:tc>
      </w:tr>
      <w:tr>
        <w:trPr>
          <w:trHeight w:val="184"/>
        </w:trPr>
        <w:tc>
          <w:tcPr>
            <w:tcW w:w="1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4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fiscal 2025, other adjustments include facility closure and other reorganization</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tcPr>
          <w:p>
            <w:pPr>
              <w:spacing w:after="0"/>
              <w:rPr>
                <w:sz w:val="16"/>
                <w:szCs w:val="16"/>
                <w:color w:val="auto"/>
              </w:rPr>
            </w:pPr>
          </w:p>
        </w:tc>
      </w:tr>
      <w:tr>
        <w:trPr>
          <w:trHeight w:val="234"/>
        </w:trPr>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costs.</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283"/>
        </w:trPr>
        <w:tc>
          <w:tcPr>
            <w:tcW w:w="2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Division sales</w:t>
            </w:r>
          </w:p>
        </w:tc>
        <w:tc>
          <w:tcPr>
            <w:tcW w:w="6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Division sales is measured as division net sales calculated in accordance with</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25%</w:t>
            </w:r>
          </w:p>
        </w:tc>
        <w:tc>
          <w:tcPr>
            <w:tcW w:w="100" w:type="dxa"/>
            <w:vAlign w:val="bottom"/>
          </w:tcPr>
          <w:p>
            <w:pPr>
              <w:spacing w:after="0"/>
              <w:rPr>
                <w:sz w:val="24"/>
                <w:szCs w:val="24"/>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Mr. Bojarski</w:t>
            </w:r>
          </w:p>
        </w:tc>
      </w:tr>
      <w:tr>
        <w:trPr>
          <w:trHeight w:val="184"/>
        </w:trPr>
        <w:tc>
          <w:tcPr>
            <w:tcW w:w="1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4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U.S. GAAP, excluding the impact of foreign currency translation and any current</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tcPr>
          <w:p>
            <w:pPr>
              <w:spacing w:after="0"/>
              <w:rPr>
                <w:sz w:val="16"/>
                <w:szCs w:val="16"/>
                <w:color w:val="auto"/>
              </w:rPr>
            </w:pPr>
          </w:p>
        </w:tc>
      </w:tr>
      <w:tr>
        <w:trPr>
          <w:trHeight w:val="234"/>
        </w:trPr>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year acquisitions or divestitures.</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283"/>
        </w:trPr>
        <w:tc>
          <w:tcPr>
            <w:tcW w:w="2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Division operating</w:t>
            </w:r>
          </w:p>
        </w:tc>
        <w:tc>
          <w:tcPr>
            <w:tcW w:w="6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Division operating income is measured as division net sales less cost of goods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45%</w:t>
            </w:r>
          </w:p>
        </w:tc>
        <w:tc>
          <w:tcPr>
            <w:tcW w:w="100" w:type="dxa"/>
            <w:vAlign w:val="bottom"/>
          </w:tcPr>
          <w:p>
            <w:pPr>
              <w:spacing w:after="0"/>
              <w:rPr>
                <w:sz w:val="24"/>
                <w:szCs w:val="24"/>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Mr. Bojarski</w:t>
            </w:r>
          </w:p>
        </w:tc>
      </w:tr>
      <w:tr>
        <w:trPr>
          <w:trHeight w:val="184"/>
        </w:trPr>
        <w:tc>
          <w:tcPr>
            <w:tcW w:w="202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income</w:t>
            </w:r>
          </w:p>
        </w:tc>
        <w:tc>
          <w:tcPr>
            <w:tcW w:w="604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sold, selling expenses, research and development expenses, and administrative</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tcPr>
          <w:p>
            <w:pPr>
              <w:spacing w:after="0"/>
              <w:rPr>
                <w:sz w:val="16"/>
                <w:szCs w:val="16"/>
                <w:color w:val="auto"/>
              </w:rPr>
            </w:pPr>
          </w:p>
        </w:tc>
      </w:tr>
      <w:tr>
        <w:trPr>
          <w:trHeight w:val="180"/>
        </w:trPr>
        <w:tc>
          <w:tcPr>
            <w:tcW w:w="1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4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expenses calculated in accordance with U.S. GAAP, excluding the impact of</w:t>
            </w: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tcPr>
          <w:p>
            <w:pPr>
              <w:spacing w:after="0"/>
              <w:rPr>
                <w:sz w:val="15"/>
                <w:szCs w:val="15"/>
                <w:color w:val="auto"/>
              </w:rPr>
            </w:pPr>
          </w:p>
        </w:tc>
      </w:tr>
      <w:tr>
        <w:trPr>
          <w:trHeight w:val="175"/>
        </w:trPr>
        <w:tc>
          <w:tcPr>
            <w:tcW w:w="1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foreign currency translation, current year acquisitions or divestitures, and other</w:t>
            </w: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tcPr>
          <w:p>
            <w:pPr>
              <w:spacing w:after="0"/>
              <w:rPr>
                <w:sz w:val="15"/>
                <w:szCs w:val="15"/>
                <w:color w:val="auto"/>
              </w:rPr>
            </w:pPr>
          </w:p>
        </w:tc>
      </w:tr>
      <w:tr>
        <w:trPr>
          <w:trHeight w:val="184"/>
        </w:trPr>
        <w:tc>
          <w:tcPr>
            <w:tcW w:w="1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4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adjustments approved by the Committee. In fiscal 2025, other adjustments</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tcPr>
          <w:p>
            <w:pPr>
              <w:spacing w:after="0"/>
              <w:rPr>
                <w:sz w:val="16"/>
                <w:szCs w:val="16"/>
                <w:color w:val="auto"/>
              </w:rPr>
            </w:pPr>
          </w:p>
        </w:tc>
      </w:tr>
      <w:tr>
        <w:trPr>
          <w:trHeight w:val="234"/>
        </w:trPr>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include facility closure and other reorganization costs.</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283"/>
        </w:trPr>
        <w:tc>
          <w:tcPr>
            <w:tcW w:w="2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sales</w:t>
            </w:r>
          </w:p>
        </w:tc>
        <w:tc>
          <w:tcPr>
            <w:tcW w:w="6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sales is measured as total net sales calculated in accordance with U.S.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c>
          <w:tcPr>
            <w:tcW w:w="100" w:type="dxa"/>
            <w:vAlign w:val="bottom"/>
          </w:tcPr>
          <w:p>
            <w:pPr>
              <w:spacing w:after="0"/>
              <w:rPr>
                <w:sz w:val="24"/>
                <w:szCs w:val="24"/>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Mr. Bojarski</w:t>
            </w:r>
          </w:p>
        </w:tc>
      </w:tr>
      <w:tr>
        <w:trPr>
          <w:trHeight w:val="184"/>
        </w:trPr>
        <w:tc>
          <w:tcPr>
            <w:tcW w:w="1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4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GAAP, excluding the impact of foreign currency translation and any current year</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tcPr>
          <w:p>
            <w:pPr>
              <w:spacing w:after="0"/>
              <w:rPr>
                <w:sz w:val="16"/>
                <w:szCs w:val="16"/>
                <w:color w:val="auto"/>
              </w:rPr>
            </w:pPr>
          </w:p>
        </w:tc>
      </w:tr>
      <w:tr>
        <w:trPr>
          <w:trHeight w:val="234"/>
        </w:trPr>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acquisitions or divestitures.</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283"/>
        </w:trPr>
        <w:tc>
          <w:tcPr>
            <w:tcW w:w="2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income before</w:t>
            </w:r>
          </w:p>
        </w:tc>
        <w:tc>
          <w:tcPr>
            <w:tcW w:w="6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income before income taxes is defined as total net sales minus total</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20%</w:t>
            </w:r>
          </w:p>
        </w:tc>
        <w:tc>
          <w:tcPr>
            <w:tcW w:w="100" w:type="dxa"/>
            <w:vAlign w:val="bottom"/>
          </w:tcPr>
          <w:p>
            <w:pPr>
              <w:spacing w:after="0"/>
              <w:rPr>
                <w:sz w:val="24"/>
                <w:szCs w:val="24"/>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Mr. Bojarski</w:t>
            </w:r>
          </w:p>
        </w:tc>
      </w:tr>
      <w:tr>
        <w:trPr>
          <w:trHeight w:val="204"/>
        </w:trPr>
        <w:tc>
          <w:tcPr>
            <w:tcW w:w="2020" w:type="dxa"/>
            <w:vAlign w:val="bottom"/>
            <w:gridSpan w:val="2"/>
          </w:tcPr>
          <w:p>
            <w:pPr>
              <w:ind w:left="20"/>
              <w:spacing w:after="0" w:line="204" w:lineRule="exact"/>
              <w:rPr>
                <w:sz w:val="20"/>
                <w:szCs w:val="20"/>
                <w:color w:val="auto"/>
              </w:rPr>
            </w:pPr>
            <w:r>
              <w:rPr>
                <w:rFonts w:ascii="Times New Roman" w:cs="Times New Roman" w:eastAsia="Times New Roman" w:hAnsi="Times New Roman"/>
                <w:sz w:val="18"/>
                <w:szCs w:val="18"/>
                <w:color w:val="auto"/>
              </w:rPr>
              <w:t>income taxes</w:t>
            </w:r>
          </w:p>
        </w:tc>
        <w:tc>
          <w:tcPr>
            <w:tcW w:w="6040" w:type="dxa"/>
            <w:vAlign w:val="bottom"/>
            <w:gridSpan w:val="2"/>
          </w:tcPr>
          <w:p>
            <w:pPr>
              <w:ind w:left="20"/>
              <w:spacing w:after="0" w:line="204" w:lineRule="exact"/>
              <w:rPr>
                <w:sz w:val="20"/>
                <w:szCs w:val="20"/>
                <w:color w:val="auto"/>
              </w:rPr>
            </w:pPr>
            <w:r>
              <w:rPr>
                <w:rFonts w:ascii="Times New Roman" w:cs="Times New Roman" w:eastAsia="Times New Roman" w:hAnsi="Times New Roman"/>
                <w:sz w:val="18"/>
                <w:szCs w:val="18"/>
                <w:color w:val="auto"/>
              </w:rPr>
              <w:t>expenses before deducting income tax expense calculated in accordance with</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tcPr>
          <w:p>
            <w:pPr>
              <w:spacing w:after="0"/>
              <w:rPr>
                <w:sz w:val="17"/>
                <w:szCs w:val="17"/>
                <w:color w:val="auto"/>
              </w:rPr>
            </w:pPr>
          </w:p>
        </w:tc>
      </w:tr>
    </w:tbl>
    <w:p>
      <w:pPr>
        <w:jc w:val="both"/>
        <w:ind w:left="2040" w:right="3300"/>
        <w:spacing w:after="0" w:line="208" w:lineRule="auto"/>
        <w:rPr>
          <w:sz w:val="20"/>
          <w:szCs w:val="20"/>
          <w:color w:val="auto"/>
        </w:rPr>
      </w:pPr>
      <w:r>
        <w:rPr>
          <w:rFonts w:ascii="Times New Roman" w:cs="Times New Roman" w:eastAsia="Times New Roman" w:hAnsi="Times New Roman"/>
          <w:sz w:val="18"/>
          <w:szCs w:val="18"/>
          <w:color w:val="auto"/>
        </w:rPr>
        <w:t>U.S. GAAP, excluding the impact of foreign currency translation and any current year acquisitions or divestitures, current year acquisitions or divestitures, and other adjustments approved by the Committee. In fiscal 2025, other adjustments</w:t>
      </w:r>
    </w:p>
    <w:p>
      <w:pPr>
        <w:spacing w:after="0" w:line="2"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color w:val="auto"/>
        </w:rPr>
        <w:t>include facility closure and other reorganization costs.</w:t>
      </w:r>
    </w:p>
    <w:p>
      <w:pPr>
        <w:spacing w:after="0" w:line="24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funding level of the fiscal 2025 annual cash incentive plan was determined based on the level of achievement of the annual sales and profit metrics described above compared to stated thresholds that were established at the beginning of the fiscal year. These thresholds are set forth in the tables below for each NEO. The annual cash incentive plan also includes a minimum profit threshold that must be exceeded in order for any cash incentive amount to be funded, regardless of the achievement of revenue. In addition, plan participants must be employed on the payment date to receive the payout of their annual incentive award.</w:t>
      </w:r>
    </w:p>
    <w:p>
      <w:pPr>
        <w:spacing w:after="0" w:line="1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Individual contribution is determined by assessing the level of achievement of each NEO’s individual annual goals combined with his or her ability to deliver on the competencies needed to achieve those goals. The competencies include items such as optimizing work processes through continuous improvement initiatives, building strong customer relationships and providing excellent customer service, creating innovative new product solutions, valuing different perspectives and developing our people. Individual annual goals and competencies are included in each NEO’s performance assessment to ensure they are focused on initiatives within their area of responsibility that will increase both sales and profitability and drive long-term shareholder value.</w:t>
      </w:r>
    </w:p>
    <w:p>
      <w:pPr>
        <w:spacing w:after="0" w:line="1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While our objective is to set goals that are quantitative and measurable, certain elements of the performance assessment may be subjective. Assessments and rating recommendations for all executive officers, except the CEO, are delivered to the Committee by the CEO in July. The CEO provides the Committee with a self-assessment of his own performance without a</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rating recommendation and the Committee conducts an annual review and evaluation process to determine the CEO's performance rating.</w:t>
      </w:r>
    </w:p>
    <w:p>
      <w:pPr>
        <w:spacing w:after="0" w:line="17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Company's rating system consists of five performance level ranges that are applied to the available annual cash incentive that is earned and payable based upon the NEO's contribution to the fiscal year objectives and their individual annual goals: Unsatisfactory - 0%; Needs Improvement - 50%; Fully Meets Objectives - 75% to 110%; Exceeds Objectives - 95% to 125%; and Outstanding - 120% to 150%. The annual cash incentive target is calculated as a percentage of the NEO’s eligible compensation, which is defined as base salary paid during the fiscal year. The achievement of the financial performance metrics defined in the table above is applied to this target for each NEO, and their individual performance rating is then applied, resulting in the annual cash incentive award. The following sections detail this calculation for each NEO.</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Messrs. Shaller, DeBruine and Gorman and Ms. Thornton</w:t>
      </w:r>
    </w:p>
    <w:p>
      <w:pPr>
        <w:spacing w:after="0" w:line="17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cash incentive payable to Messrs. Shaller, DeBruine and Gorman and Ms. Thornton for fiscal 2025 was based on total sales and income before income taxes. For fiscal 2025, an annual cash incentive was funded for the achievement of total sales and income before income taxes. The multiplier for individual performance was applied to the two components to arrive at the final cash incentive award achieved.</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threshold, target, maximum and actual cash incentive award earned for Messrs. Shaller, DeBruine and Gorman and Ms. Thornton were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20" w:type="dxa"/>
            <w:vAlign w:val="bottom"/>
            <w:gridSpan w:val="4"/>
          </w:tcPr>
          <w:p>
            <w:pPr>
              <w:jc w:val="center"/>
              <w:ind w:left="1108"/>
              <w:spacing w:after="0"/>
              <w:rPr>
                <w:sz w:val="20"/>
                <w:szCs w:val="20"/>
                <w:color w:val="auto"/>
              </w:rPr>
            </w:pPr>
            <w:r>
              <w:rPr>
                <w:rFonts w:ascii="Times New Roman" w:cs="Times New Roman" w:eastAsia="Times New Roman" w:hAnsi="Times New Roman"/>
                <w:sz w:val="14"/>
                <w:szCs w:val="14"/>
                <w:b w:val="1"/>
                <w:bCs w:val="1"/>
                <w:color w:val="auto"/>
              </w:rPr>
              <w:t>Fiscal 2025 Actual Results</w:t>
            </w:r>
          </w:p>
        </w:tc>
        <w:tc>
          <w:tcPr>
            <w:tcW w:w="1180" w:type="dxa"/>
            <w:vAlign w:val="bottom"/>
          </w:tcPr>
          <w:p>
            <w:pPr>
              <w:spacing w:after="0"/>
              <w:rPr>
                <w:sz w:val="16"/>
                <w:szCs w:val="16"/>
                <w:color w:val="auto"/>
              </w:rPr>
            </w:pPr>
          </w:p>
        </w:tc>
      </w:tr>
      <w:tr>
        <w:trPr>
          <w:trHeight w:val="23"/>
        </w:trPr>
        <w:tc>
          <w:tcPr>
            <w:tcW w:w="3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0"/>
        </w:trPr>
        <w:tc>
          <w:tcPr>
            <w:tcW w:w="3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Performance Measure </w:t>
            </w:r>
            <w:r>
              <w:rPr>
                <w:rFonts w:ascii="Times New Roman" w:cs="Times New Roman" w:eastAsia="Times New Roman" w:hAnsi="Times New Roman"/>
                <w:sz w:val="14"/>
                <w:szCs w:val="14"/>
                <w:color w:val="auto"/>
              </w:rPr>
              <w:t>(weighting)</w:t>
            </w:r>
          </w:p>
        </w:tc>
        <w:tc>
          <w:tcPr>
            <w:tcW w:w="100" w:type="dxa"/>
            <w:vAlign w:val="bottom"/>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100" w:type="dxa"/>
            <w:vAlign w:val="bottom"/>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120" w:type="dxa"/>
            <w:vAlign w:val="bottom"/>
            <w:shd w:val="clear" w:color="auto" w:fill="CCEEFF"/>
          </w:tcPr>
          <w:p>
            <w:pPr>
              <w:spacing w:after="0"/>
              <w:rPr>
                <w:sz w:val="16"/>
                <w:szCs w:val="16"/>
                <w:color w:val="auto"/>
              </w:rPr>
            </w:pPr>
          </w:p>
        </w:tc>
        <w:tc>
          <w:tcPr>
            <w:tcW w:w="160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12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Achievement ($)</w:t>
            </w:r>
          </w:p>
        </w:tc>
        <w:tc>
          <w:tcPr>
            <w:tcW w:w="10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Achievement (%)</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Sales (35%)(millions)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$1,308.5</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$1,377.4</w:t>
            </w:r>
          </w:p>
        </w:tc>
        <w:tc>
          <w:tcPr>
            <w:tcW w:w="120" w:type="dxa"/>
            <w:vAlign w:val="bottom"/>
          </w:tcPr>
          <w:p>
            <w:pPr>
              <w:spacing w:after="0"/>
              <w:rPr>
                <w:sz w:val="19"/>
                <w:szCs w:val="19"/>
                <w:color w:val="auto"/>
              </w:rPr>
            </w:pPr>
          </w:p>
        </w:tc>
        <w:tc>
          <w:tcPr>
            <w:tcW w:w="1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$1,447.1 or more</w:t>
            </w: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$1,364.9</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0" w:type="dxa"/>
            <w:vAlign w:val="bottom"/>
          </w:tcPr>
          <w:p>
            <w:pPr>
              <w:spacing w:after="0"/>
              <w:rPr>
                <w:sz w:val="1"/>
                <w:szCs w:val="1"/>
                <w:color w:val="auto"/>
              </w:rPr>
            </w:pPr>
          </w:p>
        </w:tc>
      </w:tr>
      <w:tr>
        <w:trPr>
          <w:trHeight w:val="176"/>
        </w:trPr>
        <w:tc>
          <w:tcPr>
            <w:tcW w:w="330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Income Before Income Taxes (65%)</w:t>
            </w: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(millions)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$235.2</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$261.3</w:t>
            </w:r>
          </w:p>
        </w:tc>
        <w:tc>
          <w:tcPr>
            <w:tcW w:w="120" w:type="dxa"/>
            <w:vAlign w:val="bottom"/>
            <w:shd w:val="clear" w:color="auto" w:fill="CCEEFF"/>
          </w:tcPr>
          <w:p>
            <w:pPr>
              <w:spacing w:after="0"/>
              <w:rPr>
                <w:sz w:val="21"/>
                <w:szCs w:val="21"/>
                <w:color w:val="auto"/>
              </w:rPr>
            </w:pPr>
          </w:p>
        </w:tc>
        <w:tc>
          <w:tcPr>
            <w:tcW w:w="1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$284.8 or more</w:t>
            </w: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$266.6</w:t>
            </w: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123 %</w:t>
            </w:r>
          </w:p>
        </w:tc>
        <w:tc>
          <w:tcPr>
            <w:tcW w:w="0" w:type="dxa"/>
            <w:vAlign w:val="bottom"/>
          </w:tcPr>
          <w:p>
            <w:pPr>
              <w:spacing w:after="0"/>
              <w:rPr>
                <w:sz w:val="1"/>
                <w:szCs w:val="1"/>
                <w:color w:val="auto"/>
              </w:rPr>
            </w:pPr>
          </w:p>
        </w:tc>
      </w:tr>
      <w:tr>
        <w:trPr>
          <w:trHeight w:val="230"/>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Individual Performance Multiplier</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150 %</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Varies</w:t>
            </w:r>
          </w:p>
        </w:tc>
        <w:tc>
          <w:tcPr>
            <w:tcW w:w="0" w:type="dxa"/>
            <w:vAlign w:val="bottom"/>
          </w:tcPr>
          <w:p>
            <w:pPr>
              <w:spacing w:after="0"/>
              <w:rPr>
                <w:sz w:val="1"/>
                <w:szCs w:val="1"/>
                <w:color w:val="auto"/>
              </w:rPr>
            </w:pPr>
          </w:p>
        </w:tc>
      </w:tr>
      <w:tr>
        <w:trPr>
          <w:trHeight w:val="137"/>
        </w:trPr>
        <w:tc>
          <w:tcPr>
            <w:tcW w:w="3300" w:type="dxa"/>
            <w:vAlign w:val="bottom"/>
            <w:gridSpan w:val="2"/>
            <w:vMerge w:val="restart"/>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Fiscal 2025 Annual Cash Incentive Award:</w:t>
            </w:r>
          </w:p>
        </w:tc>
        <w:tc>
          <w:tcPr>
            <w:tcW w:w="1120" w:type="dxa"/>
            <w:vAlign w:val="bottom"/>
            <w:gridSpan w:val="2"/>
            <w:vMerge w:val="restart"/>
            <w:shd w:val="clear" w:color="auto" w:fill="CCEEFF"/>
          </w:tcPr>
          <w:p>
            <w:pPr>
              <w:ind w:left="200"/>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1100" w:type="dxa"/>
            <w:vAlign w:val="bottom"/>
            <w:gridSpan w:val="2"/>
            <w:vMerge w:val="restart"/>
            <w:shd w:val="clear" w:color="auto" w:fill="CCEEFF"/>
          </w:tcPr>
          <w:p>
            <w:pPr>
              <w:ind w:left="300"/>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1720" w:type="dxa"/>
            <w:vAlign w:val="bottom"/>
            <w:gridSpan w:val="2"/>
            <w:shd w:val="clear" w:color="auto" w:fill="CCEEFF"/>
          </w:tcPr>
          <w:p>
            <w:pPr>
              <w:jc w:val="center"/>
              <w:ind w:right="160"/>
              <w:spacing w:after="0" w:line="137" w:lineRule="exact"/>
              <w:rPr>
                <w:sz w:val="20"/>
                <w:szCs w:val="20"/>
                <w:color w:val="auto"/>
              </w:rPr>
            </w:pPr>
            <w:r>
              <w:rPr>
                <w:rFonts w:ascii="Times New Roman" w:cs="Times New Roman" w:eastAsia="Times New Roman" w:hAnsi="Times New Roman"/>
                <w:sz w:val="14"/>
                <w:szCs w:val="14"/>
                <w:b w:val="1"/>
                <w:bCs w:val="1"/>
                <w:color w:val="auto"/>
              </w:rPr>
              <w:t>Maximum</w:t>
            </w:r>
          </w:p>
        </w:tc>
        <w:tc>
          <w:tcPr>
            <w:tcW w:w="1380" w:type="dxa"/>
            <w:vAlign w:val="bottom"/>
            <w:gridSpan w:val="2"/>
            <w:shd w:val="clear" w:color="auto" w:fill="CCEEFF"/>
          </w:tcPr>
          <w:p>
            <w:pPr>
              <w:ind w:left="200"/>
              <w:spacing w:after="0" w:line="137" w:lineRule="exact"/>
              <w:rPr>
                <w:sz w:val="20"/>
                <w:szCs w:val="20"/>
                <w:color w:val="auto"/>
              </w:rPr>
            </w:pPr>
            <w:r>
              <w:rPr>
                <w:rFonts w:ascii="Times New Roman" w:cs="Times New Roman" w:eastAsia="Times New Roman" w:hAnsi="Times New Roman"/>
                <w:sz w:val="14"/>
                <w:szCs w:val="14"/>
                <w:b w:val="1"/>
                <w:bCs w:val="1"/>
                <w:color w:val="auto"/>
              </w:rPr>
              <w:t>Actual Payout</w:t>
            </w:r>
          </w:p>
        </w:tc>
        <w:tc>
          <w:tcPr>
            <w:tcW w:w="1360" w:type="dxa"/>
            <w:vAlign w:val="bottom"/>
            <w:gridSpan w:val="2"/>
            <w:shd w:val="clear" w:color="auto" w:fill="CCEEFF"/>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Actual Payout</w:t>
            </w:r>
          </w:p>
        </w:tc>
        <w:tc>
          <w:tcPr>
            <w:tcW w:w="1260" w:type="dxa"/>
            <w:vAlign w:val="bottom"/>
            <w:shd w:val="clear" w:color="auto" w:fill="CCEEFF"/>
          </w:tcPr>
          <w:p>
            <w:pPr>
              <w:jc w:val="right"/>
              <w:ind w:right="114"/>
              <w:spacing w:after="0" w:line="137" w:lineRule="exact"/>
              <w:rPr>
                <w:sz w:val="20"/>
                <w:szCs w:val="20"/>
                <w:color w:val="auto"/>
              </w:rPr>
            </w:pPr>
            <w:r>
              <w:rPr>
                <w:rFonts w:ascii="Times New Roman" w:cs="Times New Roman" w:eastAsia="Times New Roman" w:hAnsi="Times New Roman"/>
                <w:sz w:val="14"/>
                <w:szCs w:val="14"/>
                <w:b w:val="1"/>
                <w:bCs w:val="1"/>
                <w:color w:val="auto"/>
              </w:rPr>
              <w:t>Actual Payout</w:t>
            </w:r>
          </w:p>
        </w:tc>
        <w:tc>
          <w:tcPr>
            <w:tcW w:w="0" w:type="dxa"/>
            <w:vAlign w:val="bottom"/>
          </w:tcPr>
          <w:p>
            <w:pPr>
              <w:spacing w:after="0"/>
              <w:rPr>
                <w:sz w:val="1"/>
                <w:szCs w:val="1"/>
                <w:color w:val="auto"/>
              </w:rPr>
            </w:pPr>
          </w:p>
        </w:tc>
      </w:tr>
      <w:tr>
        <w:trPr>
          <w:trHeight w:val="200"/>
        </w:trPr>
        <w:tc>
          <w:tcPr>
            <w:tcW w:w="3300" w:type="dxa"/>
            <w:vAlign w:val="bottom"/>
            <w:gridSpan w:val="2"/>
            <w:vMerge w:val="continue"/>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1100" w:type="dxa"/>
            <w:vAlign w:val="bottom"/>
            <w:gridSpan w:val="2"/>
            <w:vMerge w:val="continue"/>
            <w:shd w:val="clear" w:color="auto" w:fill="CCEEFF"/>
          </w:tcPr>
          <w:p>
            <w:pPr>
              <w:spacing w:after="0"/>
              <w:rPr>
                <w:sz w:val="17"/>
                <w:szCs w:val="17"/>
                <w:color w:val="auto"/>
              </w:rPr>
            </w:pPr>
          </w:p>
        </w:tc>
        <w:tc>
          <w:tcPr>
            <w:tcW w:w="17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 of Base Salary)</w:t>
            </w:r>
          </w:p>
        </w:tc>
        <w:tc>
          <w:tcPr>
            <w:tcW w:w="13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b w:val="1"/>
                <w:bCs w:val="1"/>
                <w:color w:val="auto"/>
              </w:rPr>
              <w:t>(% of Target)</w:t>
            </w:r>
          </w:p>
        </w:tc>
        <w:tc>
          <w:tcPr>
            <w:tcW w:w="13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 of Base Salary)</w:t>
            </w:r>
          </w:p>
        </w:tc>
        <w:tc>
          <w:tcPr>
            <w:tcW w:w="1260" w:type="dxa"/>
            <w:vAlign w:val="bottom"/>
            <w:shd w:val="clear" w:color="auto" w:fill="CCEEFF"/>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3"/>
        </w:trPr>
        <w:tc>
          <w:tcPr>
            <w:tcW w:w="3200" w:type="dxa"/>
            <w:vAlign w:val="bottom"/>
            <w:tcBorders>
              <w:top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R.R. Shaller</w:t>
            </w:r>
          </w:p>
        </w:tc>
        <w:tc>
          <w:tcPr>
            <w:tcW w:w="10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115 %</w:t>
            </w:r>
          </w:p>
        </w:tc>
        <w:tc>
          <w:tcPr>
            <w:tcW w:w="120" w:type="dxa"/>
            <w:vAlign w:val="bottom"/>
          </w:tcPr>
          <w:p>
            <w:pPr>
              <w:spacing w:after="0"/>
              <w:rPr>
                <w:sz w:val="19"/>
                <w:szCs w:val="19"/>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345 %</w:t>
            </w:r>
          </w:p>
        </w:tc>
        <w:tc>
          <w:tcPr>
            <w:tcW w:w="120" w:type="dxa"/>
            <w:vAlign w:val="bottom"/>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120 %</w:t>
            </w:r>
          </w:p>
        </w:tc>
        <w:tc>
          <w:tcPr>
            <w:tcW w:w="100" w:type="dxa"/>
            <w:vAlign w:val="bottom"/>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138 %</w:t>
            </w:r>
          </w:p>
        </w:tc>
        <w:tc>
          <w:tcPr>
            <w:tcW w:w="100" w:type="dxa"/>
            <w:vAlign w:val="bottom"/>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$1,373,414</w:t>
            </w:r>
          </w:p>
        </w:tc>
        <w:tc>
          <w:tcPr>
            <w:tcW w:w="0" w:type="dxa"/>
            <w:vAlign w:val="bottom"/>
          </w:tcPr>
          <w:p>
            <w:pPr>
              <w:spacing w:after="0"/>
              <w:rPr>
                <w:sz w:val="1"/>
                <w:szCs w:val="1"/>
                <w:color w:val="auto"/>
              </w:rPr>
            </w:pPr>
          </w:p>
        </w:tc>
      </w:tr>
      <w:tr>
        <w:trPr>
          <w:trHeight w:val="230"/>
        </w:trPr>
        <w:tc>
          <w:tcPr>
            <w:tcW w:w="33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A.E. Thornton</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120 %</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84 %</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$425,380</w:t>
            </w:r>
          </w:p>
        </w:tc>
        <w:tc>
          <w:tcPr>
            <w:tcW w:w="0" w:type="dxa"/>
            <w:vAlign w:val="bottom"/>
          </w:tcPr>
          <w:p>
            <w:pPr>
              <w:spacing w:after="0"/>
              <w:rPr>
                <w:sz w:val="1"/>
                <w:szCs w:val="1"/>
                <w:color w:val="auto"/>
              </w:rPr>
            </w:pPr>
          </w:p>
        </w:tc>
      </w:tr>
      <w:tr>
        <w:trPr>
          <w:trHeight w:val="230"/>
        </w:trPr>
        <w:tc>
          <w:tcPr>
            <w:tcW w:w="33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T.F. DeBruine</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180 %</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153 %</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92 %</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$412,020</w:t>
            </w:r>
          </w:p>
        </w:tc>
        <w:tc>
          <w:tcPr>
            <w:tcW w:w="0" w:type="dxa"/>
            <w:vAlign w:val="bottom"/>
          </w:tcPr>
          <w:p>
            <w:pPr>
              <w:spacing w:after="0"/>
              <w:rPr>
                <w:sz w:val="1"/>
                <w:szCs w:val="1"/>
                <w:color w:val="auto"/>
              </w:rPr>
            </w:pPr>
          </w:p>
        </w:tc>
      </w:tr>
      <w:tr>
        <w:trPr>
          <w:trHeight w:val="230"/>
        </w:trPr>
        <w:tc>
          <w:tcPr>
            <w:tcW w:w="33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A.T. Gorman</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180 %</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120 %</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$265,625</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right="20" w:firstLine="324"/>
        <w:spacing w:after="0" w:line="254" w:lineRule="auto"/>
        <w:rPr>
          <w:sz w:val="20"/>
          <w:szCs w:val="20"/>
          <w:color w:val="auto"/>
        </w:rPr>
      </w:pPr>
      <w:r>
        <w:rPr>
          <w:rFonts w:ascii="Times New Roman" w:cs="Times New Roman" w:eastAsia="Times New Roman" w:hAnsi="Times New Roman"/>
          <w:sz w:val="18"/>
          <w:szCs w:val="18"/>
          <w:color w:val="auto"/>
        </w:rPr>
        <w:t>Mr. Shaller's individual performance multiplier was the result of his contribution to several fiscal year objectives and individual annual goals as follows:</w:t>
      </w:r>
    </w:p>
    <w:p>
      <w:pPr>
        <w:jc w:val="both"/>
        <w:ind w:left="660" w:hanging="328"/>
        <w:spacing w:after="0" w:line="234"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Strategy - Objective focused on establishing the strategic direction for the total company in order to drive long-term sales growth. Advanced the Company’s strategic direction by executing against its long-term growth objectives, including completing and integrating three acquisitions that expanded our presence in targeted markets.</w:t>
      </w:r>
    </w:p>
    <w:p>
      <w:pPr>
        <w:spacing w:after="0" w:line="2" w:lineRule="exact"/>
        <w:rPr>
          <w:rFonts w:ascii="Times New Roman" w:cs="Times New Roman" w:eastAsia="Times New Roman" w:hAnsi="Times New Roman"/>
          <w:sz w:val="18"/>
          <w:szCs w:val="18"/>
          <w:color w:val="auto"/>
        </w:rPr>
      </w:pPr>
    </w:p>
    <w:p>
      <w:pPr>
        <w:ind w:left="660" w:hanging="328"/>
        <w:spacing w:after="0" w:line="249"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organic sales growth - Objective focused on delivering organic sales growth. The Company’s organic sales growth rate was 2.6% in fiscal 2025.</w:t>
      </w:r>
    </w:p>
    <w:p>
      <w:pPr>
        <w:jc w:val="both"/>
        <w:ind w:left="660" w:hanging="328"/>
        <w:spacing w:after="0" w:line="255"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income before income taxes - Objective focused on improving income before income taxes while making the investments for sustainable long-term organic sales growth. In fiscal 2025, the Company exceeded its income before income taxes target, while increasing investments in R&amp;D by 17.9% and completing and integrating three acquisitions to support sustainable long-term organic sales growth.</w:t>
      </w:r>
    </w:p>
    <w:p>
      <w:pPr>
        <w:spacing w:after="0" w:line="13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After a review of Mr. Shaller's performance, the Committee determined that Mr. Shaller's resulting performance level was 110% for his individual performance multiplier.</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Ms. Thornton's individual performance multiplier for her role as CFO was the result of her contribution to several fiscal year objectives and individual annual goals as follows:</w:t>
      </w:r>
    </w:p>
    <w:p>
      <w:pPr>
        <w:spacing w:after="0" w:line="108" w:lineRule="exact"/>
        <w:rPr>
          <w:sz w:val="20"/>
          <w:szCs w:val="20"/>
          <w:color w:val="auto"/>
        </w:rPr>
      </w:pPr>
    </w:p>
    <w:p>
      <w:pPr>
        <w:jc w:val="both"/>
        <w:ind w:left="660" w:hanging="328"/>
        <w:spacing w:after="0" w:line="253"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general and administrative expenses - Objective focused on reducing selling, general and administrative expenses throughout the Company, with a specific focus on reducing general and administrative expenses in a sustainable manner while continuing to invest in sales-generating resources. As a percentage of net sales, SG&amp;A expenses increased from 28.1% in fiscal 2024 to 29.4% in fiscal 2025 primarily due to incremental amortization expense from acquired businesses, facility closure and other reorganization costs, and non-recurring acquisition related costs. These actions reflect deliberate short-term costs increases intended to create a more effective and efficient operating environment in the future.</w:t>
      </w:r>
    </w:p>
    <w:p>
      <w:pPr>
        <w:spacing w:after="0" w:line="5"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before income taxes - Objective focused on improving income before income taxes while making the investments for sustainable long-term organic sales growth. In fiscal 2025, the Company exceeded its income before income taxes target, while increasing investments in R&amp;D by 17.9% and completing and integrating three acquisitions to support sustainable long-term organic sales growth.</w:t>
      </w:r>
    </w:p>
    <w:p>
      <w:pPr>
        <w:spacing w:after="0" w:line="1" w:lineRule="exact"/>
        <w:rPr>
          <w:rFonts w:ascii="Times New Roman" w:cs="Times New Roman" w:eastAsia="Times New Roman" w:hAnsi="Times New Roman"/>
          <w:sz w:val="18"/>
          <w:szCs w:val="18"/>
          <w:color w:val="auto"/>
        </w:rPr>
      </w:pPr>
    </w:p>
    <w:p>
      <w:pPr>
        <w:ind w:left="660" w:right="20" w:hanging="328"/>
        <w:spacing w:after="0" w:line="260"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 - Objective focused on delivering strong cash flow in relation to net income. In fiscal 2025, net cash provided by operating activities was $181.2 million, or 95.7% of net income.</w:t>
      </w:r>
    </w:p>
    <w:p>
      <w:pPr>
        <w:spacing w:after="0" w:line="127"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After a review of Ms. Thornton's performance, the Committee determined that Ms. Thornton's resulting performance level was 110% for her individual performance multiplier.</w:t>
      </w:r>
    </w:p>
    <w:p>
      <w:pPr>
        <w:spacing w:after="0" w:line="108"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Mr. DeBruine's individual performance multiplier was the result of his contribution to several fiscal year objectives and individual annual goals as follows:</w:t>
      </w:r>
    </w:p>
    <w:p>
      <w:pPr>
        <w:spacing w:after="0" w:line="108" w:lineRule="exact"/>
        <w:rPr>
          <w:sz w:val="20"/>
          <w:szCs w:val="20"/>
          <w:color w:val="auto"/>
        </w:rPr>
      </w:pPr>
    </w:p>
    <w:p>
      <w:pPr>
        <w:ind w:left="660" w:hanging="328"/>
        <w:spacing w:after="0" w:line="261"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 enhancement - Objective focused on improving the Company's digital presence and the use of data-driven marketing automation tools to expand and enhance our sales capabilities across both our Americas &amp; Asia and Europe &amp; Australia segments.</w:t>
      </w:r>
    </w:p>
    <w:p>
      <w:pPr>
        <w:ind w:left="660" w:hanging="328"/>
        <w:spacing w:after="0" w:line="250"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 Objective focused on leading the integration of artificial intelligence (“AI”) and other advanced technologies into company processes to enhance efficiency, optimize existing tools, and drive innovation across all operational areas.</w:t>
      </w:r>
    </w:p>
    <w:p>
      <w:pPr>
        <w:ind w:left="660" w:hanging="328"/>
        <w:spacing w:after="0" w:line="250"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 Objective focused on overseeing all aspects of physical location management, including site selection, site closures and facility ownership or lease rationalization, to ensure optimal operational efficiency and continuity.</w:t>
      </w:r>
    </w:p>
    <w:p>
      <w:pPr>
        <w:ind w:left="660" w:right="20" w:hanging="328"/>
        <w:spacing w:after="0" w:line="260"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ESG - Objective focused on fostering a culture of sustainability, integrating ESG considerations into daily operations, with a focus on reducing waste.</w:t>
      </w:r>
    </w:p>
    <w:p>
      <w:pPr>
        <w:spacing w:after="0" w:line="12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After a review of Mr. DeBruine's performance, the Committee determined that Mr. DeBruine's resulting performance level was 140% for his individual performance multiplier.</w:t>
      </w:r>
    </w:p>
    <w:p>
      <w:pPr>
        <w:spacing w:after="0" w:line="108"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Mr. Gorman's individual performance multiplier was the result of his contribution to several fiscal year objectives and individual annual goals as follows:</w:t>
      </w:r>
    </w:p>
    <w:p>
      <w:pPr>
        <w:spacing w:after="0" w:line="108" w:lineRule="exact"/>
        <w:rPr>
          <w:sz w:val="20"/>
          <w:szCs w:val="20"/>
          <w:color w:val="auto"/>
        </w:rPr>
      </w:pPr>
    </w:p>
    <w:p>
      <w:pPr>
        <w:ind w:left="660" w:hanging="328"/>
        <w:spacing w:after="0" w:line="261"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 Objective focused on ensuring continued compliance with domestic and international laws and regulations, as well as maintaining internal compliance programs.</w:t>
      </w: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structure simplification - Objective focused on simplifying the Company's legal entity structure.</w:t>
      </w:r>
    </w:p>
    <w:p>
      <w:pPr>
        <w:spacing w:after="0" w:line="153"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After a review of Mr. Gorman's performance, the Committee determined that Mr. Gorman's resulting performance level was 110% for his individual performance multiplier.</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Mr. Bojarski</w:t>
      </w:r>
    </w:p>
    <w:p>
      <w:pPr>
        <w:spacing w:after="0" w:line="17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cash incentive payable to Mr. Bojarski for fiscal 2025 was based on achievement of Americas &amp; Asia segment sales and operating income. For fiscal 2025, a cash incentive was funded for the achievement of the Americas &amp; Asia segment sales and operating income, as well as total company sales and total company income before income taxes based upon the achievement of the financial targets established at the beginning of the fiscal year. The multiplier for individual performance was applied to the achievement of these components to arrive at the final cash incentive award achieved.</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threshold, target, maximum and actual payout amounts for Mr. Bojarski were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20" w:type="dxa"/>
            <w:vAlign w:val="bottom"/>
            <w:gridSpan w:val="5"/>
          </w:tcPr>
          <w:p>
            <w:pPr>
              <w:jc w:val="center"/>
              <w:ind w:left="1104"/>
              <w:spacing w:after="0"/>
              <w:rPr>
                <w:sz w:val="20"/>
                <w:szCs w:val="20"/>
                <w:color w:val="auto"/>
              </w:rPr>
            </w:pPr>
            <w:r>
              <w:rPr>
                <w:rFonts w:ascii="Times New Roman" w:cs="Times New Roman" w:eastAsia="Times New Roman" w:hAnsi="Times New Roman"/>
                <w:sz w:val="14"/>
                <w:szCs w:val="14"/>
                <w:b w:val="1"/>
                <w:bCs w:val="1"/>
                <w:color w:val="auto"/>
              </w:rPr>
              <w:t>Fiscal 2025 Actual Results</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Performance Measure (weighting)</w:t>
            </w:r>
          </w:p>
        </w:tc>
        <w:tc>
          <w:tcPr>
            <w:tcW w:w="11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11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17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gridSpan w:val="3"/>
            <w:shd w:val="clear" w:color="auto" w:fill="CCEEFF"/>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Achievement ($)</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Achievement (%)</w:t>
            </w:r>
          </w:p>
        </w:tc>
        <w:tc>
          <w:tcPr>
            <w:tcW w:w="0" w:type="dxa"/>
            <w:vAlign w:val="bottom"/>
          </w:tcPr>
          <w:p>
            <w:pPr>
              <w:spacing w:after="0"/>
              <w:rPr>
                <w:sz w:val="1"/>
                <w:szCs w:val="1"/>
                <w:color w:val="auto"/>
              </w:rPr>
            </w:pPr>
          </w:p>
        </w:tc>
      </w:tr>
      <w:tr>
        <w:trPr>
          <w:trHeight w:val="169"/>
        </w:trPr>
        <w:tc>
          <w:tcPr>
            <w:tcW w:w="3200" w:type="dxa"/>
            <w:vAlign w:val="bottom"/>
            <w:tcBorders>
              <w:top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Americas &amp; Asia Division Sales (25%)</w:t>
            </w:r>
          </w:p>
        </w:tc>
        <w:tc>
          <w:tcPr>
            <w:tcW w:w="100" w:type="dxa"/>
            <w:vAlign w:val="bottom"/>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(millions)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$866.3</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$911.9</w:t>
            </w:r>
          </w:p>
        </w:tc>
        <w:tc>
          <w:tcPr>
            <w:tcW w:w="120" w:type="dxa"/>
            <w:vAlign w:val="bottom"/>
          </w:tcPr>
          <w:p>
            <w:pPr>
              <w:spacing w:after="0"/>
              <w:rPr>
                <w:sz w:val="21"/>
                <w:szCs w:val="21"/>
                <w:color w:val="auto"/>
              </w:rPr>
            </w:pPr>
          </w:p>
        </w:tc>
        <w:tc>
          <w:tcPr>
            <w:tcW w:w="1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$958.6 or more</w:t>
            </w: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$921.8</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121 %</w:t>
            </w:r>
          </w:p>
        </w:tc>
        <w:tc>
          <w:tcPr>
            <w:tcW w:w="0" w:type="dxa"/>
            <w:vAlign w:val="bottom"/>
          </w:tcPr>
          <w:p>
            <w:pPr>
              <w:spacing w:after="0"/>
              <w:rPr>
                <w:sz w:val="1"/>
                <w:szCs w:val="1"/>
                <w:color w:val="auto"/>
              </w:rPr>
            </w:pPr>
          </w:p>
        </w:tc>
      </w:tr>
      <w:tr>
        <w:trPr>
          <w:trHeight w:val="176"/>
        </w:trPr>
        <w:tc>
          <w:tcPr>
            <w:tcW w:w="330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Americas &amp; Asia Division Operating</w:t>
            </w: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(45%)(millions)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$214.0</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$237.7</w:t>
            </w:r>
          </w:p>
        </w:tc>
        <w:tc>
          <w:tcPr>
            <w:tcW w:w="120" w:type="dxa"/>
            <w:vAlign w:val="bottom"/>
            <w:shd w:val="clear" w:color="auto" w:fill="CCEEFF"/>
          </w:tcPr>
          <w:p>
            <w:pPr>
              <w:spacing w:after="0"/>
              <w:rPr>
                <w:sz w:val="21"/>
                <w:szCs w:val="21"/>
                <w:color w:val="auto"/>
              </w:rPr>
            </w:pPr>
          </w:p>
        </w:tc>
        <w:tc>
          <w:tcPr>
            <w:tcW w:w="1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$259.2 or more</w:t>
            </w: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$241.3</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117 %</w:t>
            </w:r>
          </w:p>
        </w:tc>
        <w:tc>
          <w:tcPr>
            <w:tcW w:w="0" w:type="dxa"/>
            <w:vAlign w:val="bottom"/>
          </w:tcPr>
          <w:p>
            <w:pPr>
              <w:spacing w:after="0"/>
              <w:rPr>
                <w:sz w:val="1"/>
                <w:szCs w:val="1"/>
                <w:color w:val="auto"/>
              </w:rPr>
            </w:pPr>
          </w:p>
        </w:tc>
      </w:tr>
      <w:tr>
        <w:trPr>
          <w:trHeight w:val="229"/>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Company Sales (10%)(millions)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$1,308.5</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$1,377.4</w:t>
            </w:r>
          </w:p>
        </w:tc>
        <w:tc>
          <w:tcPr>
            <w:tcW w:w="120" w:type="dxa"/>
            <w:vAlign w:val="bottom"/>
          </w:tcPr>
          <w:p>
            <w:pPr>
              <w:spacing w:after="0"/>
              <w:rPr>
                <w:sz w:val="19"/>
                <w:szCs w:val="19"/>
                <w:color w:val="auto"/>
              </w:rPr>
            </w:pPr>
          </w:p>
        </w:tc>
        <w:tc>
          <w:tcPr>
            <w:tcW w:w="1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$1,447.1 or more</w:t>
            </w: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$1,364.9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0" w:type="dxa"/>
            <w:vAlign w:val="bottom"/>
          </w:tcPr>
          <w:p>
            <w:pPr>
              <w:spacing w:after="0"/>
              <w:rPr>
                <w:sz w:val="1"/>
                <w:szCs w:val="1"/>
                <w:color w:val="auto"/>
              </w:rPr>
            </w:pPr>
          </w:p>
        </w:tc>
      </w:tr>
      <w:tr>
        <w:trPr>
          <w:trHeight w:val="176"/>
        </w:trPr>
        <w:tc>
          <w:tcPr>
            <w:tcW w:w="330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Total Company Income Before Income</w:t>
            </w: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Taxes (20%)(millions)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$235.2</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$261.3</w:t>
            </w:r>
          </w:p>
        </w:tc>
        <w:tc>
          <w:tcPr>
            <w:tcW w:w="120" w:type="dxa"/>
            <w:vAlign w:val="bottom"/>
            <w:shd w:val="clear" w:color="auto" w:fill="CCEEFF"/>
          </w:tcPr>
          <w:p>
            <w:pPr>
              <w:spacing w:after="0"/>
              <w:rPr>
                <w:sz w:val="21"/>
                <w:szCs w:val="21"/>
                <w:color w:val="auto"/>
              </w:rPr>
            </w:pPr>
          </w:p>
        </w:tc>
        <w:tc>
          <w:tcPr>
            <w:tcW w:w="1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$284.8 or more</w:t>
            </w: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$266.6</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123 %</w:t>
            </w:r>
          </w:p>
        </w:tc>
        <w:tc>
          <w:tcPr>
            <w:tcW w:w="0" w:type="dxa"/>
            <w:vAlign w:val="bottom"/>
          </w:tcPr>
          <w:p>
            <w:pPr>
              <w:spacing w:after="0"/>
              <w:rPr>
                <w:sz w:val="1"/>
                <w:szCs w:val="1"/>
                <w:color w:val="auto"/>
              </w:rPr>
            </w:pPr>
          </w:p>
        </w:tc>
      </w:tr>
      <w:tr>
        <w:trPr>
          <w:trHeight w:val="223"/>
        </w:trPr>
        <w:tc>
          <w:tcPr>
            <w:tcW w:w="3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Individual Performance Multiplier</w:t>
            </w:r>
          </w:p>
        </w:tc>
        <w:tc>
          <w:tcPr>
            <w:tcW w:w="10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Pr>
          <w:p>
            <w:pPr>
              <w:spacing w:after="0"/>
              <w:rPr>
                <w:sz w:val="19"/>
                <w:szCs w:val="19"/>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150 %</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125 %</w:t>
            </w:r>
          </w:p>
        </w:tc>
        <w:tc>
          <w:tcPr>
            <w:tcW w:w="0" w:type="dxa"/>
            <w:vAlign w:val="bottom"/>
          </w:tcPr>
          <w:p>
            <w:pPr>
              <w:spacing w:after="0"/>
              <w:rPr>
                <w:sz w:val="1"/>
                <w:szCs w:val="1"/>
                <w:color w:val="auto"/>
              </w:rPr>
            </w:pPr>
          </w:p>
        </w:tc>
      </w:tr>
      <w:tr>
        <w:trPr>
          <w:trHeight w:val="137"/>
        </w:trPr>
        <w:tc>
          <w:tcPr>
            <w:tcW w:w="330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4"/>
                <w:szCs w:val="14"/>
                <w:b w:val="1"/>
                <w:bCs w:val="1"/>
                <w:color w:val="auto"/>
              </w:rPr>
              <w:t>Fiscal 2025 Annual Cash Incentive Award:</w:t>
            </w:r>
          </w:p>
        </w:tc>
        <w:tc>
          <w:tcPr>
            <w:tcW w:w="1120" w:type="dxa"/>
            <w:vAlign w:val="bottom"/>
            <w:gridSpan w:val="2"/>
            <w:vMerge w:val="restart"/>
            <w:shd w:val="clear" w:color="auto" w:fill="CCEEFF"/>
          </w:tcPr>
          <w:p>
            <w:pPr>
              <w:ind w:left="200"/>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1100" w:type="dxa"/>
            <w:vAlign w:val="bottom"/>
            <w:gridSpan w:val="2"/>
            <w:vMerge w:val="restart"/>
            <w:shd w:val="clear" w:color="auto" w:fill="CCEEFF"/>
          </w:tcPr>
          <w:p>
            <w:pPr>
              <w:ind w:left="300"/>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1720" w:type="dxa"/>
            <w:vAlign w:val="bottom"/>
            <w:gridSpan w:val="2"/>
            <w:shd w:val="clear" w:color="auto" w:fill="CCEEFF"/>
          </w:tcPr>
          <w:p>
            <w:pPr>
              <w:jc w:val="center"/>
              <w:ind w:right="160"/>
              <w:spacing w:after="0" w:line="137" w:lineRule="exact"/>
              <w:rPr>
                <w:sz w:val="20"/>
                <w:szCs w:val="20"/>
                <w:color w:val="auto"/>
              </w:rPr>
            </w:pPr>
            <w:r>
              <w:rPr>
                <w:rFonts w:ascii="Times New Roman" w:cs="Times New Roman" w:eastAsia="Times New Roman" w:hAnsi="Times New Roman"/>
                <w:sz w:val="14"/>
                <w:szCs w:val="14"/>
                <w:b w:val="1"/>
                <w:bCs w:val="1"/>
                <w:color w:val="auto"/>
              </w:rPr>
              <w:t>Maximum</w:t>
            </w:r>
          </w:p>
        </w:tc>
        <w:tc>
          <w:tcPr>
            <w:tcW w:w="1380" w:type="dxa"/>
            <w:vAlign w:val="bottom"/>
            <w:gridSpan w:val="2"/>
            <w:shd w:val="clear" w:color="auto" w:fill="CCEEFF"/>
          </w:tcPr>
          <w:p>
            <w:pPr>
              <w:ind w:left="200"/>
              <w:spacing w:after="0" w:line="137" w:lineRule="exact"/>
              <w:rPr>
                <w:sz w:val="20"/>
                <w:szCs w:val="20"/>
                <w:color w:val="auto"/>
              </w:rPr>
            </w:pPr>
            <w:r>
              <w:rPr>
                <w:rFonts w:ascii="Times New Roman" w:cs="Times New Roman" w:eastAsia="Times New Roman" w:hAnsi="Times New Roman"/>
                <w:sz w:val="14"/>
                <w:szCs w:val="14"/>
                <w:b w:val="1"/>
                <w:bCs w:val="1"/>
                <w:color w:val="auto"/>
              </w:rPr>
              <w:t>Actual Payout</w:t>
            </w:r>
          </w:p>
        </w:tc>
        <w:tc>
          <w:tcPr>
            <w:tcW w:w="1440" w:type="dxa"/>
            <w:vAlign w:val="bottom"/>
            <w:gridSpan w:val="3"/>
            <w:shd w:val="clear" w:color="auto" w:fill="CCEEFF"/>
          </w:tcPr>
          <w:p>
            <w:pPr>
              <w:jc w:val="center"/>
              <w:ind w:right="180"/>
              <w:spacing w:after="0" w:line="137" w:lineRule="exact"/>
              <w:rPr>
                <w:sz w:val="20"/>
                <w:szCs w:val="20"/>
                <w:color w:val="auto"/>
              </w:rPr>
            </w:pPr>
            <w:r>
              <w:rPr>
                <w:rFonts w:ascii="Times New Roman" w:cs="Times New Roman" w:eastAsia="Times New Roman" w:hAnsi="Times New Roman"/>
                <w:sz w:val="14"/>
                <w:szCs w:val="14"/>
                <w:b w:val="1"/>
                <w:bCs w:val="1"/>
                <w:color w:val="auto"/>
              </w:rPr>
              <w:t>Actual Payout</w:t>
            </w:r>
          </w:p>
        </w:tc>
        <w:tc>
          <w:tcPr>
            <w:tcW w:w="1180" w:type="dxa"/>
            <w:vAlign w:val="bottom"/>
            <w:shd w:val="clear" w:color="auto" w:fill="CCEEFF"/>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Actual Payout</w:t>
            </w:r>
          </w:p>
        </w:tc>
        <w:tc>
          <w:tcPr>
            <w:tcW w:w="0" w:type="dxa"/>
            <w:vAlign w:val="bottom"/>
          </w:tcPr>
          <w:p>
            <w:pPr>
              <w:spacing w:after="0"/>
              <w:rPr>
                <w:sz w:val="1"/>
                <w:szCs w:val="1"/>
                <w:color w:val="auto"/>
              </w:rPr>
            </w:pPr>
          </w:p>
        </w:tc>
      </w:tr>
      <w:tr>
        <w:trPr>
          <w:trHeight w:val="200"/>
        </w:trPr>
        <w:tc>
          <w:tcPr>
            <w:tcW w:w="3300" w:type="dxa"/>
            <w:vAlign w:val="bottom"/>
            <w:gridSpan w:val="2"/>
            <w:vMerge w:val="continue"/>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1100" w:type="dxa"/>
            <w:vAlign w:val="bottom"/>
            <w:gridSpan w:val="2"/>
            <w:vMerge w:val="continue"/>
            <w:shd w:val="clear" w:color="auto" w:fill="CCEEFF"/>
          </w:tcPr>
          <w:p>
            <w:pPr>
              <w:spacing w:after="0"/>
              <w:rPr>
                <w:sz w:val="17"/>
                <w:szCs w:val="17"/>
                <w:color w:val="auto"/>
              </w:rPr>
            </w:pPr>
          </w:p>
        </w:tc>
        <w:tc>
          <w:tcPr>
            <w:tcW w:w="17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 of Base Salary)</w:t>
            </w:r>
          </w:p>
        </w:tc>
        <w:tc>
          <w:tcPr>
            <w:tcW w:w="13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b w:val="1"/>
                <w:bCs w:val="1"/>
                <w:color w:val="auto"/>
              </w:rPr>
              <w:t>(% of Target)</w:t>
            </w:r>
          </w:p>
        </w:tc>
        <w:tc>
          <w:tcPr>
            <w:tcW w:w="1440" w:type="dxa"/>
            <w:vAlign w:val="bottom"/>
            <w:gridSpan w:val="3"/>
            <w:shd w:val="clear" w:color="auto" w:fill="CCEEFF"/>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 of Base Salary)</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8"/>
        </w:trPr>
        <w:tc>
          <w:tcPr>
            <w:tcW w:w="3200" w:type="dxa"/>
            <w:vAlign w:val="bottom"/>
            <w:tcBorders>
              <w:top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O. Bojarski</w:t>
            </w:r>
          </w:p>
        </w:tc>
        <w:tc>
          <w:tcPr>
            <w:tcW w:w="10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120" w:type="dxa"/>
            <w:vAlign w:val="bottom"/>
          </w:tcPr>
          <w:p>
            <w:pPr>
              <w:spacing w:after="0"/>
              <w:rPr>
                <w:sz w:val="19"/>
                <w:szCs w:val="19"/>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225 %</w:t>
            </w:r>
          </w:p>
        </w:tc>
        <w:tc>
          <w:tcPr>
            <w:tcW w:w="120" w:type="dxa"/>
            <w:vAlign w:val="bottom"/>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145 %</w:t>
            </w:r>
          </w:p>
        </w:tc>
        <w:tc>
          <w:tcPr>
            <w:tcW w:w="100" w:type="dxa"/>
            <w:vAlign w:val="bottom"/>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111 %</w:t>
            </w: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$527,960</w:t>
            </w:r>
          </w:p>
        </w:tc>
        <w:tc>
          <w:tcPr>
            <w:tcW w:w="0" w:type="dxa"/>
            <w:vAlign w:val="bottom"/>
          </w:tcPr>
          <w:p>
            <w:pPr>
              <w:spacing w:after="0"/>
              <w:rPr>
                <w:sz w:val="1"/>
                <w:szCs w:val="1"/>
                <w:color w:val="auto"/>
              </w:rPr>
            </w:pPr>
          </w:p>
        </w:tc>
      </w:tr>
    </w:tbl>
    <w:p>
      <w:pPr>
        <w:spacing w:after="0" w:line="23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Mr. Bojarski's individual performance multiplier was the result of his contribution to several fiscal year objectives and individual annual goals in his role as President - Americas &amp; Asia as follows:</w:t>
      </w:r>
    </w:p>
    <w:p>
      <w:pPr>
        <w:spacing w:after="0" w:line="108" w:lineRule="exact"/>
        <w:rPr>
          <w:sz w:val="20"/>
          <w:szCs w:val="20"/>
          <w:color w:val="auto"/>
        </w:rPr>
      </w:pPr>
    </w:p>
    <w:p>
      <w:pPr>
        <w:jc w:val="both"/>
        <w:ind w:left="660" w:hanging="328"/>
        <w:spacing w:after="0" w:line="257"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Americas &amp; Asia segment profit - Objective focused on improving segment profit in the Americas &amp; Asia segment while making the investments for sustainable long-term organic sales growth. In fiscal 2025, segment profit in the Americas &amp; Asia segment was $209.8 million, an improvement of 6.6% over the prior year.</w:t>
      </w:r>
    </w:p>
    <w:p>
      <w:pPr>
        <w:spacing w:after="0" w:line="1"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Americas &amp; Asia organic sales growth - Objective focused on delivering organic sales growth in the Americas &amp; Asia segment. Organic sales within the Americas &amp; Asia segment increased by 4.8% in fiscal 2025.</w:t>
      </w:r>
    </w:p>
    <w:p>
      <w:pPr>
        <w:jc w:val="both"/>
        <w:ind w:left="660" w:hanging="328"/>
        <w:spacing w:after="0" w:line="255"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Innovation development process - Objective focused on implementing sustainable processes to grow the Company’s pipeline of new products and to deliver the new products to market in a timely and cost-effective manner. Advanced this objective by strengthening product development processes, supporting growth in the new product pipeline, and working to deliver products to market in a timely and cost-effective manner.</w:t>
      </w:r>
    </w:p>
    <w:p>
      <w:pPr>
        <w:spacing w:after="0" w:line="13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After a review of Mr. Bojarski's performance, the Committee determined that Mr. Bojarski's resulting performance level was 125% for his individual performance multiplier as President - Americas &amp; Asia.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Equity Incentive Awards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For fiscal 2025, the Committee reviewed historical award sizes and median levels of equity awarded to similar positions at our peer companies and other relevant market data. The Committee then approved the fiscal 2025 awards consisting of a combination of RSUs and PRSUs to align executive compensation with the creation of long-term shareholder value. The Committee uses its discretion in combination with peer group data, analysis of actual pay and performance, and advice from its independent compensation consultant to determine the size and type of equity awards granted to the CEO. For all other executives, the Committee also considers the input from the CEO when determining the size and type of annual equity awards.</w:t>
      </w:r>
    </w:p>
    <w:p>
      <w:pPr>
        <w:spacing w:after="0" w:line="1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RSUs: </w:t>
      </w:r>
      <w:r>
        <w:rPr>
          <w:rFonts w:ascii="Times New Roman" w:cs="Times New Roman" w:eastAsia="Times New Roman" w:hAnsi="Times New Roman"/>
          <w:sz w:val="18"/>
          <w:szCs w:val="18"/>
          <w:color w:val="auto"/>
        </w:rPr>
        <w:t>RSUs generally vest one-third annually for three years. The Committee has the ability to vary the vesting schedule for new RSU grants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accordance with the terms of the plan. All RSUs are granted following the Committee's approval, with a fair value equal to the average of the high and low stock price on the grant date.</w:t>
      </w:r>
    </w:p>
    <w:p>
      <w:pPr>
        <w:spacing w:after="0" w:line="11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PRSUs: </w:t>
      </w:r>
      <w:r>
        <w:rPr>
          <w:rFonts w:ascii="Times New Roman" w:cs="Times New Roman" w:eastAsia="Times New Roman" w:hAnsi="Times New Roman"/>
          <w:sz w:val="18"/>
          <w:szCs w:val="18"/>
          <w:color w:val="auto"/>
        </w:rPr>
        <w:t>PRSUs granted in fiscal 2025 include two vesting criteria: 50% of the shares vest based on diluted EPS targets, and 50% of the shares vest based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revenue performance. Each of these metrics is based on achievement over four separate performance periods as discussed in the Executive Summary. The diluted EPS performance measure aligns executive compensation with the creation of long-term shareholder value. If threshold performance is not achieved for a particular performance period, then no award will vest relative to that performance period. PRSUs will vest between 0% and 200% of target depending on the relative three-year achievement of revenue and diluted EPS growth goals over the respective performance periods.</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 dividends are paid or accrued on the RSUs or PRSUs prior to the issuance of shares.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summary of long-term equity incentive awards granted to the Company's NEOs during fiscal 2025:</w:t>
      </w:r>
    </w:p>
    <w:p>
      <w:pPr>
        <w:spacing w:after="0" w:line="23"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4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Named Officers</w:t>
            </w:r>
          </w:p>
        </w:tc>
        <w:tc>
          <w:tcPr>
            <w:tcW w:w="280" w:type="dxa"/>
            <w:vAlign w:val="bottom"/>
          </w:tcPr>
          <w:p>
            <w:pPr>
              <w:spacing w:after="0"/>
              <w:rPr>
                <w:sz w:val="17"/>
                <w:szCs w:val="17"/>
                <w:color w:val="auto"/>
              </w:rPr>
            </w:pPr>
          </w:p>
        </w:tc>
        <w:tc>
          <w:tcPr>
            <w:tcW w:w="20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7"/>
              </w:rPr>
              <w:t>Total Grant Date</w:t>
            </w:r>
          </w:p>
        </w:tc>
        <w:tc>
          <w:tcPr>
            <w:tcW w:w="140" w:type="dxa"/>
            <w:vAlign w:val="bottom"/>
          </w:tcPr>
          <w:p>
            <w:pPr>
              <w:spacing w:after="0"/>
              <w:rPr>
                <w:sz w:val="17"/>
                <w:szCs w:val="17"/>
                <w:color w:val="auto"/>
              </w:rPr>
            </w:pPr>
          </w:p>
        </w:tc>
        <w:tc>
          <w:tcPr>
            <w:tcW w:w="21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PRSUs (at target)</w:t>
            </w:r>
          </w:p>
        </w:tc>
        <w:tc>
          <w:tcPr>
            <w:tcW w:w="140" w:type="dxa"/>
            <w:vAlign w:val="bottom"/>
          </w:tcPr>
          <w:p>
            <w:pPr>
              <w:spacing w:after="0"/>
              <w:rPr>
                <w:sz w:val="17"/>
                <w:szCs w:val="17"/>
                <w:color w:val="auto"/>
              </w:rPr>
            </w:pPr>
          </w:p>
        </w:tc>
        <w:tc>
          <w:tcPr>
            <w:tcW w:w="202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RSUs</w:t>
            </w:r>
          </w:p>
        </w:tc>
        <w:tc>
          <w:tcPr>
            <w:tcW w:w="0" w:type="dxa"/>
            <w:vAlign w:val="bottom"/>
          </w:tcPr>
          <w:p>
            <w:pPr>
              <w:spacing w:after="0"/>
              <w:rPr>
                <w:sz w:val="1"/>
                <w:szCs w:val="1"/>
                <w:color w:val="auto"/>
              </w:rPr>
            </w:pPr>
          </w:p>
        </w:tc>
      </w:tr>
      <w:tr>
        <w:trPr>
          <w:trHeight w:val="243"/>
        </w:trPr>
        <w:tc>
          <w:tcPr>
            <w:tcW w:w="4360" w:type="dxa"/>
            <w:vAlign w:val="bottom"/>
            <w:gridSpan w:val="2"/>
            <w:vMerge w:val="continue"/>
          </w:tcPr>
          <w:p>
            <w:pPr>
              <w:spacing w:after="0"/>
              <w:rPr>
                <w:sz w:val="21"/>
                <w:szCs w:val="21"/>
                <w:color w:val="auto"/>
              </w:rPr>
            </w:pPr>
          </w:p>
        </w:tc>
        <w:tc>
          <w:tcPr>
            <w:tcW w:w="280" w:type="dxa"/>
            <w:vAlign w:val="bottom"/>
          </w:tcPr>
          <w:p>
            <w:pPr>
              <w:spacing w:after="0"/>
              <w:rPr>
                <w:sz w:val="21"/>
                <w:szCs w:val="21"/>
                <w:color w:val="auto"/>
              </w:rPr>
            </w:pPr>
          </w:p>
        </w:tc>
        <w:tc>
          <w:tcPr>
            <w:tcW w:w="20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40" w:type="dxa"/>
            <w:vAlign w:val="bottom"/>
          </w:tcPr>
          <w:p>
            <w:pPr>
              <w:spacing w:after="0"/>
              <w:rPr>
                <w:sz w:val="21"/>
                <w:szCs w:val="21"/>
                <w:color w:val="auto"/>
              </w:rPr>
            </w:pPr>
          </w:p>
        </w:tc>
        <w:tc>
          <w:tcPr>
            <w:tcW w:w="21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Grant Date Fair Value</w:t>
            </w:r>
          </w:p>
        </w:tc>
        <w:tc>
          <w:tcPr>
            <w:tcW w:w="140" w:type="dxa"/>
            <w:vAlign w:val="bottom"/>
          </w:tcPr>
          <w:p>
            <w:pPr>
              <w:spacing w:after="0"/>
              <w:rPr>
                <w:sz w:val="21"/>
                <w:szCs w:val="21"/>
                <w:color w:val="auto"/>
              </w:rPr>
            </w:pPr>
          </w:p>
        </w:tc>
        <w:tc>
          <w:tcPr>
            <w:tcW w:w="20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Grant Date Fair Value</w:t>
            </w:r>
          </w:p>
        </w:tc>
        <w:tc>
          <w:tcPr>
            <w:tcW w:w="0" w:type="dxa"/>
            <w:vAlign w:val="bottom"/>
          </w:tcPr>
          <w:p>
            <w:pPr>
              <w:spacing w:after="0"/>
              <w:rPr>
                <w:sz w:val="1"/>
                <w:szCs w:val="1"/>
                <w:color w:val="auto"/>
              </w:rPr>
            </w:pPr>
          </w:p>
        </w:tc>
      </w:tr>
      <w:tr>
        <w:trPr>
          <w:trHeight w:val="223"/>
        </w:trPr>
        <w:tc>
          <w:tcPr>
            <w:tcW w:w="4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R.R. Shaller</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4,990,208</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2,590,176</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2,400,032</w:t>
            </w:r>
          </w:p>
        </w:tc>
        <w:tc>
          <w:tcPr>
            <w:tcW w:w="0" w:type="dxa"/>
            <w:vAlign w:val="bottom"/>
          </w:tcPr>
          <w:p>
            <w:pPr>
              <w:spacing w:after="0"/>
              <w:rPr>
                <w:sz w:val="1"/>
                <w:szCs w:val="1"/>
                <w:color w:val="auto"/>
              </w:rPr>
            </w:pPr>
          </w:p>
        </w:tc>
      </w:tr>
      <w:tr>
        <w:trPr>
          <w:trHeight w:val="230"/>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A.E. Thornton</w:t>
            </w:r>
          </w:p>
        </w:tc>
        <w:tc>
          <w:tcPr>
            <w:tcW w:w="28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800,043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400,013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400,030</w:t>
            </w:r>
          </w:p>
        </w:tc>
        <w:tc>
          <w:tcPr>
            <w:tcW w:w="0" w:type="dxa"/>
            <w:vAlign w:val="bottom"/>
          </w:tcPr>
          <w:p>
            <w:pPr>
              <w:spacing w:after="0"/>
              <w:rPr>
                <w:sz w:val="1"/>
                <w:szCs w:val="1"/>
                <w:color w:val="auto"/>
              </w:rPr>
            </w:pPr>
          </w:p>
        </w:tc>
      </w:tr>
      <w:tr>
        <w:trPr>
          <w:trHeight w:val="229"/>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 Bojarski</w:t>
            </w:r>
          </w:p>
        </w:tc>
        <w:tc>
          <w:tcPr>
            <w:tcW w:w="28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750,035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375,007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375,028</w:t>
            </w:r>
          </w:p>
        </w:tc>
        <w:tc>
          <w:tcPr>
            <w:tcW w:w="0" w:type="dxa"/>
            <w:vAlign w:val="bottom"/>
          </w:tcPr>
          <w:p>
            <w:pPr>
              <w:spacing w:after="0"/>
              <w:rPr>
                <w:sz w:val="1"/>
                <w:szCs w:val="1"/>
                <w:color w:val="auto"/>
              </w:rPr>
            </w:pPr>
          </w:p>
        </w:tc>
      </w:tr>
      <w:tr>
        <w:trPr>
          <w:trHeight w:val="229"/>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T.F. DeBruine</w:t>
            </w:r>
          </w:p>
        </w:tc>
        <w:tc>
          <w:tcPr>
            <w:tcW w:w="28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490,078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252,523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237,555</w:t>
            </w:r>
          </w:p>
        </w:tc>
        <w:tc>
          <w:tcPr>
            <w:tcW w:w="0" w:type="dxa"/>
            <w:vAlign w:val="bottom"/>
          </w:tcPr>
          <w:p>
            <w:pPr>
              <w:spacing w:after="0"/>
              <w:rPr>
                <w:sz w:val="1"/>
                <w:szCs w:val="1"/>
                <w:color w:val="auto"/>
              </w:rPr>
            </w:pPr>
          </w:p>
        </w:tc>
      </w:tr>
      <w:tr>
        <w:trPr>
          <w:trHeight w:val="230"/>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A.T. Gorman</w:t>
            </w:r>
          </w:p>
        </w:tc>
        <w:tc>
          <w:tcPr>
            <w:tcW w:w="28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368,998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193,985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175,013</w:t>
            </w: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PRSUs Earned for the Fiscal 2023 - 2025 Performance Period</w:t>
      </w:r>
    </w:p>
    <w:p>
      <w:pPr>
        <w:spacing w:after="0" w:line="175"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table below outlines the performance metrics, performance levels and actual performance achievement for the fiscal 2023 - 2025 PRSU cycle for the TSR and compound annual growth rate (“CAGR”) metrics: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Performance Metric</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60" w:type="dxa"/>
            <w:vAlign w:val="bottom"/>
            <w:gridSpan w:val="9"/>
            <w:vMerge w:val="restart"/>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Threshold (25%)   Target (100%)</w:t>
            </w:r>
          </w:p>
        </w:tc>
        <w:tc>
          <w:tcPr>
            <w:tcW w:w="1840" w:type="dxa"/>
            <w:vAlign w:val="bottom"/>
            <w:gridSpan w:val="7"/>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500" w:type="dxa"/>
            <w:vAlign w:val="bottom"/>
            <w:gridSpan w:val="4"/>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w w:val="97"/>
              </w:rPr>
              <w:t>Actual</w:t>
            </w:r>
          </w:p>
        </w:tc>
        <w:tc>
          <w:tcPr>
            <w:tcW w:w="11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99"/>
              </w:rPr>
              <w:t>% Payout</w:t>
            </w:r>
          </w:p>
        </w:tc>
        <w:tc>
          <w:tcPr>
            <w:tcW w:w="0" w:type="dxa"/>
            <w:vAlign w:val="bottom"/>
          </w:tcPr>
          <w:p>
            <w:pPr>
              <w:spacing w:after="0"/>
              <w:rPr>
                <w:sz w:val="1"/>
                <w:szCs w:val="1"/>
                <w:color w:val="auto"/>
              </w:rPr>
            </w:pPr>
          </w:p>
        </w:tc>
      </w:tr>
      <w:tr>
        <w:trPr>
          <w:trHeight w:val="243"/>
        </w:trPr>
        <w:tc>
          <w:tcPr>
            <w:tcW w:w="2360" w:type="dxa"/>
            <w:vAlign w:val="bottom"/>
            <w:gridSpan w:val="2"/>
            <w:vMerge w:val="continue"/>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60" w:type="dxa"/>
            <w:vAlign w:val="bottom"/>
            <w:gridSpan w:val="9"/>
            <w:vMerge w:val="continue"/>
          </w:tcPr>
          <w:p>
            <w:pPr>
              <w:spacing w:after="0"/>
              <w:rPr>
                <w:sz w:val="21"/>
                <w:szCs w:val="21"/>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(200%)</w:t>
            </w: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00" w:type="dxa"/>
            <w:vAlign w:val="bottom"/>
            <w:gridSpan w:val="6"/>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Performance</w:t>
            </w:r>
          </w:p>
        </w:tc>
        <w:tc>
          <w:tcPr>
            <w:tcW w:w="11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Achieved</w:t>
            </w:r>
          </w:p>
        </w:tc>
        <w:tc>
          <w:tcPr>
            <w:tcW w:w="0" w:type="dxa"/>
            <w:vAlign w:val="bottom"/>
          </w:tcPr>
          <w:p>
            <w:pPr>
              <w:spacing w:after="0"/>
              <w:rPr>
                <w:sz w:val="1"/>
                <w:szCs w:val="1"/>
                <w:color w:val="auto"/>
              </w:rPr>
            </w:pPr>
          </w:p>
        </w:tc>
      </w:tr>
      <w:tr>
        <w:trPr>
          <w:trHeight w:val="223"/>
        </w:trPr>
        <w:tc>
          <w:tcPr>
            <w:tcW w:w="236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Relative TSR Percentile</w:t>
            </w:r>
          </w:p>
        </w:tc>
        <w:tc>
          <w:tcPr>
            <w:tcW w:w="9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9"/>
              </w:rPr>
              <w:t>25th</w:t>
            </w:r>
          </w:p>
        </w:tc>
        <w:tc>
          <w:tcPr>
            <w:tcW w:w="10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50th</w:t>
            </w:r>
          </w:p>
        </w:tc>
        <w:tc>
          <w:tcPr>
            <w:tcW w:w="8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75th</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99"/>
              </w:rPr>
              <w:t>61st</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141 %</w:t>
            </w:r>
          </w:p>
        </w:tc>
        <w:tc>
          <w:tcPr>
            <w:tcW w:w="0" w:type="dxa"/>
            <w:vAlign w:val="bottom"/>
          </w:tcPr>
          <w:p>
            <w:pPr>
              <w:spacing w:after="0"/>
              <w:rPr>
                <w:sz w:val="1"/>
                <w:szCs w:val="1"/>
                <w:color w:val="auto"/>
              </w:rPr>
            </w:pPr>
          </w:p>
        </w:tc>
      </w:tr>
      <w:tr>
        <w:trPr>
          <w:trHeight w:val="450"/>
        </w:trPr>
        <w:tc>
          <w:tcPr>
            <w:tcW w:w="2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3"/>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Performance</w:t>
            </w:r>
          </w:p>
        </w:tc>
        <w:tc>
          <w:tcPr>
            <w:tcW w:w="100" w:type="dxa"/>
            <w:vAlign w:val="bottom"/>
          </w:tcPr>
          <w:p>
            <w:pPr>
              <w:spacing w:after="0"/>
              <w:rPr>
                <w:sz w:val="24"/>
                <w:szCs w:val="24"/>
                <w:color w:val="auto"/>
              </w:rPr>
            </w:pPr>
          </w:p>
        </w:tc>
        <w:tc>
          <w:tcPr>
            <w:tcW w:w="1280" w:type="dxa"/>
            <w:vAlign w:val="bottom"/>
            <w:gridSpan w:val="4"/>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Threshold</w:t>
            </w:r>
          </w:p>
        </w:tc>
        <w:tc>
          <w:tcPr>
            <w:tcW w:w="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5"/>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500" w:type="dxa"/>
            <w:vAlign w:val="bottom"/>
            <w:gridSpan w:val="4"/>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Actual</w:t>
            </w:r>
          </w:p>
        </w:tc>
        <w:tc>
          <w:tcPr>
            <w:tcW w:w="118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 Payout</w:t>
            </w:r>
          </w:p>
        </w:tc>
        <w:tc>
          <w:tcPr>
            <w:tcW w:w="0" w:type="dxa"/>
            <w:vAlign w:val="bottom"/>
          </w:tcPr>
          <w:p>
            <w:pPr>
              <w:spacing w:after="0"/>
              <w:rPr>
                <w:sz w:val="1"/>
                <w:szCs w:val="1"/>
                <w:color w:val="auto"/>
              </w:rPr>
            </w:pPr>
          </w:p>
        </w:tc>
      </w:tr>
      <w:tr>
        <w:trPr>
          <w:trHeight w:val="184"/>
        </w:trPr>
        <w:tc>
          <w:tcPr>
            <w:tcW w:w="2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Performance Period</w:t>
            </w:r>
          </w:p>
        </w:tc>
        <w:tc>
          <w:tcPr>
            <w:tcW w:w="10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Weight</w:t>
            </w:r>
          </w:p>
        </w:tc>
        <w:tc>
          <w:tcPr>
            <w:tcW w:w="130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4"/>
            <w:vMerge w:val="continue"/>
          </w:tcPr>
          <w:p>
            <w:pPr>
              <w:spacing w:after="0"/>
              <w:rPr>
                <w:sz w:val="16"/>
                <w:szCs w:val="16"/>
                <w:color w:val="auto"/>
              </w:rPr>
            </w:pPr>
          </w:p>
        </w:tc>
        <w:tc>
          <w:tcPr>
            <w:tcW w:w="1220" w:type="dxa"/>
            <w:vAlign w:val="bottom"/>
            <w:gridSpan w:val="5"/>
          </w:tcPr>
          <w:p>
            <w:pPr>
              <w:ind w:left="320"/>
              <w:spacing w:after="0" w:line="184" w:lineRule="exact"/>
              <w:rPr>
                <w:sz w:val="20"/>
                <w:szCs w:val="20"/>
                <w:color w:val="auto"/>
              </w:rPr>
            </w:pPr>
            <w:r>
              <w:rPr>
                <w:rFonts w:ascii="Times New Roman" w:cs="Times New Roman" w:eastAsia="Times New Roman" w:hAnsi="Times New Roman"/>
                <w:sz w:val="18"/>
                <w:szCs w:val="18"/>
                <w:b w:val="1"/>
                <w:bCs w:val="1"/>
                <w:color w:val="auto"/>
              </w:rPr>
              <w:t>Target</w:t>
            </w:r>
          </w:p>
        </w:tc>
        <w:tc>
          <w:tcPr>
            <w:tcW w:w="1300" w:type="dxa"/>
            <w:vAlign w:val="bottom"/>
            <w:gridSpan w:val="5"/>
            <w:vMerge w:val="continue"/>
          </w:tcPr>
          <w:p>
            <w:pPr>
              <w:spacing w:after="0"/>
              <w:rPr>
                <w:sz w:val="16"/>
                <w:szCs w:val="16"/>
                <w:color w:val="auto"/>
              </w:rPr>
            </w:pPr>
          </w:p>
        </w:tc>
        <w:tc>
          <w:tcPr>
            <w:tcW w:w="1500" w:type="dxa"/>
            <w:vAlign w:val="bottom"/>
            <w:gridSpan w:val="4"/>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360" w:type="dxa"/>
            <w:vAlign w:val="bottom"/>
            <w:gridSpan w:val="2"/>
            <w:vMerge w:val="continue"/>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Metric</w:t>
            </w:r>
          </w:p>
        </w:tc>
        <w:tc>
          <w:tcPr>
            <w:tcW w:w="1280" w:type="dxa"/>
            <w:vAlign w:val="bottom"/>
            <w:gridSpan w:val="4"/>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(25%)</w:t>
            </w:r>
          </w:p>
        </w:tc>
        <w:tc>
          <w:tcPr>
            <w:tcW w:w="100" w:type="dxa"/>
            <w:vAlign w:val="bottom"/>
          </w:tcPr>
          <w:p>
            <w:pPr>
              <w:spacing w:after="0"/>
              <w:rPr>
                <w:sz w:val="19"/>
                <w:szCs w:val="19"/>
                <w:color w:val="auto"/>
              </w:rPr>
            </w:pPr>
          </w:p>
        </w:tc>
        <w:tc>
          <w:tcPr>
            <w:tcW w:w="1120" w:type="dxa"/>
            <w:vAlign w:val="bottom"/>
            <w:gridSpan w:val="4"/>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(100%)</w:t>
            </w:r>
          </w:p>
        </w:tc>
        <w:tc>
          <w:tcPr>
            <w:tcW w:w="100" w:type="dxa"/>
            <w:vAlign w:val="bottom"/>
          </w:tcPr>
          <w:p>
            <w:pPr>
              <w:spacing w:after="0"/>
              <w:rPr>
                <w:sz w:val="19"/>
                <w:szCs w:val="19"/>
                <w:color w:val="auto"/>
              </w:rPr>
            </w:pPr>
          </w:p>
        </w:tc>
        <w:tc>
          <w:tcPr>
            <w:tcW w:w="90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8"/>
              </w:rPr>
              <w:t>(200%)</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Performance</w:t>
            </w:r>
          </w:p>
        </w:tc>
        <w:tc>
          <w:tcPr>
            <w:tcW w:w="11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Achieved</w:t>
            </w:r>
          </w:p>
        </w:tc>
        <w:tc>
          <w:tcPr>
            <w:tcW w:w="0" w:type="dxa"/>
            <w:vAlign w:val="bottom"/>
          </w:tcPr>
          <w:p>
            <w:pPr>
              <w:spacing w:after="0"/>
              <w:rPr>
                <w:sz w:val="1"/>
                <w:szCs w:val="1"/>
                <w:color w:val="auto"/>
              </w:rPr>
            </w:pPr>
          </w:p>
        </w:tc>
      </w:tr>
      <w:tr>
        <w:trPr>
          <w:trHeight w:val="178"/>
        </w:trPr>
        <w:tc>
          <w:tcPr>
            <w:tcW w:w="2260" w:type="dxa"/>
            <w:vAlign w:val="bottom"/>
            <w:tcBorders>
              <w:top w:val="single" w:sz="8" w:color="auto"/>
            </w:tcBorders>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August 1, 2022 - July 31,</w:t>
            </w:r>
          </w:p>
        </w:tc>
        <w:tc>
          <w:tcPr>
            <w:tcW w:w="10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Year 1 CAGR</w:t>
            </w:r>
          </w:p>
        </w:tc>
        <w:tc>
          <w:tcPr>
            <w:tcW w:w="12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6.0 %</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11.3 %</w:t>
            </w:r>
          </w:p>
        </w:tc>
        <w:tc>
          <w:tcPr>
            <w:tcW w:w="100" w:type="dxa"/>
            <w:vAlign w:val="bottom"/>
            <w:shd w:val="clear" w:color="auto" w:fill="CCEEFF"/>
          </w:tcPr>
          <w:p>
            <w:pPr>
              <w:spacing w:after="0"/>
              <w:rPr>
                <w:sz w:val="20"/>
                <w:szCs w:val="20"/>
                <w:color w:val="auto"/>
              </w:rPr>
            </w:pPr>
          </w:p>
        </w:tc>
        <w:tc>
          <w:tcPr>
            <w:tcW w:w="14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2.5 %</w:t>
            </w:r>
          </w:p>
        </w:tc>
        <w:tc>
          <w:tcPr>
            <w:tcW w:w="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84"/>
        </w:trPr>
        <w:tc>
          <w:tcPr>
            <w:tcW w:w="23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August 1, 2023 - July 31,</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Year 2 CAGR</w:t>
            </w:r>
          </w:p>
        </w:tc>
        <w:tc>
          <w:tcPr>
            <w:tcW w:w="12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6.0 %</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8.6 %</w:t>
            </w:r>
          </w:p>
        </w:tc>
        <w:tc>
          <w:tcPr>
            <w:tcW w:w="100" w:type="dxa"/>
            <w:vAlign w:val="bottom"/>
          </w:tcPr>
          <w:p>
            <w:pPr>
              <w:spacing w:after="0"/>
              <w:rPr>
                <w:sz w:val="20"/>
                <w:szCs w:val="20"/>
                <w:color w:val="auto"/>
              </w:rPr>
            </w:pPr>
          </w:p>
        </w:tc>
        <w:tc>
          <w:tcPr>
            <w:tcW w:w="1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2.3 %</w:t>
            </w:r>
          </w:p>
        </w:tc>
        <w:tc>
          <w:tcPr>
            <w:tcW w:w="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84"/>
        </w:trPr>
        <w:tc>
          <w:tcPr>
            <w:tcW w:w="236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August 1, 2024 - July 31,</w:t>
            </w: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Year 3 CAGR</w:t>
            </w:r>
          </w:p>
        </w:tc>
        <w:tc>
          <w:tcPr>
            <w:tcW w:w="12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6.0 %</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100" w:type="dxa"/>
            <w:vAlign w:val="bottom"/>
            <w:shd w:val="clear" w:color="auto" w:fill="CCEEFF"/>
          </w:tcPr>
          <w:p>
            <w:pPr>
              <w:spacing w:after="0"/>
              <w:rPr>
                <w:sz w:val="20"/>
                <w:szCs w:val="20"/>
                <w:color w:val="auto"/>
              </w:rPr>
            </w:pPr>
          </w:p>
        </w:tc>
        <w:tc>
          <w:tcPr>
            <w:tcW w:w="14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6.1 %</w:t>
            </w:r>
          </w:p>
        </w:tc>
        <w:tc>
          <w:tcPr>
            <w:tcW w:w="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104 %</w:t>
            </w:r>
          </w:p>
        </w:tc>
        <w:tc>
          <w:tcPr>
            <w:tcW w:w="0" w:type="dxa"/>
            <w:vAlign w:val="bottom"/>
          </w:tcPr>
          <w:p>
            <w:pPr>
              <w:spacing w:after="0"/>
              <w:rPr>
                <w:sz w:val="1"/>
                <w:szCs w:val="1"/>
                <w:color w:val="auto"/>
              </w:rPr>
            </w:pPr>
          </w:p>
        </w:tc>
      </w:tr>
      <w:tr>
        <w:trPr>
          <w:trHeight w:val="184"/>
        </w:trPr>
        <w:tc>
          <w:tcPr>
            <w:tcW w:w="23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August 1, 2022 - July 31,</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Total CAGR</w:t>
            </w:r>
          </w:p>
        </w:tc>
        <w:tc>
          <w:tcPr>
            <w:tcW w:w="12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4.0 %</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100" w:type="dxa"/>
            <w:vAlign w:val="bottom"/>
          </w:tcPr>
          <w:p>
            <w:pPr>
              <w:spacing w:after="0"/>
              <w:rPr>
                <w:sz w:val="20"/>
                <w:szCs w:val="20"/>
                <w:color w:val="auto"/>
              </w:rPr>
            </w:pPr>
          </w:p>
        </w:tc>
        <w:tc>
          <w:tcPr>
            <w:tcW w:w="1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2.0 %</w:t>
            </w:r>
          </w:p>
        </w:tc>
        <w:tc>
          <w:tcPr>
            <w:tcW w:w="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2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Payout Achieved</w:t>
            </w:r>
          </w:p>
        </w:tc>
        <w:tc>
          <w:tcPr>
            <w:tcW w:w="10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left="660" w:right="20" w:hanging="328"/>
        <w:spacing w:after="0" w:line="266" w:lineRule="auto"/>
        <w:tabs>
          <w:tab w:leader="none" w:pos="65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target performance and baseline have been adjusted to reflect divestitures. As the Company divested businesses in fiscal 2023 and fiscal 2024, the corresponding baseline and target performance has been adjusted for these performance periods. The Company's target performance was a CAGR of 6% for each of these years.</w:t>
      </w:r>
    </w:p>
    <w:p>
      <w:pPr>
        <w:spacing w:after="0" w:line="12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During fiscal year 2025, the Management Development and Compensation Committee approved a modification to the performance vesting conditions for the above awards. Specifically, the performance metrics for a portion of the PRSU awards granted in fiscal year 2023 were adjusted to include revenue from acquisitions in the achievement of the revenue target. This is considered a Type III modification under ASC Topic 718, “Share-Based Payment” as the modification resulted in a change to the probability of vesting from improbable to probable. The Management Development and Compensation Committee made the decision to align these awards with the PRSUs granted in fiscal 2024 and fiscal 2025, which include the revenue from acquisitions as part of the performance metric. There was no modification made to the portion of awards vesting based on the TSR metric. The PRSUs achieved a total payout of 84%, with half the awards vesting based on the TSR metric, and the other half vesting based on the revenue growth metric.</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Elements of Compensation</w:t>
      </w:r>
    </w:p>
    <w:p>
      <w:pPr>
        <w:spacing w:after="0" w:line="17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Health and Welfare Benefits: </w:t>
      </w:r>
      <w:r>
        <w:rPr>
          <w:rFonts w:ascii="Times New Roman" w:cs="Times New Roman" w:eastAsia="Times New Roman" w:hAnsi="Times New Roman"/>
          <w:sz w:val="18"/>
          <w:szCs w:val="18"/>
          <w:color w:val="auto"/>
        </w:rPr>
        <w:t>We provide subsidized health and welfare benefits which include medical, dental, life and disability insurance and paid time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 Executive officers are entitled to participate in our health and welfare plans on generally the same terms and conditions as other employees, subject to limitations under applicable law. In addition, the Company maintains a supplemental long-term disability policy for its U.S. executives. The supplemental long-term disability policy provides for an additional 15% of compensation, up to a maximum additional benefit of $5,000 per month. Brady pays the premiums for these benefits; therefore, these benefits represent taxable benefits to the executive.</w:t>
      </w:r>
    </w:p>
    <w:p>
      <w:pPr>
        <w:spacing w:after="0" w:line="1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Retirement Benefits: </w:t>
      </w:r>
      <w:r>
        <w:rPr>
          <w:rFonts w:ascii="Times New Roman" w:cs="Times New Roman" w:eastAsia="Times New Roman" w:hAnsi="Times New Roman"/>
          <w:sz w:val="18"/>
          <w:szCs w:val="18"/>
          <w:color w:val="auto"/>
        </w:rPr>
        <w:t>Brady employees (including NEOs) in the United States and certain expatriate employees working for its international subsidiaries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are eligible to participate in the Brady Corporation Matched 401(k) Plan (the “Matched 401(k) Plan”). NEOs in the United States and employees at certain United States locations are also eligible to participate in the Brady Corporation Funded Retirement Plan (“Funded Retirement Plan”). In addition, certain Brady international employees are eligible to participate in Company sponsored statutory and supplementary defined benefit pension plans that are primarily unfunded and provide an income benefit upon termination or retirement.</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Funded Retirement Plan is a defined contribution plan through which the Company contributes 4% of the annual wages of each eligible participant. In addition, participants may elect to defer up to 5% of their annual wages into the Matched 401(k) Plan, which is matched up to an additional 4% contribution from the Company. Participants may elect to contribute an additional 45% of their eligible earnings to their Matched 401(k) Plan account without an additional matching contribution from the Company, which is subject to specified maximum limits allowed by the Internal Revenue Service (“IRS”). The assets of the Matched 401(k) Plan and Funded Retirement Plan credited to each participant are invested by the trustee of the Plans as directed by each plan participant in a variety of investment funds as permitted by the Plans. Participants in the Matched 401(k) Plan become fully vested in employer contributions over a two-year period of continuous service. Employer contributions to the Funded Retirement Plan become fully vested over a six-year period of continuous service.</w:t>
      </w:r>
    </w:p>
    <w:p>
      <w:pPr>
        <w:spacing w:after="0" w:line="13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Benefits are generally payable upon the death, disability, or retirement of the participant, or upon termination of employment before retirement, although benefits may be withdrawn from the Matched 401(k) Plan and paid to the participant in certain circumstances. Under certain specified circumstances, the Matched 401(k) Plan allows a participant to withdraw loans on their account.</w:t>
      </w:r>
    </w:p>
    <w:p>
      <w:pPr>
        <w:spacing w:after="0" w:line="11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Deferred Compensation Arrangements: </w:t>
      </w:r>
      <w:r>
        <w:rPr>
          <w:rFonts w:ascii="Times New Roman" w:cs="Times New Roman" w:eastAsia="Times New Roman" w:hAnsi="Times New Roman"/>
          <w:sz w:val="18"/>
          <w:szCs w:val="18"/>
          <w:color w:val="auto"/>
        </w:rPr>
        <w:t>The Company has two deferred compensation plans, the Executive Deferred Compensation Plan and the Director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Deferred Compensation Plan, that allow for compensation to be deferred into either the Company’s Class A Nonvoting Common Stock or other investment funds. Both the Director Deferred Compensation and the Executive Deferred Compensation Plans disallow transfers from other investment funds into the Company’s Class A Nonvoting Stock, and both disallow transfers from the Company’s Class A Nonvoting Stock into other investment funds. The assets in both deferred compensation plans are held in a Rabbi Trust and are invested by the trustee as directed by the participant. Executives and directors may elect whether to receive their account balance following termination of employment in a single lump sum payment or by means of distribution under an annual installment method. Distributions of the Company’s Class A Nonvoting Common Stock are made in-kind; distributions of mutual funds are made in cash.</w:t>
      </w:r>
    </w:p>
    <w:p>
      <w:pPr>
        <w:spacing w:after="0" w:line="133"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Executives are eligible to participate in the Brady Restoration Plan, which is a non-qualified deferred compensation plan that allows an equivalent benefit to the Matched 401(k) Plan and the Funded Retirement Plan for executives' income exceeding the IRS limits of participation in a qualified 401(k) plan.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Perquisites: </w:t>
      </w:r>
      <w:r>
        <w:rPr>
          <w:rFonts w:ascii="Times New Roman" w:cs="Times New Roman" w:eastAsia="Times New Roman" w:hAnsi="Times New Roman"/>
          <w:sz w:val="18"/>
          <w:szCs w:val="18"/>
          <w:color w:val="auto"/>
        </w:rPr>
        <w:t>Brady generally provides executives with the following perquisites:</w:t>
      </w:r>
    </w:p>
    <w:p>
      <w:pPr>
        <w:spacing w:after="0" w:line="175" w:lineRule="exact"/>
        <w:rPr>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planning and tax preparation;</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car or car allowance;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Physical examination;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care insurance;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Personal liability insurance.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Ownership Requirements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order to encourage our executive officers and directors to acquire and retain ownership of a significant number of shares of the Company's stock, stock ownership requirements have been established.</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Board of Directors has established the following stock ownership requirements for our NEOs:</w:t>
            </w:r>
          </w:p>
        </w:tc>
        <w:tc>
          <w:tcPr>
            <w:tcW w:w="2600" w:type="dxa"/>
            <w:vAlign w:val="bottom"/>
          </w:tcPr>
          <w:p>
            <w:pPr>
              <w:spacing w:after="0"/>
              <w:rPr>
                <w:sz w:val="20"/>
                <w:szCs w:val="20"/>
                <w:color w:val="auto"/>
              </w:rPr>
            </w:pPr>
          </w:p>
        </w:tc>
      </w:tr>
      <w:tr>
        <w:trPr>
          <w:trHeight w:val="189"/>
        </w:trPr>
        <w:tc>
          <w:tcPr>
            <w:tcW w:w="8620" w:type="dxa"/>
            <w:vAlign w:val="bottom"/>
          </w:tcPr>
          <w:p>
            <w:pPr>
              <w:spacing w:after="0"/>
              <w:rPr>
                <w:sz w:val="16"/>
                <w:szCs w:val="16"/>
                <w:color w:val="auto"/>
              </w:rPr>
            </w:pPr>
          </w:p>
        </w:tc>
        <w:tc>
          <w:tcPr>
            <w:tcW w:w="2600" w:type="dxa"/>
            <w:vAlign w:val="bottom"/>
          </w:tcPr>
          <w:p>
            <w:pPr>
              <w:spacing w:after="0"/>
              <w:rPr>
                <w:sz w:val="16"/>
                <w:szCs w:val="16"/>
                <w:color w:val="auto"/>
              </w:rPr>
            </w:pPr>
          </w:p>
        </w:tc>
      </w:tr>
      <w:tr>
        <w:trPr>
          <w:trHeight w:val="230"/>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R.R. Shaller</w:t>
            </w:r>
          </w:p>
        </w:tc>
        <w:tc>
          <w:tcPr>
            <w:tcW w:w="2600" w:type="dxa"/>
            <w:vAlign w:val="bottom"/>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w w:val="99"/>
              </w:rPr>
              <w:t>5 times base salary</w:t>
            </w:r>
          </w:p>
        </w:tc>
      </w:tr>
      <w:tr>
        <w:trPr>
          <w:trHeight w:val="230"/>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A.E. Thornton</w:t>
            </w:r>
          </w:p>
        </w:tc>
        <w:tc>
          <w:tcPr>
            <w:tcW w:w="2600" w:type="dxa"/>
            <w:vAlign w:val="bottom"/>
          </w:tcPr>
          <w:p>
            <w:pPr>
              <w:ind w:left="1220"/>
              <w:spacing w:after="0"/>
              <w:rPr>
                <w:sz w:val="20"/>
                <w:szCs w:val="20"/>
                <w:color w:val="auto"/>
              </w:rPr>
            </w:pPr>
            <w:r>
              <w:rPr>
                <w:rFonts w:ascii="Times New Roman" w:cs="Times New Roman" w:eastAsia="Times New Roman" w:hAnsi="Times New Roman"/>
                <w:sz w:val="18"/>
                <w:szCs w:val="18"/>
                <w:color w:val="auto"/>
                <w:w w:val="99"/>
              </w:rPr>
              <w:t>3 times base salary</w:t>
            </w:r>
          </w:p>
        </w:tc>
      </w:tr>
      <w:tr>
        <w:trPr>
          <w:trHeight w:val="230"/>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 Bojarski</w:t>
            </w:r>
          </w:p>
        </w:tc>
        <w:tc>
          <w:tcPr>
            <w:tcW w:w="2600" w:type="dxa"/>
            <w:vAlign w:val="bottom"/>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w w:val="99"/>
              </w:rPr>
              <w:t>3 times base salary</w:t>
            </w:r>
          </w:p>
        </w:tc>
      </w:tr>
      <w:tr>
        <w:trPr>
          <w:trHeight w:val="229"/>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T.F. DeBruine</w:t>
            </w:r>
          </w:p>
        </w:tc>
        <w:tc>
          <w:tcPr>
            <w:tcW w:w="2600" w:type="dxa"/>
            <w:vAlign w:val="bottom"/>
          </w:tcPr>
          <w:p>
            <w:pPr>
              <w:ind w:left="1220"/>
              <w:spacing w:after="0"/>
              <w:rPr>
                <w:sz w:val="20"/>
                <w:szCs w:val="20"/>
                <w:color w:val="auto"/>
              </w:rPr>
            </w:pPr>
            <w:r>
              <w:rPr>
                <w:rFonts w:ascii="Times New Roman" w:cs="Times New Roman" w:eastAsia="Times New Roman" w:hAnsi="Times New Roman"/>
                <w:sz w:val="18"/>
                <w:szCs w:val="18"/>
                <w:color w:val="auto"/>
                <w:w w:val="99"/>
              </w:rPr>
              <w:t>3 times base salary</w:t>
            </w:r>
          </w:p>
        </w:tc>
      </w:tr>
      <w:tr>
        <w:trPr>
          <w:trHeight w:val="230"/>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A.T. Gorman</w:t>
            </w:r>
          </w:p>
        </w:tc>
        <w:tc>
          <w:tcPr>
            <w:tcW w:w="2600" w:type="dxa"/>
            <w:vAlign w:val="bottom"/>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w w:val="99"/>
              </w:rPr>
              <w:t>2 times base salary</w:t>
            </w:r>
          </w:p>
        </w:tc>
      </w:tr>
    </w:tbl>
    <w:p>
      <w:pPr>
        <w:spacing w:after="0" w:line="23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NEOs are expected to meet their ownership requirement within five years of becoming an executive officer and may not sell shares, other than to cover tax withholding requirements associated with the vesting or exercise of an equity award, until such time as they meet the requirements. All NEOs were in compliance with their respective ownership requirements as of July 31, 2025. If an executive does not meet his or her ownership requirement within five years, the Committee may direct that the executive's after-tax payout on any incentive plans will be in Class A Nonvoting Common Stock in order to satisfy the executive’s ownership requirement.</w:t>
      </w:r>
    </w:p>
    <w:p>
      <w:pPr>
        <w:spacing w:after="0" w:line="1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Actual stock ownership of each NEO is reviewed on an annual basis to ensure the guidelines are met. The following equity balances are included for purposes of determining whether an executive meets his or her ownership requirements: the fair market values of Company stock owned, Company stock held in the Executive Deferred Compensation Plan, RSUs, and the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400"/>
        <w:spacing w:after="0" w:line="438" w:lineRule="auto"/>
        <w:rPr>
          <w:sz w:val="20"/>
          <w:szCs w:val="20"/>
          <w:color w:val="auto"/>
        </w:rPr>
      </w:pPr>
      <w:r>
        <w:rPr>
          <w:rFonts w:ascii="Times New Roman" w:cs="Times New Roman" w:eastAsia="Times New Roman" w:hAnsi="Times New Roman"/>
          <w:sz w:val="18"/>
          <w:szCs w:val="18"/>
          <w:color w:val="auto"/>
        </w:rPr>
        <w:t xml:space="preserve">value of vested and “in the money” stock options. The fair market value of PRSUs are excluded from the determination of executive ownership levels. </w:t>
      </w:r>
      <w:r>
        <w:rPr>
          <w:rFonts w:ascii="Times New Roman" w:cs="Times New Roman" w:eastAsia="Times New Roman" w:hAnsi="Times New Roman"/>
          <w:sz w:val="18"/>
          <w:szCs w:val="18"/>
          <w:b w:val="1"/>
          <w:bCs w:val="1"/>
          <w:color w:val="auto"/>
        </w:rPr>
        <w:t>Insider Trading and Anti-Hedging Policy</w:t>
      </w:r>
    </w:p>
    <w:p>
      <w:pPr>
        <w:spacing w:after="0" w:line="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Insider Trading Policy prohibits hedging and other monetization transactions in Company securities by officers, directors and employees. The prohibition of hedging transactions includes financial instruments such as prepaid variable forwards, equity swaps, collars and exchange funds. The Insider Trading Policy also prohibits the pledging of Company stock as collateral for loans or holding Company securities in a margin account by officers, directors or employees.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and Change of Control Agreements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Employment Offer Letter</w:t>
      </w:r>
    </w:p>
    <w:p>
      <w:pPr>
        <w:spacing w:after="0" w:line="17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Mr. Shaller has an employment offer letter providing for certain severance benefits, as described below under “Potential Payments Upon Termination or Change of Control.” None of the other NEOs have any severance agreements or similar arrangements that would apply outside of a change of control.</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of Control Agreements</w:t>
      </w:r>
    </w:p>
    <w:p>
      <w:pPr>
        <w:spacing w:after="0" w:line="17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Board of Directors previously approved change of control agreements for all of the NEOs of the Company. The agreements applicable to the NEOs provide a payment of an amount commensurate to a multiple of their salary and annual cash incentive payment, as specified in their respective agreement, prior to the date the change of control occurs in the event of termination or resignation for good cause upon a change of control. All of the NEO's agreements provide for up to $25,000 of attorney fees to enforce the executive's rights under the agreement. Payments under the agreement will be made over two years.</w:t>
      </w:r>
    </w:p>
    <w:p>
      <w:pPr>
        <w:spacing w:after="0" w:line="1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Under the terms of the 2017 and 2023 Omnibus Incentive Plans, in the event of (a) the merger or consolidation of the Company with or into another corporation or corporations in which the Company is not the surviving corporation, (b) the adoption of any plan for the dissolution of the Company, or (c) the sale or exchange of all or substantially all the assets of the Company for cash or for shares of stock or other securities of another corporation, all then-unexercised stock options become fully exercisable and all restrictions placed on restricted stock, and performance-based and time-based restricted stock units will lapse. If any stock option is canceled subsequent to the events described above, the Company or the corporation assuming the obligations of the Company, shall pay an amount of cash or stock equal to the in-the-money value of the canceled stock options. The awards granted under the 2017 and 2023 Omnibus Incentive Plans provide for either accelerated or continuation of vesting of stock options and RSUs upon termination due to retirement, for which the eligibility criteria is 60 years of age and 5 years of service.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Non-Compete/Non-Solicitation/Confidentiality</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Equity awards under the Company's 2017 and 2023 Omnibus Incentive Plans contain non-competition, non-solicitation and confidential information covenants applicable to the award recipients. The confidential information covenant prohibits the use, disclosure, copying or duplication of the Company's confidential information other than in the course of authorized activities conducted in the course of the recipient's employment with the Company. The other covenants prohibit the NEOs for 12 months after termination of employment with the Company, from (i) performing duties for or as a competitor of the Company which are the same or similar to those performed by the recipient in the 24 months prior to termination of employment with the Company, (ii) soliciting customers for the sale of competitive products, (iii) soliciting employees to join a competitor or otherwise terminate their relationship with the Company, or (iv) interfering in the Company's relationships with its vendors and suppliers.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Considerations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Section 162(m) of the Internal Revenue Code generally disallows a federal income tax deduction to publicly traded companies for compensation in excess of $1 million per year paid to certain current and former executive officers. Historically, the $1 million deduction limit generally has not applied to compensation that satisfies IRS requirements for qualified performance-based compensation.</w:t>
      </w:r>
    </w:p>
    <w:p>
      <w:pPr>
        <w:spacing w:after="0" w:line="12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Committee's intent is to preserve the deductibility of executive compensation to the extent reasonably practicable and to the extent consistent with its other compensation objectives. However, the Committee believes Section 162(m) is only one of several relevant considerations in establishing executive compensation and believes Section 162(m) implications should not compromise its ability to design and maintain executive compensation arrangements intended to, among other things, attract, motivate and help retain a highly qualified and successful management team to lead the Company. As a result, the Committee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retains the flexibility to provide compensation it determines to be in the best interests of the Company and its shareholders even if that compensation ultimately is not tax deductible.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Considerations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When reviewing preliminary recommendations and in connection with approving the terms of a given incentive plan, management and the Committee review and consider the accounting implications of a compensation arrangement, including the estimated expense and other accounting and disclosure requirements. With consideration of the accounting treatment associated with an incentive plan design, management and the Committee may alter or modify the incentive award if the award and the related accounting consequences were to adversely affect our financial performance.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Development and Compensation Committee Interlocks and Insider Participation</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fiscal 2025, the Committee was composed of Mses. Collins-Smee and Bruno and Messrs. Bem, Richardson and Nargolwala. There are no relationships among the Company's executive officers, members of the Committee or entities whose executives serve on the Board that require disclosure under applicable SEC regulations.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Development and Compensation Committee Report</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Committee has reviewed and discussed the Compensation Discussion and Analysis with management; based on the review and discussions, the Committee recommended to the Board of Directors that the Compensation Discussion and Analysis be included in the Company's Annual Report on Form 10-K.</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Joanne Collins-Smee, Chair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Bem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Elizabeth Bruno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Vineet Nargolwala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Bradley Richardson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Policies and Practices</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believes that its compensation policies, practices, and procedures for executive officers and all other employees are designed to avoid incentives that create unnecessary or excessive risks that are reasonably likely to have a material adverse effect on the Company. The Company's compensation programs are weighted towards offering long-term incentives that reward sustainable performance; do not offer significant short-term incentives that might drive high-risk investments at the expense of long-term Company value; and are set at reasonable and sustainable levels, as determined by a review of the Company's economic position, as well as the compensation offered by comparable companies. Under the oversight of its Audit and Management Development and Compensation Committees, the Company reviewed its compensation policies, practices and procedures for all employees, including executive officers, to evaluate and ensure that they did not foster risk-taking beyond that deemed acceptable within the Company's business model.</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Compensation Table</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sets forth compensation awarded to, earned by, or paid to the NEOs, who served as executive officers during the year ended July 31, 2025, for services rendered as an executive officer to the Company and its subsidiaries during the years ended July 31, 2025, July 31, 2024 and July 31, 2023.</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Option</w:t>
            </w:r>
          </w:p>
        </w:tc>
        <w:tc>
          <w:tcPr>
            <w:tcW w:w="14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Non-Equity</w:t>
            </w:r>
          </w:p>
        </w:tc>
        <w:tc>
          <w:tcPr>
            <w:tcW w:w="120" w:type="dxa"/>
            <w:vAlign w:val="bottom"/>
          </w:tcPr>
          <w:p>
            <w:pPr>
              <w:spacing w:after="0"/>
              <w:rPr>
                <w:sz w:val="16"/>
                <w:szCs w:val="16"/>
                <w:color w:val="auto"/>
              </w:rPr>
            </w:pPr>
          </w:p>
        </w:tc>
        <w:tc>
          <w:tcPr>
            <w:tcW w:w="13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All Other</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Fiscal</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Salary</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Stock Awards</w:t>
            </w:r>
          </w:p>
        </w:tc>
        <w:tc>
          <w:tcPr>
            <w:tcW w:w="1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Incentive Plan</w:t>
            </w:r>
          </w:p>
        </w:tc>
        <w:tc>
          <w:tcPr>
            <w:tcW w:w="12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vMerge w:val="restart"/>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62"/>
        </w:trPr>
        <w:tc>
          <w:tcPr>
            <w:tcW w:w="216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Name and Principal Position</w:t>
            </w: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7"/>
              </w:rPr>
              <w:t>Bonus ($)</w:t>
            </w:r>
          </w:p>
        </w:tc>
        <w:tc>
          <w:tcPr>
            <w:tcW w:w="100" w:type="dxa"/>
            <w:vAlign w:val="bottom"/>
            <w:vMerge w:val="restart"/>
          </w:tcPr>
          <w:p>
            <w:pPr>
              <w:spacing w:after="0"/>
              <w:rPr>
                <w:sz w:val="14"/>
                <w:szCs w:val="14"/>
                <w:color w:val="auto"/>
              </w:rPr>
            </w:pPr>
          </w:p>
        </w:tc>
        <w:tc>
          <w:tcPr>
            <w:tcW w:w="116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w w:val="97"/>
              </w:rPr>
              <w:t>Awards</w:t>
            </w:r>
          </w:p>
        </w:tc>
        <w:tc>
          <w:tcPr>
            <w:tcW w:w="140" w:type="dxa"/>
            <w:vAlign w:val="bottom"/>
          </w:tcPr>
          <w:p>
            <w:pPr>
              <w:spacing w:after="0"/>
              <w:rPr>
                <w:sz w:val="14"/>
                <w:szCs w:val="14"/>
                <w:color w:val="auto"/>
              </w:rPr>
            </w:pPr>
          </w:p>
        </w:tc>
        <w:tc>
          <w:tcPr>
            <w:tcW w:w="130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Compensation</w:t>
            </w:r>
          </w:p>
        </w:tc>
        <w:tc>
          <w:tcPr>
            <w:tcW w:w="120" w:type="dxa"/>
            <w:vAlign w:val="bottom"/>
          </w:tcPr>
          <w:p>
            <w:pPr>
              <w:spacing w:after="0"/>
              <w:rPr>
                <w:sz w:val="14"/>
                <w:szCs w:val="14"/>
                <w:color w:val="auto"/>
              </w:rPr>
            </w:pPr>
          </w:p>
        </w:tc>
        <w:tc>
          <w:tcPr>
            <w:tcW w:w="130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Compensation</w:t>
            </w:r>
          </w:p>
        </w:tc>
        <w:tc>
          <w:tcPr>
            <w:tcW w:w="2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1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Year</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($)(1)</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($)(2)</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32"/>
        </w:trPr>
        <w:tc>
          <w:tcPr>
            <w:tcW w:w="21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R.R. Shaller, President, CEO &amp;</w:t>
            </w: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2025</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996,058</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4,990,208</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1,373,414</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237,686</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7,597,366</w:t>
            </w:r>
          </w:p>
        </w:tc>
        <w:tc>
          <w:tcPr>
            <w:tcW w:w="0" w:type="dxa"/>
            <w:vAlign w:val="bottom"/>
          </w:tcPr>
          <w:p>
            <w:pPr>
              <w:spacing w:after="0"/>
              <w:rPr>
                <w:sz w:val="1"/>
                <w:szCs w:val="1"/>
                <w:color w:val="auto"/>
              </w:rPr>
            </w:pPr>
          </w:p>
        </w:tc>
      </w:tr>
      <w:tr>
        <w:trPr>
          <w:trHeight w:val="114"/>
        </w:trPr>
        <w:tc>
          <w:tcPr>
            <w:tcW w:w="216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2024</w:t>
            </w: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859,212</w:t>
            </w: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9"/>
                <w:szCs w:val="9"/>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3,551,028</w:t>
            </w:r>
          </w:p>
        </w:tc>
        <w:tc>
          <w:tcPr>
            <w:tcW w:w="1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9"/>
                <w:szCs w:val="9"/>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1,439,180</w:t>
            </w: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198,208</w:t>
            </w: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6,047,628</w:t>
            </w:r>
          </w:p>
        </w:tc>
        <w:tc>
          <w:tcPr>
            <w:tcW w:w="0" w:type="dxa"/>
            <w:vAlign w:val="bottom"/>
          </w:tcPr>
          <w:p>
            <w:pPr>
              <w:spacing w:after="0"/>
              <w:rPr>
                <w:sz w:val="1"/>
                <w:szCs w:val="1"/>
                <w:color w:val="auto"/>
              </w:rPr>
            </w:pPr>
          </w:p>
        </w:tc>
      </w:tr>
      <w:tr>
        <w:trPr>
          <w:trHeight w:val="143"/>
        </w:trPr>
        <w:tc>
          <w:tcPr>
            <w:tcW w:w="21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Director </w:t>
            </w:r>
            <w:r>
              <w:rPr>
                <w:rFonts w:ascii="Times New Roman" w:cs="Times New Roman" w:eastAsia="Times New Roman" w:hAnsi="Times New Roman"/>
                <w:sz w:val="21"/>
                <w:szCs w:val="21"/>
                <w:color w:val="auto"/>
                <w:vertAlign w:val="superscript"/>
              </w:rPr>
              <w:t>(4) (6)</w:t>
            </w:r>
          </w:p>
        </w:tc>
        <w:tc>
          <w:tcPr>
            <w:tcW w:w="100" w:type="dxa"/>
            <w:vAlign w:val="bottom"/>
            <w:shd w:val="clear" w:color="auto" w:fill="CCEEFF"/>
          </w:tcPr>
          <w:p>
            <w:pPr>
              <w:spacing w:after="0"/>
              <w:rPr>
                <w:sz w:val="12"/>
                <w:szCs w:val="12"/>
                <w:color w:val="auto"/>
              </w:rPr>
            </w:pPr>
          </w:p>
        </w:tc>
        <w:tc>
          <w:tcPr>
            <w:tcW w:w="60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vMerge w:val="continue"/>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gridSpan w:val="2"/>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16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2023</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774,808</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vMerge w:val="restart"/>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1,164,390</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vMerge w:val="restart"/>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1,162,212</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141,087</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3,242,497</w:t>
            </w:r>
          </w:p>
        </w:tc>
        <w:tc>
          <w:tcPr>
            <w:tcW w:w="0" w:type="dxa"/>
            <w:vAlign w:val="bottom"/>
          </w:tcPr>
          <w:p>
            <w:pPr>
              <w:spacing w:after="0"/>
              <w:rPr>
                <w:sz w:val="1"/>
                <w:szCs w:val="1"/>
                <w:color w:val="auto"/>
              </w:rPr>
            </w:pPr>
          </w:p>
        </w:tc>
      </w:tr>
      <w:tr>
        <w:trPr>
          <w:trHeight w:val="121"/>
        </w:trPr>
        <w:tc>
          <w:tcPr>
            <w:tcW w:w="2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tcBorders>
              <w:bottom w:val="single" w:sz="8" w:color="auto"/>
            </w:tcBorders>
            <w:shd w:val="clear" w:color="auto" w:fill="CCEEFF"/>
          </w:tcPr>
          <w:p>
            <w:pPr>
              <w:spacing w:after="0"/>
              <w:rPr>
                <w:sz w:val="10"/>
                <w:szCs w:val="10"/>
                <w:color w:val="auto"/>
              </w:rPr>
            </w:pPr>
          </w:p>
        </w:tc>
        <w:tc>
          <w:tcPr>
            <w:tcW w:w="760" w:type="dxa"/>
            <w:vAlign w:val="bottom"/>
            <w:tcBorders>
              <w:bottom w:val="single" w:sz="8" w:color="auto"/>
            </w:tcBorders>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760" w:type="dxa"/>
            <w:vAlign w:val="bottom"/>
            <w:tcBorders>
              <w:bottom w:val="single" w:sz="8" w:color="auto"/>
            </w:tcBorders>
            <w:vMerge w:val="continue"/>
            <w:shd w:val="clear" w:color="auto" w:fill="CCEEFF"/>
          </w:tcPr>
          <w:p>
            <w:pPr>
              <w:spacing w:after="0"/>
              <w:rPr>
                <w:sz w:val="10"/>
                <w:szCs w:val="10"/>
                <w:color w:val="auto"/>
              </w:rPr>
            </w:pPr>
          </w:p>
        </w:tc>
        <w:tc>
          <w:tcPr>
            <w:tcW w:w="100" w:type="dxa"/>
            <w:vAlign w:val="bottom"/>
            <w:vMerge w:val="continue"/>
            <w:shd w:val="clear" w:color="auto" w:fill="CCEEFF"/>
          </w:tcPr>
          <w:p>
            <w:pPr>
              <w:spacing w:after="0"/>
              <w:rPr>
                <w:sz w:val="10"/>
                <w:szCs w:val="10"/>
                <w:color w:val="auto"/>
              </w:rPr>
            </w:pPr>
          </w:p>
        </w:tc>
        <w:tc>
          <w:tcPr>
            <w:tcW w:w="220" w:type="dxa"/>
            <w:vAlign w:val="bottom"/>
            <w:tcBorders>
              <w:bottom w:val="single" w:sz="8" w:color="auto"/>
            </w:tcBorders>
            <w:shd w:val="clear" w:color="auto" w:fill="CCEEFF"/>
          </w:tcPr>
          <w:p>
            <w:pPr>
              <w:spacing w:after="0"/>
              <w:rPr>
                <w:sz w:val="10"/>
                <w:szCs w:val="10"/>
                <w:color w:val="auto"/>
              </w:rPr>
            </w:pPr>
          </w:p>
        </w:tc>
        <w:tc>
          <w:tcPr>
            <w:tcW w:w="820" w:type="dxa"/>
            <w:vAlign w:val="bottom"/>
            <w:tcBorders>
              <w:bottom w:val="single" w:sz="8" w:color="auto"/>
            </w:tcBorders>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tcBorders>
              <w:bottom w:val="single" w:sz="8" w:color="auto"/>
            </w:tcBorders>
            <w:shd w:val="clear" w:color="auto" w:fill="CCEEFF"/>
          </w:tcPr>
          <w:p>
            <w:pPr>
              <w:spacing w:after="0"/>
              <w:rPr>
                <w:sz w:val="10"/>
                <w:szCs w:val="10"/>
                <w:color w:val="auto"/>
              </w:rPr>
            </w:pPr>
          </w:p>
        </w:tc>
        <w:tc>
          <w:tcPr>
            <w:tcW w:w="860" w:type="dxa"/>
            <w:vAlign w:val="bottom"/>
            <w:tcBorders>
              <w:bottom w:val="single" w:sz="8" w:color="auto"/>
            </w:tcBorders>
            <w:vMerge w:val="continue"/>
            <w:shd w:val="clear" w:color="auto" w:fill="CCEEFF"/>
          </w:tcPr>
          <w:p>
            <w:pPr>
              <w:spacing w:after="0"/>
              <w:rPr>
                <w:sz w:val="10"/>
                <w:szCs w:val="10"/>
                <w:color w:val="auto"/>
              </w:rPr>
            </w:pPr>
          </w:p>
        </w:tc>
        <w:tc>
          <w:tcPr>
            <w:tcW w:w="100" w:type="dxa"/>
            <w:vAlign w:val="bottom"/>
            <w:vMerge w:val="continue"/>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spacing w:after="0"/>
              <w:rPr>
                <w:sz w:val="10"/>
                <w:szCs w:val="10"/>
                <w:color w:val="auto"/>
              </w:rPr>
            </w:pPr>
          </w:p>
        </w:tc>
        <w:tc>
          <w:tcPr>
            <w:tcW w:w="1180" w:type="dxa"/>
            <w:vAlign w:val="bottom"/>
            <w:tcBorders>
              <w:bottom w:val="single" w:sz="8" w:color="auto"/>
            </w:tcBorders>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1200" w:type="dxa"/>
            <w:vAlign w:val="bottom"/>
            <w:tcBorders>
              <w:bottom w:val="single" w:sz="8" w:color="auto"/>
            </w:tcBorders>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tcBorders>
              <w:bottom w:val="single" w:sz="8" w:color="auto"/>
            </w:tcBorders>
            <w:shd w:val="clear" w:color="auto" w:fill="CCEEFF"/>
          </w:tcPr>
          <w:p>
            <w:pPr>
              <w:spacing w:after="0"/>
              <w:rPr>
                <w:sz w:val="10"/>
                <w:szCs w:val="10"/>
                <w:color w:val="auto"/>
              </w:rPr>
            </w:pPr>
          </w:p>
        </w:tc>
        <w:tc>
          <w:tcPr>
            <w:tcW w:w="860" w:type="dxa"/>
            <w:vAlign w:val="bottom"/>
            <w:tcBorders>
              <w:bottom w:val="single" w:sz="8" w:color="auto"/>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33"/>
        </w:trPr>
        <w:tc>
          <w:tcPr>
            <w:tcW w:w="21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A.E. Thornton, CFO, CAO &amp;</w:t>
            </w:r>
          </w:p>
        </w:tc>
        <w:tc>
          <w:tcPr>
            <w:tcW w:w="70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9"/>
              </w:rPr>
              <w:t>2025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506,828</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800,043</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425,380</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99,952</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1,832,203</w:t>
            </w:r>
          </w:p>
        </w:tc>
        <w:tc>
          <w:tcPr>
            <w:tcW w:w="0" w:type="dxa"/>
            <w:vAlign w:val="bottom"/>
          </w:tcPr>
          <w:p>
            <w:pPr>
              <w:spacing w:after="0"/>
              <w:rPr>
                <w:sz w:val="1"/>
                <w:szCs w:val="1"/>
                <w:color w:val="auto"/>
              </w:rPr>
            </w:pPr>
          </w:p>
        </w:tc>
      </w:tr>
      <w:tr>
        <w:trPr>
          <w:trHeight w:val="100"/>
        </w:trPr>
        <w:tc>
          <w:tcPr>
            <w:tcW w:w="2160" w:type="dxa"/>
            <w:vAlign w:val="bottom"/>
            <w:vMerge w:val="continue"/>
          </w:tcPr>
          <w:p>
            <w:pPr>
              <w:spacing w:after="0"/>
              <w:rPr>
                <w:sz w:val="8"/>
                <w:szCs w:val="8"/>
                <w:color w:val="auto"/>
              </w:rPr>
            </w:pPr>
          </w:p>
        </w:tc>
        <w:tc>
          <w:tcPr>
            <w:tcW w:w="700" w:type="dxa"/>
            <w:vAlign w:val="bottom"/>
            <w:gridSpan w:val="2"/>
            <w:vMerge w:val="restart"/>
          </w:tcPr>
          <w:p>
            <w:pPr>
              <w:jc w:val="center"/>
              <w:ind w:left="19"/>
              <w:spacing w:after="0"/>
              <w:rPr>
                <w:sz w:val="20"/>
                <w:szCs w:val="20"/>
                <w:color w:val="auto"/>
              </w:rPr>
            </w:pPr>
            <w:r>
              <w:rPr>
                <w:rFonts w:ascii="Times New Roman" w:cs="Times New Roman" w:eastAsia="Times New Roman" w:hAnsi="Times New Roman"/>
                <w:sz w:val="16"/>
                <w:szCs w:val="16"/>
                <w:color w:val="auto"/>
                <w:w w:val="99"/>
              </w:rPr>
              <w:t>2024</w:t>
            </w: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468,173</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8"/>
                <w:szCs w:val="8"/>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675,016</w:t>
            </w: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8"/>
                <w:szCs w:val="8"/>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439,146</w:t>
            </w: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75,978</w:t>
            </w: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1,658,313</w:t>
            </w:r>
          </w:p>
        </w:tc>
        <w:tc>
          <w:tcPr>
            <w:tcW w:w="0" w:type="dxa"/>
            <w:vAlign w:val="bottom"/>
          </w:tcPr>
          <w:p>
            <w:pPr>
              <w:spacing w:after="0"/>
              <w:rPr>
                <w:sz w:val="1"/>
                <w:szCs w:val="1"/>
                <w:color w:val="auto"/>
              </w:rPr>
            </w:pPr>
          </w:p>
        </w:tc>
      </w:tr>
      <w:tr>
        <w:trPr>
          <w:trHeight w:val="202"/>
        </w:trPr>
        <w:tc>
          <w:tcPr>
            <w:tcW w:w="2160" w:type="dxa"/>
            <w:vAlign w:val="bottom"/>
          </w:tcPr>
          <w:p>
            <w:pPr>
              <w:ind w:left="20"/>
              <w:spacing w:after="0" w:line="202" w:lineRule="exact"/>
              <w:rPr>
                <w:sz w:val="20"/>
                <w:szCs w:val="20"/>
                <w:color w:val="auto"/>
              </w:rPr>
            </w:pPr>
            <w:r>
              <w:rPr>
                <w:rFonts w:ascii="Times New Roman" w:cs="Times New Roman" w:eastAsia="Times New Roman" w:hAnsi="Times New Roman"/>
                <w:sz w:val="16"/>
                <w:szCs w:val="16"/>
                <w:color w:val="auto"/>
              </w:rPr>
              <w:t xml:space="preserve">Treasurer </w:t>
            </w:r>
            <w:r>
              <w:rPr>
                <w:rFonts w:ascii="Times New Roman" w:cs="Times New Roman" w:eastAsia="Times New Roman" w:hAnsi="Times New Roman"/>
                <w:sz w:val="21"/>
                <w:szCs w:val="21"/>
                <w:color w:val="auto"/>
                <w:vertAlign w:val="superscript"/>
              </w:rPr>
              <w:t>(5)</w:t>
            </w:r>
          </w:p>
        </w:tc>
        <w:tc>
          <w:tcPr>
            <w:tcW w:w="7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16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9"/>
              </w:rPr>
              <w:t>2023</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314,614</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50,025</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50,060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203,881</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44,423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663,003</w:t>
            </w:r>
          </w:p>
        </w:tc>
        <w:tc>
          <w:tcPr>
            <w:tcW w:w="0" w:type="dxa"/>
            <w:vAlign w:val="bottom"/>
          </w:tcPr>
          <w:p>
            <w:pPr>
              <w:spacing w:after="0"/>
              <w:rPr>
                <w:sz w:val="1"/>
                <w:szCs w:val="1"/>
                <w:color w:val="auto"/>
              </w:rPr>
            </w:pPr>
          </w:p>
        </w:tc>
      </w:tr>
      <w:tr>
        <w:trPr>
          <w:trHeight w:val="220"/>
        </w:trPr>
        <w:tc>
          <w:tcPr>
            <w:tcW w:w="21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 Bojarski, President -</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2025</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485,481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750,035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527,960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124,826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1,888,302</w:t>
            </w:r>
          </w:p>
        </w:tc>
        <w:tc>
          <w:tcPr>
            <w:tcW w:w="0" w:type="dxa"/>
            <w:vAlign w:val="bottom"/>
          </w:tcPr>
          <w:p>
            <w:pPr>
              <w:spacing w:after="0"/>
              <w:rPr>
                <w:sz w:val="1"/>
                <w:szCs w:val="1"/>
                <w:color w:val="auto"/>
              </w:rPr>
            </w:pPr>
          </w:p>
        </w:tc>
      </w:tr>
      <w:tr>
        <w:trPr>
          <w:trHeight w:val="114"/>
        </w:trPr>
        <w:tc>
          <w:tcPr>
            <w:tcW w:w="216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2024</w:t>
            </w: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461,404</w:t>
            </w: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9"/>
                <w:szCs w:val="9"/>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682,053</w:t>
            </w:r>
          </w:p>
        </w:tc>
        <w:tc>
          <w:tcPr>
            <w:tcW w:w="1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9"/>
                <w:szCs w:val="9"/>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449,869</w:t>
            </w: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97,005</w:t>
            </w: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1,690,331</w:t>
            </w:r>
          </w:p>
        </w:tc>
        <w:tc>
          <w:tcPr>
            <w:tcW w:w="0" w:type="dxa"/>
            <w:vAlign w:val="bottom"/>
          </w:tcPr>
          <w:p>
            <w:pPr>
              <w:spacing w:after="0"/>
              <w:rPr>
                <w:sz w:val="1"/>
                <w:szCs w:val="1"/>
                <w:color w:val="auto"/>
              </w:rPr>
            </w:pPr>
          </w:p>
        </w:tc>
      </w:tr>
      <w:tr>
        <w:trPr>
          <w:trHeight w:val="129"/>
        </w:trPr>
        <w:tc>
          <w:tcPr>
            <w:tcW w:w="21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Americas &amp; Asia</w:t>
            </w:r>
          </w:p>
        </w:tc>
        <w:tc>
          <w:tcPr>
            <w:tcW w:w="100" w:type="dxa"/>
            <w:vAlign w:val="bottom"/>
            <w:shd w:val="clear" w:color="auto" w:fill="CCEEFF"/>
          </w:tcPr>
          <w:p>
            <w:pPr>
              <w:spacing w:after="0"/>
              <w:rPr>
                <w:sz w:val="11"/>
                <w:szCs w:val="11"/>
                <w:color w:val="auto"/>
              </w:rPr>
            </w:pPr>
          </w:p>
        </w:tc>
        <w:tc>
          <w:tcPr>
            <w:tcW w:w="60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gridSpan w:val="2"/>
            <w:vMerge w:val="continue"/>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60" w:type="dxa"/>
            <w:vAlign w:val="bottom"/>
            <w:gridSpan w:val="2"/>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8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16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2023</w:t>
            </w:r>
          </w:p>
        </w:tc>
        <w:tc>
          <w:tcPr>
            <w:tcW w:w="1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401,077</w:t>
            </w:r>
          </w:p>
        </w:tc>
        <w:tc>
          <w:tcPr>
            <w:tcW w:w="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200,000</w:t>
            </w:r>
          </w:p>
        </w:tc>
        <w:tc>
          <w:tcPr>
            <w:tcW w:w="1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600,029</w:t>
            </w:r>
          </w:p>
        </w:tc>
        <w:tc>
          <w:tcPr>
            <w:tcW w:w="1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7"/>
                <w:szCs w:val="7"/>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387,290</w:t>
            </w:r>
          </w:p>
        </w:tc>
        <w:tc>
          <w:tcPr>
            <w:tcW w:w="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78,133</w:t>
            </w:r>
          </w:p>
        </w:tc>
        <w:tc>
          <w:tcPr>
            <w:tcW w:w="1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1,666,529</w:t>
            </w:r>
          </w:p>
        </w:tc>
        <w:tc>
          <w:tcPr>
            <w:tcW w:w="0" w:type="dxa"/>
            <w:vAlign w:val="bottom"/>
          </w:tcPr>
          <w:p>
            <w:pPr>
              <w:spacing w:after="0"/>
              <w:rPr>
                <w:sz w:val="1"/>
                <w:szCs w:val="1"/>
                <w:color w:val="auto"/>
              </w:rPr>
            </w:pPr>
          </w:p>
        </w:tc>
      </w:tr>
      <w:tr>
        <w:trPr>
          <w:trHeight w:val="208"/>
        </w:trPr>
        <w:tc>
          <w:tcPr>
            <w:tcW w:w="2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1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T.F. DeBruine, Chief Operating</w:t>
            </w:r>
          </w:p>
        </w:tc>
        <w:tc>
          <w:tcPr>
            <w:tcW w:w="70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9"/>
              </w:rPr>
              <w:t>2025</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450,000</w:t>
            </w:r>
          </w:p>
        </w:tc>
        <w:tc>
          <w:tcPr>
            <w:tcW w:w="12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490,078</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412,020</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96,171</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1,448,269</w:t>
            </w:r>
          </w:p>
        </w:tc>
        <w:tc>
          <w:tcPr>
            <w:tcW w:w="0" w:type="dxa"/>
            <w:vAlign w:val="bottom"/>
          </w:tcPr>
          <w:p>
            <w:pPr>
              <w:spacing w:after="0"/>
              <w:rPr>
                <w:sz w:val="1"/>
                <w:szCs w:val="1"/>
                <w:color w:val="auto"/>
              </w:rPr>
            </w:pPr>
          </w:p>
        </w:tc>
      </w:tr>
      <w:tr>
        <w:trPr>
          <w:trHeight w:val="101"/>
        </w:trPr>
        <w:tc>
          <w:tcPr>
            <w:tcW w:w="2160" w:type="dxa"/>
            <w:vAlign w:val="bottom"/>
            <w:vMerge w:val="continue"/>
          </w:tcPr>
          <w:p>
            <w:pPr>
              <w:spacing w:after="0"/>
              <w:rPr>
                <w:sz w:val="8"/>
                <w:szCs w:val="8"/>
                <w:color w:val="auto"/>
              </w:rPr>
            </w:pPr>
          </w:p>
        </w:tc>
        <w:tc>
          <w:tcPr>
            <w:tcW w:w="700" w:type="dxa"/>
            <w:vAlign w:val="bottom"/>
            <w:gridSpan w:val="2"/>
            <w:vMerge w:val="restart"/>
          </w:tcPr>
          <w:p>
            <w:pPr>
              <w:jc w:val="center"/>
              <w:ind w:left="19"/>
              <w:spacing w:after="0"/>
              <w:rPr>
                <w:sz w:val="20"/>
                <w:szCs w:val="20"/>
                <w:color w:val="auto"/>
              </w:rPr>
            </w:pPr>
            <w:r>
              <w:rPr>
                <w:rFonts w:ascii="Times New Roman" w:cs="Times New Roman" w:eastAsia="Times New Roman" w:hAnsi="Times New Roman"/>
                <w:sz w:val="16"/>
                <w:szCs w:val="16"/>
                <w:color w:val="auto"/>
                <w:w w:val="99"/>
              </w:rPr>
              <w:t>2024</w:t>
            </w: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354,327</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8"/>
                <w:szCs w:val="8"/>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220,084</w:t>
            </w: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8"/>
                <w:szCs w:val="8"/>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306,896</w:t>
            </w: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80,432</w:t>
            </w: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961,739</w:t>
            </w:r>
          </w:p>
        </w:tc>
        <w:tc>
          <w:tcPr>
            <w:tcW w:w="0" w:type="dxa"/>
            <w:vAlign w:val="bottom"/>
          </w:tcPr>
          <w:p>
            <w:pPr>
              <w:spacing w:after="0"/>
              <w:rPr>
                <w:sz w:val="1"/>
                <w:szCs w:val="1"/>
                <w:color w:val="auto"/>
              </w:rPr>
            </w:pPr>
          </w:p>
        </w:tc>
      </w:tr>
      <w:tr>
        <w:trPr>
          <w:trHeight w:val="202"/>
        </w:trPr>
        <w:tc>
          <w:tcPr>
            <w:tcW w:w="2160" w:type="dxa"/>
            <w:vAlign w:val="bottom"/>
          </w:tcPr>
          <w:p>
            <w:pPr>
              <w:ind w:left="20"/>
              <w:spacing w:after="0" w:line="202" w:lineRule="exact"/>
              <w:rPr>
                <w:sz w:val="20"/>
                <w:szCs w:val="20"/>
                <w:color w:val="auto"/>
              </w:rPr>
            </w:pPr>
            <w:r>
              <w:rPr>
                <w:rFonts w:ascii="Times New Roman" w:cs="Times New Roman" w:eastAsia="Times New Roman" w:hAnsi="Times New Roman"/>
                <w:sz w:val="16"/>
                <w:szCs w:val="16"/>
                <w:color w:val="auto"/>
              </w:rPr>
              <w:t xml:space="preserve">Officer </w:t>
            </w:r>
            <w:r>
              <w:rPr>
                <w:rFonts w:ascii="Times New Roman" w:cs="Times New Roman" w:eastAsia="Times New Roman" w:hAnsi="Times New Roman"/>
                <w:sz w:val="21"/>
                <w:szCs w:val="21"/>
                <w:color w:val="auto"/>
                <w:vertAlign w:val="superscript"/>
              </w:rPr>
              <w:t>(6)</w:t>
            </w:r>
          </w:p>
        </w:tc>
        <w:tc>
          <w:tcPr>
            <w:tcW w:w="7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16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9"/>
              </w:rPr>
              <w:t>2023</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317,500</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151,926</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60,063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238,125</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68,912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836,526</w:t>
            </w:r>
          </w:p>
        </w:tc>
        <w:tc>
          <w:tcPr>
            <w:tcW w:w="0" w:type="dxa"/>
            <w:vAlign w:val="bottom"/>
          </w:tcPr>
          <w:p>
            <w:pPr>
              <w:spacing w:after="0"/>
              <w:rPr>
                <w:sz w:val="1"/>
                <w:szCs w:val="1"/>
                <w:color w:val="auto"/>
              </w:rPr>
            </w:pPr>
          </w:p>
        </w:tc>
      </w:tr>
      <w:tr>
        <w:trPr>
          <w:trHeight w:val="234"/>
        </w:trPr>
        <w:tc>
          <w:tcPr>
            <w:tcW w:w="21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A.T. Gorman, General Counsel</w:t>
            </w: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2025</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369,230</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368,998</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265,625</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83,305</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1,087,158</w:t>
            </w:r>
          </w:p>
        </w:tc>
        <w:tc>
          <w:tcPr>
            <w:tcW w:w="0" w:type="dxa"/>
            <w:vAlign w:val="bottom"/>
          </w:tcPr>
          <w:p>
            <w:pPr>
              <w:spacing w:after="0"/>
              <w:rPr>
                <w:sz w:val="1"/>
                <w:szCs w:val="1"/>
                <w:color w:val="auto"/>
              </w:rPr>
            </w:pPr>
          </w:p>
        </w:tc>
      </w:tr>
      <w:tr>
        <w:trPr>
          <w:trHeight w:val="100"/>
        </w:trPr>
        <w:tc>
          <w:tcPr>
            <w:tcW w:w="216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2024</w:t>
            </w: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341,250</w:t>
            </w: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8"/>
                <w:szCs w:val="8"/>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315,072</w:t>
            </w:r>
          </w:p>
        </w:tc>
        <w:tc>
          <w:tcPr>
            <w:tcW w:w="1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8"/>
                <w:szCs w:val="8"/>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342,957</w:t>
            </w: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69,987</w:t>
            </w:r>
          </w:p>
        </w:tc>
        <w:tc>
          <w:tcPr>
            <w:tcW w:w="1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1,069,266</w:t>
            </w:r>
          </w:p>
        </w:tc>
        <w:tc>
          <w:tcPr>
            <w:tcW w:w="0" w:type="dxa"/>
            <w:vAlign w:val="bottom"/>
          </w:tcPr>
          <w:p>
            <w:pPr>
              <w:spacing w:after="0"/>
              <w:rPr>
                <w:sz w:val="1"/>
                <w:szCs w:val="1"/>
                <w:color w:val="auto"/>
              </w:rPr>
            </w:pPr>
          </w:p>
        </w:tc>
      </w:tr>
      <w:tr>
        <w:trPr>
          <w:trHeight w:val="202"/>
        </w:trPr>
        <w:tc>
          <w:tcPr>
            <w:tcW w:w="216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6"/>
                <w:szCs w:val="16"/>
                <w:color w:val="auto"/>
              </w:rPr>
              <w:t xml:space="preserve">and Secretary </w:t>
            </w:r>
            <w:r>
              <w:rPr>
                <w:rFonts w:ascii="Times New Roman" w:cs="Times New Roman" w:eastAsia="Times New Roman" w:hAnsi="Times New Roman"/>
                <w:sz w:val="21"/>
                <w:szCs w:val="21"/>
                <w:color w:val="auto"/>
                <w:vertAlign w:val="superscript"/>
              </w:rPr>
              <w:t>(6)</w:t>
            </w:r>
          </w:p>
        </w:tc>
        <w:tc>
          <w:tcPr>
            <w:tcW w:w="10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2023</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322,616</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191,792</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75,828</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193,569</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72,292</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856,097</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left="660" w:hanging="328"/>
        <w:spacing w:after="0" w:line="253" w:lineRule="auto"/>
        <w:tabs>
          <w:tab w:leader="none" w:pos="65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grant date fair value of RSUs and PRSUs computed in accordance with accounting guidance for equity grants made or modified in the applicable year. The grant date fair value of RSUs is calculated based on the number of shares of Class A Common Stock underlying the RSUs times the average of the high and low stock price of Class A Common Stock on the date of grant. The grant date fair value of PRSUs was calculated based on the number of shares of Class A Common Stock underlying the award times the average of the high and low stock price of Class A Common Stock on the date of grant. The actual value of a RSU will depend on the market value of the Class A Common Stock on the date the stock is sold. The table reflects the grant date fair value at target for PRSUs (100%). The values of the PRSU awards in fiscal 2025 at the grant date if the highest level of performance conditions were to be achieved would be as follows: Mr. Shaller, $4,800,008; Ms. Thornton, $800,026; Mr. Bojarski, $750,014; Mr. DeBruine, $475,028; and Mr. Gorman, $350,074.</w:t>
      </w:r>
    </w:p>
    <w:p>
      <w:pPr>
        <w:ind w:left="640" w:hanging="308"/>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annual cash incentives earned during the listed fiscal years, which was paid during the next fiscal year.</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 the 'All Other Compensation' column include: matching contributions to the Company’s Matched 401(k) Plan, Funded Retirement Plan and Restoration Plan, company car or car allowance, the cost of group term life insurance, the cost of long-term care insurance, the cost of disability insurance and other compensation or perquisites. The other compensation includes pay related to severance agreements, settlement agreements and other perquisites including annual allowances for financial and tax planning and the cost of personal liability insurance. Refer to the table following these footnotes.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his appointment to President, Chief Executive Officer and Director on April 1, 2022, Mr. Shaller was awarded $760,500 of stock options and $760,500 of RSUs. In addition, Mr. Shaller was granted an additional $250,000 RSU award at this time. The $760,500 stock option and $760,500 RSU grants related to an early grant of Mr. Shaller's fiscal 2023 equity awards, so he did not receive any stock options or RSUs during fiscal 2023. As such, fiscal 2024 was the first year in which Mr. Shaller received his full Chief Executive Officer compensation and benefits.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Thornton was appointed as Chief Financial Officer, Chief Accounting Officer and Treasurer effective April 14, 2023. As part of her appointment, Ms. Thornton received a base salary of $450,000. In fiscal 2024, Ms. Thornton began receiving equity awards and other incentive benefits corresponding to her appointment as Chief Financial Officer.</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5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discussed within the PRSU achievement section above, the Management Development and Compensation Committee approved a modification to certain outstanding stock awards to align their performance vesting conditions with current grant design and evolving business priorities. Specifically, the performance metrics for a portion of the PRSU awards granted in fiscal year 2023 were adjusted to include acquisitions from newly acquired companies in the achievement of the revenue target. In the Summary Compensation Table above, this incremental fair value is included</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in the “Stock Awards” column for each named executive officer who received the modified awards. The amounts reported in this column reflect the new grant date fair value based on the market price (average of the high and low of the stock price) on the date of the modification, as well as the amount expected to vest under the revised performance conditions. The value of the modification included in the “Stock Awards” column for fiscal year 2025 is as follows: Mr. Shaller, $190,172; Mr. DeBruine $15,009; and Mr. Gorman $18,948.</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Retirement Plan</w:t>
            </w:r>
          </w:p>
        </w:tc>
        <w:tc>
          <w:tcPr>
            <w:tcW w:w="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Group Term</w:t>
            </w:r>
          </w:p>
        </w:tc>
        <w:tc>
          <w:tcPr>
            <w:tcW w:w="1240" w:type="dxa"/>
            <w:vAlign w:val="bottom"/>
            <w:gridSpan w:val="3"/>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Long-term</w:t>
            </w:r>
          </w:p>
        </w:tc>
        <w:tc>
          <w:tcPr>
            <w:tcW w:w="14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Long-term</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Total All Other</w:t>
            </w:r>
          </w:p>
        </w:tc>
        <w:tc>
          <w:tcPr>
            <w:tcW w:w="0" w:type="dxa"/>
            <w:vAlign w:val="bottom"/>
          </w:tcPr>
          <w:p>
            <w:pPr>
              <w:spacing w:after="0"/>
              <w:rPr>
                <w:sz w:val="1"/>
                <w:szCs w:val="1"/>
                <w:color w:val="auto"/>
              </w:rPr>
            </w:pPr>
          </w:p>
        </w:tc>
      </w:tr>
      <w:tr>
        <w:trPr>
          <w:trHeight w:val="162"/>
        </w:trPr>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Fiscal</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22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Company Car</w:t>
            </w:r>
          </w:p>
        </w:tc>
        <w:tc>
          <w:tcPr>
            <w:tcW w:w="1200" w:type="dxa"/>
            <w:vAlign w:val="bottom"/>
            <w:gridSpan w:val="3"/>
            <w:vMerge w:val="continue"/>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Disability</w:t>
            </w:r>
          </w:p>
        </w:tc>
        <w:tc>
          <w:tcPr>
            <w:tcW w:w="220" w:type="dxa"/>
            <w:vAlign w:val="bottom"/>
          </w:tcPr>
          <w:p>
            <w:pPr>
              <w:spacing w:after="0"/>
              <w:rPr>
                <w:sz w:val="14"/>
                <w:szCs w:val="14"/>
                <w:color w:val="auto"/>
              </w:rPr>
            </w:pPr>
          </w:p>
        </w:tc>
        <w:tc>
          <w:tcPr>
            <w:tcW w:w="10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6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Name</w:t>
            </w:r>
          </w:p>
        </w:tc>
        <w:tc>
          <w:tcPr>
            <w:tcW w:w="1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Contributions</w:t>
            </w:r>
          </w:p>
        </w:tc>
        <w:tc>
          <w:tcPr>
            <w:tcW w:w="1220" w:type="dxa"/>
            <w:vAlign w:val="bottom"/>
            <w:gridSpan w:val="3"/>
            <w:vMerge w:val="continue"/>
          </w:tcPr>
          <w:p>
            <w:pPr>
              <w:spacing w:after="0"/>
              <w:rPr>
                <w:sz w:val="14"/>
                <w:szCs w:val="14"/>
                <w:color w:val="auto"/>
              </w:rPr>
            </w:pPr>
          </w:p>
        </w:tc>
        <w:tc>
          <w:tcPr>
            <w:tcW w:w="1200" w:type="dxa"/>
            <w:vAlign w:val="bottom"/>
            <w:gridSpan w:val="3"/>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Life Insurance</w:t>
            </w:r>
          </w:p>
        </w:tc>
        <w:tc>
          <w:tcPr>
            <w:tcW w:w="1240" w:type="dxa"/>
            <w:vAlign w:val="bottom"/>
            <w:gridSpan w:val="3"/>
          </w:tcPr>
          <w:p>
            <w:pPr>
              <w:ind w:left="40"/>
              <w:spacing w:after="0" w:line="162" w:lineRule="exact"/>
              <w:rPr>
                <w:sz w:val="20"/>
                <w:szCs w:val="20"/>
                <w:color w:val="auto"/>
              </w:rPr>
            </w:pPr>
            <w:r>
              <w:rPr>
                <w:rFonts w:ascii="Times New Roman" w:cs="Times New Roman" w:eastAsia="Times New Roman" w:hAnsi="Times New Roman"/>
                <w:sz w:val="16"/>
                <w:szCs w:val="16"/>
                <w:b w:val="1"/>
                <w:bCs w:val="1"/>
                <w:color w:val="auto"/>
              </w:rPr>
              <w:t>Care Insurance</w:t>
            </w:r>
          </w:p>
        </w:tc>
        <w:tc>
          <w:tcPr>
            <w:tcW w:w="140" w:type="dxa"/>
            <w:vAlign w:val="bottom"/>
          </w:tcPr>
          <w:p>
            <w:pPr>
              <w:spacing w:after="0"/>
              <w:rPr>
                <w:sz w:val="14"/>
                <w:szCs w:val="14"/>
                <w:color w:val="auto"/>
              </w:rPr>
            </w:pPr>
          </w:p>
        </w:tc>
        <w:tc>
          <w:tcPr>
            <w:tcW w:w="108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w w:val="99"/>
              </w:rPr>
              <w:t>Insurance</w:t>
            </w:r>
          </w:p>
        </w:tc>
        <w:tc>
          <w:tcPr>
            <w:tcW w:w="2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right"/>
              <w:ind w:right="159"/>
              <w:spacing w:after="0" w:line="162" w:lineRule="exact"/>
              <w:rPr>
                <w:sz w:val="20"/>
                <w:szCs w:val="20"/>
                <w:color w:val="auto"/>
              </w:rPr>
            </w:pPr>
            <w:r>
              <w:rPr>
                <w:rFonts w:ascii="Times New Roman" w:cs="Times New Roman" w:eastAsia="Times New Roman" w:hAnsi="Times New Roman"/>
                <w:sz w:val="16"/>
                <w:szCs w:val="16"/>
                <w:b w:val="1"/>
                <w:bCs w:val="1"/>
                <w:color w:val="auto"/>
              </w:rPr>
              <w:t>Compensation</w:t>
            </w:r>
          </w:p>
        </w:tc>
        <w:tc>
          <w:tcPr>
            <w:tcW w:w="0" w:type="dxa"/>
            <w:vAlign w:val="bottom"/>
          </w:tcPr>
          <w:p>
            <w:pPr>
              <w:spacing w:after="0"/>
              <w:rPr>
                <w:sz w:val="1"/>
                <w:szCs w:val="1"/>
                <w:color w:val="auto"/>
              </w:rPr>
            </w:pPr>
          </w:p>
        </w:tc>
      </w:tr>
      <w:tr>
        <w:trPr>
          <w:trHeight w:val="214"/>
        </w:trPr>
        <w:tc>
          <w:tcPr>
            <w:tcW w:w="124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Year</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50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2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5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6"/>
                <w:szCs w:val="16"/>
                <w:b w:val="1"/>
                <w:bCs w:val="1"/>
                <w:color w:val="auto"/>
                <w:w w:val="89"/>
              </w:rPr>
              <w:t>($</w:t>
            </w:r>
          </w:p>
        </w:tc>
        <w:tc>
          <w:tcPr>
            <w:tcW w:w="52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32"/>
        </w:trPr>
        <w:tc>
          <w:tcPr>
            <w:tcW w:w="1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2025</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188,073</w:t>
            </w: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18,000</w:t>
            </w: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1,314</w:t>
            </w: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6,475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18,455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237,686</w:t>
            </w:r>
          </w:p>
        </w:tc>
        <w:tc>
          <w:tcPr>
            <w:tcW w:w="0" w:type="dxa"/>
            <w:vAlign w:val="bottom"/>
          </w:tcPr>
          <w:p>
            <w:pPr>
              <w:spacing w:after="0"/>
              <w:rPr>
                <w:sz w:val="1"/>
                <w:szCs w:val="1"/>
                <w:color w:val="auto"/>
              </w:rPr>
            </w:pPr>
          </w:p>
        </w:tc>
      </w:tr>
      <w:tr>
        <w:trPr>
          <w:trHeight w:val="257"/>
        </w:trPr>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R.R. Shaller</w:t>
            </w: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163,895</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18,000</w:t>
            </w: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1,566</w:t>
            </w: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6,475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198,208</w:t>
            </w:r>
          </w:p>
        </w:tc>
        <w:tc>
          <w:tcPr>
            <w:tcW w:w="0" w:type="dxa"/>
            <w:vAlign w:val="bottom"/>
          </w:tcPr>
          <w:p>
            <w:pPr>
              <w:spacing w:after="0"/>
              <w:rPr>
                <w:sz w:val="1"/>
                <w:szCs w:val="1"/>
                <w:color w:val="auto"/>
              </w:rPr>
            </w:pPr>
          </w:p>
        </w:tc>
      </w:tr>
      <w:tr>
        <w:trPr>
          <w:trHeight w:val="259"/>
        </w:trPr>
        <w:tc>
          <w:tcPr>
            <w:tcW w:w="12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2023</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108,563</w:t>
            </w:r>
          </w:p>
        </w:tc>
        <w:tc>
          <w:tcPr>
            <w:tcW w:w="100" w:type="dxa"/>
            <w:vAlign w:val="bottom"/>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18,000</w:t>
            </w:r>
          </w:p>
        </w:tc>
        <w:tc>
          <w:tcPr>
            <w:tcW w:w="120" w:type="dxa"/>
            <w:vAlign w:val="bottom"/>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1,131</w:t>
            </w:r>
          </w:p>
        </w:tc>
        <w:tc>
          <w:tcPr>
            <w:tcW w:w="100" w:type="dxa"/>
            <w:vAlign w:val="bottom"/>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6,475</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5,239</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1,679</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141,087</w:t>
            </w:r>
          </w:p>
        </w:tc>
        <w:tc>
          <w:tcPr>
            <w:tcW w:w="0" w:type="dxa"/>
            <w:vAlign w:val="bottom"/>
          </w:tcPr>
          <w:p>
            <w:pPr>
              <w:spacing w:after="0"/>
              <w:rPr>
                <w:sz w:val="1"/>
                <w:szCs w:val="1"/>
                <w:color w:val="auto"/>
              </w:rPr>
            </w:pPr>
          </w:p>
        </w:tc>
      </w:tr>
      <w:tr>
        <w:trPr>
          <w:trHeight w:val="234"/>
        </w:trPr>
        <w:tc>
          <w:tcPr>
            <w:tcW w:w="1240" w:type="dxa"/>
            <w:vAlign w:val="bottom"/>
          </w:tcPr>
          <w:p>
            <w:pPr>
              <w:spacing w:after="0"/>
              <w:rPr>
                <w:sz w:val="20"/>
                <w:szCs w:val="20"/>
                <w:color w:val="auto"/>
              </w:rPr>
            </w:pPr>
          </w:p>
        </w:tc>
        <w:tc>
          <w:tcPr>
            <w:tcW w:w="78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color w:val="auto"/>
                <w:w w:val="99"/>
              </w:rPr>
              <w:t>2025</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74,566</w:t>
            </w:r>
          </w:p>
        </w:tc>
        <w:tc>
          <w:tcPr>
            <w:tcW w:w="100" w:type="dxa"/>
            <w:vAlign w:val="bottom"/>
          </w:tcPr>
          <w:p>
            <w:pPr>
              <w:spacing w:after="0"/>
              <w:rPr>
                <w:sz w:val="20"/>
                <w:szCs w:val="20"/>
                <w:color w:val="auto"/>
              </w:rPr>
            </w:pPr>
          </w:p>
        </w:tc>
        <w:tc>
          <w:tcPr>
            <w:tcW w:w="60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5"/>
              </w:rPr>
              <w:t>18,000</w:t>
            </w:r>
          </w:p>
        </w:tc>
        <w:tc>
          <w:tcPr>
            <w:tcW w:w="120" w:type="dxa"/>
            <w:vAlign w:val="bottom"/>
          </w:tcPr>
          <w:p>
            <w:pPr>
              <w:spacing w:after="0"/>
              <w:rPr>
                <w:sz w:val="20"/>
                <w:szCs w:val="20"/>
                <w:color w:val="auto"/>
              </w:rPr>
            </w:pPr>
          </w:p>
        </w:tc>
        <w:tc>
          <w:tcPr>
            <w:tcW w:w="58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974</w:t>
            </w:r>
          </w:p>
        </w:tc>
        <w:tc>
          <w:tcPr>
            <w:tcW w:w="100" w:type="dxa"/>
            <w:vAlign w:val="bottom"/>
          </w:tcPr>
          <w:p>
            <w:pPr>
              <w:spacing w:after="0"/>
              <w:rPr>
                <w:sz w:val="20"/>
                <w:szCs w:val="20"/>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3,024</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3,388</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99,952</w:t>
            </w:r>
          </w:p>
        </w:tc>
        <w:tc>
          <w:tcPr>
            <w:tcW w:w="0" w:type="dxa"/>
            <w:vAlign w:val="bottom"/>
          </w:tcPr>
          <w:p>
            <w:pPr>
              <w:spacing w:after="0"/>
              <w:rPr>
                <w:sz w:val="1"/>
                <w:szCs w:val="1"/>
                <w:color w:val="auto"/>
              </w:rPr>
            </w:pPr>
          </w:p>
        </w:tc>
      </w:tr>
      <w:tr>
        <w:trPr>
          <w:trHeight w:val="257"/>
        </w:trPr>
        <w:tc>
          <w:tcPr>
            <w:tcW w:w="1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A.E. Thornton</w:t>
            </w:r>
          </w:p>
        </w:tc>
        <w:tc>
          <w:tcPr>
            <w:tcW w:w="78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color w:val="auto"/>
                <w:w w:val="99"/>
              </w:rPr>
              <w:t>2024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50,953</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5"/>
              </w:rPr>
              <w:t>18,000</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677</w:t>
            </w: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3,024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75,978</w:t>
            </w:r>
          </w:p>
        </w:tc>
        <w:tc>
          <w:tcPr>
            <w:tcW w:w="0" w:type="dxa"/>
            <w:vAlign w:val="bottom"/>
          </w:tcPr>
          <w:p>
            <w:pPr>
              <w:spacing w:after="0"/>
              <w:rPr>
                <w:sz w:val="1"/>
                <w:szCs w:val="1"/>
                <w:color w:val="auto"/>
              </w:rPr>
            </w:pPr>
          </w:p>
        </w:tc>
      </w:tr>
      <w:tr>
        <w:trPr>
          <w:trHeight w:val="260"/>
        </w:trPr>
        <w:tc>
          <w:tcPr>
            <w:tcW w:w="124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gridSpan w:val="2"/>
          </w:tcPr>
          <w:p>
            <w:pPr>
              <w:jc w:val="center"/>
              <w:ind w:left="59"/>
              <w:spacing w:after="0"/>
              <w:rPr>
                <w:sz w:val="20"/>
                <w:szCs w:val="20"/>
                <w:color w:val="auto"/>
              </w:rPr>
            </w:pPr>
            <w:r>
              <w:rPr>
                <w:rFonts w:ascii="Times New Roman" w:cs="Times New Roman" w:eastAsia="Times New Roman" w:hAnsi="Times New Roman"/>
                <w:sz w:val="16"/>
                <w:szCs w:val="16"/>
                <w:color w:val="auto"/>
                <w:w w:val="99"/>
              </w:rPr>
              <w:t>2023</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37,781</w:t>
            </w: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4,915</w:t>
            </w: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0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756</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822</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44,423</w:t>
            </w:r>
          </w:p>
        </w:tc>
        <w:tc>
          <w:tcPr>
            <w:tcW w:w="0" w:type="dxa"/>
            <w:vAlign w:val="bottom"/>
          </w:tcPr>
          <w:p>
            <w:pPr>
              <w:spacing w:after="0"/>
              <w:rPr>
                <w:sz w:val="1"/>
                <w:szCs w:val="1"/>
                <w:color w:val="auto"/>
              </w:rPr>
            </w:pPr>
          </w:p>
        </w:tc>
      </w:tr>
      <w:tr>
        <w:trPr>
          <w:trHeight w:val="233"/>
        </w:trPr>
        <w:tc>
          <w:tcPr>
            <w:tcW w:w="1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2025</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74,143</w:t>
            </w: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18,000</w:t>
            </w: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1,175</w:t>
            </w: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6,624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20,675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124,826</w:t>
            </w:r>
          </w:p>
        </w:tc>
        <w:tc>
          <w:tcPr>
            <w:tcW w:w="0" w:type="dxa"/>
            <w:vAlign w:val="bottom"/>
          </w:tcPr>
          <w:p>
            <w:pPr>
              <w:spacing w:after="0"/>
              <w:rPr>
                <w:sz w:val="1"/>
                <w:szCs w:val="1"/>
                <w:color w:val="auto"/>
              </w:rPr>
            </w:pPr>
          </w:p>
        </w:tc>
      </w:tr>
      <w:tr>
        <w:trPr>
          <w:trHeight w:val="257"/>
        </w:trPr>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 Bojarski</w:t>
            </w: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67,123</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18,000</w:t>
            </w: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871</w:t>
            </w: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6,624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97,005</w:t>
            </w:r>
          </w:p>
        </w:tc>
        <w:tc>
          <w:tcPr>
            <w:tcW w:w="0" w:type="dxa"/>
            <w:vAlign w:val="bottom"/>
          </w:tcPr>
          <w:p>
            <w:pPr>
              <w:spacing w:after="0"/>
              <w:rPr>
                <w:sz w:val="1"/>
                <w:szCs w:val="1"/>
                <w:color w:val="auto"/>
              </w:rPr>
            </w:pPr>
          </w:p>
        </w:tc>
      </w:tr>
      <w:tr>
        <w:trPr>
          <w:trHeight w:val="260"/>
        </w:trPr>
        <w:tc>
          <w:tcPr>
            <w:tcW w:w="12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2023</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31,880</w:t>
            </w:r>
          </w:p>
        </w:tc>
        <w:tc>
          <w:tcPr>
            <w:tcW w:w="100" w:type="dxa"/>
            <w:vAlign w:val="bottom"/>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16,408</w:t>
            </w:r>
          </w:p>
        </w:tc>
        <w:tc>
          <w:tcPr>
            <w:tcW w:w="120" w:type="dxa"/>
            <w:vAlign w:val="bottom"/>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w:t>
            </w:r>
          </w:p>
        </w:tc>
        <w:tc>
          <w:tcPr>
            <w:tcW w:w="100" w:type="dxa"/>
            <w:vAlign w:val="bottom"/>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3,312</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2,138</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23,868</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78,133</w:t>
            </w:r>
          </w:p>
        </w:tc>
        <w:tc>
          <w:tcPr>
            <w:tcW w:w="0" w:type="dxa"/>
            <w:vAlign w:val="bottom"/>
          </w:tcPr>
          <w:p>
            <w:pPr>
              <w:spacing w:after="0"/>
              <w:rPr>
                <w:sz w:val="1"/>
                <w:szCs w:val="1"/>
                <w:color w:val="auto"/>
              </w:rPr>
            </w:pPr>
          </w:p>
        </w:tc>
      </w:tr>
      <w:tr>
        <w:trPr>
          <w:trHeight w:val="233"/>
        </w:trPr>
        <w:tc>
          <w:tcPr>
            <w:tcW w:w="1240" w:type="dxa"/>
            <w:vAlign w:val="bottom"/>
          </w:tcPr>
          <w:p>
            <w:pPr>
              <w:spacing w:after="0"/>
              <w:rPr>
                <w:sz w:val="20"/>
                <w:szCs w:val="20"/>
                <w:color w:val="auto"/>
              </w:rPr>
            </w:pPr>
          </w:p>
        </w:tc>
        <w:tc>
          <w:tcPr>
            <w:tcW w:w="78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color w:val="auto"/>
                <w:w w:val="99"/>
              </w:rPr>
              <w:t>2025</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58,694</w:t>
            </w:r>
          </w:p>
        </w:tc>
        <w:tc>
          <w:tcPr>
            <w:tcW w:w="100" w:type="dxa"/>
            <w:vAlign w:val="bottom"/>
          </w:tcPr>
          <w:p>
            <w:pPr>
              <w:spacing w:after="0"/>
              <w:rPr>
                <w:sz w:val="20"/>
                <w:szCs w:val="20"/>
                <w:color w:val="auto"/>
              </w:rPr>
            </w:pPr>
          </w:p>
        </w:tc>
        <w:tc>
          <w:tcPr>
            <w:tcW w:w="60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5"/>
              </w:rPr>
              <w:t>18,000</w:t>
            </w:r>
          </w:p>
        </w:tc>
        <w:tc>
          <w:tcPr>
            <w:tcW w:w="120" w:type="dxa"/>
            <w:vAlign w:val="bottom"/>
          </w:tcPr>
          <w:p>
            <w:pPr>
              <w:spacing w:after="0"/>
              <w:rPr>
                <w:sz w:val="20"/>
                <w:szCs w:val="20"/>
                <w:color w:val="auto"/>
              </w:rPr>
            </w:pPr>
          </w:p>
        </w:tc>
        <w:tc>
          <w:tcPr>
            <w:tcW w:w="58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853</w:t>
            </w:r>
          </w:p>
        </w:tc>
        <w:tc>
          <w:tcPr>
            <w:tcW w:w="100" w:type="dxa"/>
            <w:vAlign w:val="bottom"/>
          </w:tcPr>
          <w:p>
            <w:pPr>
              <w:spacing w:after="0"/>
              <w:rPr>
                <w:sz w:val="20"/>
                <w:szCs w:val="20"/>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95"/>
              </w:rPr>
              <w:t>11,182</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4,039</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3,403</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96,171</w:t>
            </w:r>
          </w:p>
        </w:tc>
        <w:tc>
          <w:tcPr>
            <w:tcW w:w="0" w:type="dxa"/>
            <w:vAlign w:val="bottom"/>
          </w:tcPr>
          <w:p>
            <w:pPr>
              <w:spacing w:after="0"/>
              <w:rPr>
                <w:sz w:val="1"/>
                <w:szCs w:val="1"/>
                <w:color w:val="auto"/>
              </w:rPr>
            </w:pPr>
          </w:p>
        </w:tc>
      </w:tr>
      <w:tr>
        <w:trPr>
          <w:trHeight w:val="257"/>
        </w:trPr>
        <w:tc>
          <w:tcPr>
            <w:tcW w:w="1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T.F. DeBruine</w:t>
            </w:r>
          </w:p>
        </w:tc>
        <w:tc>
          <w:tcPr>
            <w:tcW w:w="78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color w:val="auto"/>
                <w:w w:val="99"/>
              </w:rPr>
              <w:t>2024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45,854</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5"/>
              </w:rPr>
              <w:t>18,000</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709</w:t>
            </w: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95"/>
              </w:rPr>
              <w:t>11,182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80,432</w:t>
            </w:r>
          </w:p>
        </w:tc>
        <w:tc>
          <w:tcPr>
            <w:tcW w:w="0" w:type="dxa"/>
            <w:vAlign w:val="bottom"/>
          </w:tcPr>
          <w:p>
            <w:pPr>
              <w:spacing w:after="0"/>
              <w:rPr>
                <w:sz w:val="1"/>
                <w:szCs w:val="1"/>
                <w:color w:val="auto"/>
              </w:rPr>
            </w:pPr>
          </w:p>
        </w:tc>
      </w:tr>
      <w:tr>
        <w:trPr>
          <w:trHeight w:val="259"/>
        </w:trPr>
        <w:tc>
          <w:tcPr>
            <w:tcW w:w="124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gridSpan w:val="2"/>
          </w:tcPr>
          <w:p>
            <w:pPr>
              <w:jc w:val="center"/>
              <w:ind w:left="59"/>
              <w:spacing w:after="0"/>
              <w:rPr>
                <w:sz w:val="20"/>
                <w:szCs w:val="20"/>
                <w:color w:val="auto"/>
              </w:rPr>
            </w:pPr>
            <w:r>
              <w:rPr>
                <w:rFonts w:ascii="Times New Roman" w:cs="Times New Roman" w:eastAsia="Times New Roman" w:hAnsi="Times New Roman"/>
                <w:sz w:val="16"/>
                <w:szCs w:val="16"/>
                <w:color w:val="auto"/>
                <w:w w:val="99"/>
              </w:rPr>
              <w:t>2023</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40,749</w:t>
            </w: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5"/>
              </w:rPr>
              <w:t>18,000</w:t>
            </w: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6,523</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3,640</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68,912</w:t>
            </w:r>
          </w:p>
        </w:tc>
        <w:tc>
          <w:tcPr>
            <w:tcW w:w="0" w:type="dxa"/>
            <w:vAlign w:val="bottom"/>
          </w:tcPr>
          <w:p>
            <w:pPr>
              <w:spacing w:after="0"/>
              <w:rPr>
                <w:sz w:val="1"/>
                <w:szCs w:val="1"/>
                <w:color w:val="auto"/>
              </w:rPr>
            </w:pPr>
          </w:p>
        </w:tc>
      </w:tr>
      <w:tr>
        <w:trPr>
          <w:trHeight w:val="233"/>
        </w:trPr>
        <w:tc>
          <w:tcPr>
            <w:tcW w:w="1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2025</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56,190</w:t>
            </w: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18,000</w:t>
            </w: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w:t>
            </w: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3,782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83,305</w:t>
            </w:r>
          </w:p>
        </w:tc>
        <w:tc>
          <w:tcPr>
            <w:tcW w:w="0" w:type="dxa"/>
            <w:vAlign w:val="bottom"/>
          </w:tcPr>
          <w:p>
            <w:pPr>
              <w:spacing w:after="0"/>
              <w:rPr>
                <w:sz w:val="1"/>
                <w:szCs w:val="1"/>
                <w:color w:val="auto"/>
              </w:rPr>
            </w:pPr>
          </w:p>
        </w:tc>
      </w:tr>
      <w:tr>
        <w:trPr>
          <w:trHeight w:val="257"/>
        </w:trPr>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A.T. Gorman</w:t>
            </w: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42,276</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18,000</w:t>
            </w: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703</w:t>
            </w: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3,782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69,987</w:t>
            </w:r>
          </w:p>
        </w:tc>
        <w:tc>
          <w:tcPr>
            <w:tcW w:w="0" w:type="dxa"/>
            <w:vAlign w:val="bottom"/>
          </w:tcPr>
          <w:p>
            <w:pPr>
              <w:spacing w:after="0"/>
              <w:rPr>
                <w:sz w:val="1"/>
                <w:szCs w:val="1"/>
                <w:color w:val="auto"/>
              </w:rPr>
            </w:pPr>
          </w:p>
        </w:tc>
      </w:tr>
      <w:tr>
        <w:trPr>
          <w:trHeight w:val="259"/>
        </w:trPr>
        <w:tc>
          <w:tcPr>
            <w:tcW w:w="12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2023</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43,540</w:t>
            </w:r>
          </w:p>
        </w:tc>
        <w:tc>
          <w:tcPr>
            <w:tcW w:w="100" w:type="dxa"/>
            <w:vAlign w:val="bottom"/>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18,000</w:t>
            </w:r>
          </w:p>
        </w:tc>
        <w:tc>
          <w:tcPr>
            <w:tcW w:w="120" w:type="dxa"/>
            <w:vAlign w:val="bottom"/>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w:t>
            </w:r>
          </w:p>
        </w:tc>
        <w:tc>
          <w:tcPr>
            <w:tcW w:w="100" w:type="dxa"/>
            <w:vAlign w:val="bottom"/>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3,782</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2,726</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3,651</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72,292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Grants of Plan-Based Awards for 2025</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grants of plan-based awards made during fiscal 2025 to the NEOs.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All Other Stock</w:t>
            </w: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3"/>
              </w:rPr>
              <w:t>All Other</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960" w:type="dxa"/>
            <w:vAlign w:val="bottom"/>
            <w:gridSpan w:val="2"/>
          </w:tcPr>
          <w:p>
            <w:pPr>
              <w:jc w:val="center"/>
              <w:ind w:right="120"/>
              <w:spacing w:after="0" w:line="118" w:lineRule="exact"/>
              <w:rPr>
                <w:sz w:val="20"/>
                <w:szCs w:val="20"/>
                <w:color w:val="auto"/>
              </w:rPr>
            </w:pPr>
            <w:r>
              <w:rPr>
                <w:rFonts w:ascii="Times New Roman" w:cs="Times New Roman" w:eastAsia="Times New Roman" w:hAnsi="Times New Roman"/>
                <w:sz w:val="12"/>
                <w:szCs w:val="12"/>
                <w:b w:val="1"/>
                <w:bCs w:val="1"/>
                <w:color w:val="auto"/>
                <w:w w:val="96"/>
              </w:rPr>
              <w:t>Option Awards:</w:t>
            </w: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540" w:type="dxa"/>
            <w:vAlign w:val="bottom"/>
            <w:gridSpan w:val="6"/>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7"/>
              </w:rPr>
              <w:t>Estimated Future Payouts Under Non-Equity</w:t>
            </w:r>
          </w:p>
        </w:tc>
        <w:tc>
          <w:tcPr>
            <w:tcW w:w="2120" w:type="dxa"/>
            <w:vAlign w:val="bottom"/>
            <w:gridSpan w:val="5"/>
          </w:tcPr>
          <w:p>
            <w:pPr>
              <w:jc w:val="center"/>
              <w:ind w:left="342"/>
              <w:spacing w:after="0"/>
              <w:rPr>
                <w:sz w:val="20"/>
                <w:szCs w:val="20"/>
                <w:color w:val="auto"/>
              </w:rPr>
            </w:pPr>
            <w:r>
              <w:rPr>
                <w:rFonts w:ascii="Times New Roman" w:cs="Times New Roman" w:eastAsia="Times New Roman" w:hAnsi="Times New Roman"/>
                <w:sz w:val="12"/>
                <w:szCs w:val="12"/>
                <w:b w:val="1"/>
                <w:bCs w:val="1"/>
                <w:color w:val="auto"/>
                <w:w w:val="96"/>
              </w:rPr>
              <w:t>Estimated Future Payouts Under</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5"/>
              </w:rPr>
              <w:t>Awards:</w:t>
            </w: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6"/>
              </w:rPr>
              <w:t>Number of</w:t>
            </w: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7"/>
              </w:rPr>
              <w:t>Exercise or</w:t>
            </w:r>
          </w:p>
        </w:tc>
        <w:tc>
          <w:tcPr>
            <w:tcW w:w="100" w:type="dxa"/>
            <w:vAlign w:val="bottom"/>
          </w:tcPr>
          <w:p>
            <w:pPr>
              <w:spacing w:after="0"/>
              <w:rPr>
                <w:sz w:val="12"/>
                <w:szCs w:val="12"/>
                <w:color w:val="auto"/>
              </w:rPr>
            </w:pPr>
          </w:p>
        </w:tc>
        <w:tc>
          <w:tcPr>
            <w:tcW w:w="920" w:type="dxa"/>
            <w:vAlign w:val="bottom"/>
            <w:vMerge w:val="restart"/>
          </w:tcPr>
          <w:p>
            <w:pPr>
              <w:jc w:val="center"/>
              <w:ind w:right="42"/>
              <w:spacing w:after="0"/>
              <w:rPr>
                <w:sz w:val="20"/>
                <w:szCs w:val="20"/>
                <w:color w:val="auto"/>
              </w:rPr>
            </w:pPr>
            <w:r>
              <w:rPr>
                <w:rFonts w:ascii="Times New Roman" w:cs="Times New Roman" w:eastAsia="Times New Roman" w:hAnsi="Times New Roman"/>
                <w:sz w:val="12"/>
                <w:szCs w:val="12"/>
                <w:b w:val="1"/>
                <w:bCs w:val="1"/>
                <w:color w:val="auto"/>
                <w:w w:val="98"/>
              </w:rPr>
              <w:t>Grant Date Fair</w:t>
            </w:r>
          </w:p>
        </w:tc>
        <w:tc>
          <w:tcPr>
            <w:tcW w:w="0" w:type="dxa"/>
            <w:vAlign w:val="bottom"/>
          </w:tcPr>
          <w:p>
            <w:pPr>
              <w:spacing w:after="0"/>
              <w:rPr>
                <w:sz w:val="1"/>
                <w:szCs w:val="1"/>
                <w:color w:val="auto"/>
              </w:rPr>
            </w:pPr>
          </w:p>
        </w:tc>
      </w:tr>
      <w:tr>
        <w:trPr>
          <w:trHeight w:val="122"/>
        </w:trPr>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540" w:type="dxa"/>
            <w:vAlign w:val="bottom"/>
            <w:gridSpan w:val="6"/>
          </w:tcPr>
          <w:p>
            <w:pPr>
              <w:jc w:val="center"/>
              <w:ind w:right="200"/>
              <w:spacing w:after="0" w:line="122" w:lineRule="exact"/>
              <w:rPr>
                <w:sz w:val="20"/>
                <w:szCs w:val="20"/>
                <w:color w:val="auto"/>
              </w:rPr>
            </w:pPr>
            <w:r>
              <w:rPr>
                <w:rFonts w:ascii="Times New Roman" w:cs="Times New Roman" w:eastAsia="Times New Roman" w:hAnsi="Times New Roman"/>
                <w:sz w:val="12"/>
                <w:szCs w:val="12"/>
                <w:b w:val="1"/>
                <w:bCs w:val="1"/>
                <w:color w:val="auto"/>
                <w:w w:val="97"/>
              </w:rPr>
              <w:t>Incentive Plan Awards (1)</w:t>
            </w:r>
          </w:p>
        </w:tc>
        <w:tc>
          <w:tcPr>
            <w:tcW w:w="2120" w:type="dxa"/>
            <w:vAlign w:val="bottom"/>
            <w:gridSpan w:val="5"/>
          </w:tcPr>
          <w:p>
            <w:pPr>
              <w:jc w:val="center"/>
              <w:ind w:left="322"/>
              <w:spacing w:after="0" w:line="122" w:lineRule="exact"/>
              <w:rPr>
                <w:sz w:val="20"/>
                <w:szCs w:val="20"/>
                <w:color w:val="auto"/>
              </w:rPr>
            </w:pPr>
            <w:r>
              <w:rPr>
                <w:rFonts w:ascii="Times New Roman" w:cs="Times New Roman" w:eastAsia="Times New Roman" w:hAnsi="Times New Roman"/>
                <w:sz w:val="12"/>
                <w:szCs w:val="12"/>
                <w:b w:val="1"/>
                <w:bCs w:val="1"/>
                <w:color w:val="auto"/>
                <w:w w:val="96"/>
              </w:rPr>
              <w:t>Equity Incentive Plan Awards (2)</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2"/>
                <w:szCs w:val="12"/>
                <w:b w:val="1"/>
                <w:bCs w:val="1"/>
                <w:color w:val="auto"/>
                <w:w w:val="96"/>
              </w:rPr>
              <w:t>Number of</w:t>
            </w:r>
          </w:p>
        </w:tc>
        <w:tc>
          <w:tcPr>
            <w:tcW w:w="96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2"/>
                <w:szCs w:val="12"/>
                <w:b w:val="1"/>
                <w:bCs w:val="1"/>
                <w:color w:val="auto"/>
                <w:w w:val="99"/>
              </w:rPr>
              <w:t>Securities</w:t>
            </w:r>
          </w:p>
        </w:tc>
        <w:tc>
          <w:tcPr>
            <w:tcW w:w="920" w:type="dxa"/>
            <w:vAlign w:val="bottom"/>
            <w:gridSpan w:val="2"/>
          </w:tcPr>
          <w:p>
            <w:pPr>
              <w:jc w:val="center"/>
              <w:ind w:right="80"/>
              <w:spacing w:after="0" w:line="122" w:lineRule="exact"/>
              <w:rPr>
                <w:sz w:val="20"/>
                <w:szCs w:val="20"/>
                <w:color w:val="auto"/>
              </w:rPr>
            </w:pPr>
            <w:r>
              <w:rPr>
                <w:rFonts w:ascii="Times New Roman" w:cs="Times New Roman" w:eastAsia="Times New Roman" w:hAnsi="Times New Roman"/>
                <w:sz w:val="12"/>
                <w:szCs w:val="12"/>
                <w:b w:val="1"/>
                <w:bCs w:val="1"/>
                <w:color w:val="auto"/>
                <w:w w:val="95"/>
              </w:rPr>
              <w:t>Base Price of</w:t>
            </w:r>
          </w:p>
        </w:tc>
        <w:tc>
          <w:tcPr>
            <w:tcW w:w="10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0"/>
        </w:trPr>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gridSpan w:val="2"/>
            <w:vMerge w:val="restart"/>
          </w:tcPr>
          <w:p>
            <w:pPr>
              <w:jc w:val="center"/>
              <w:ind w:right="100"/>
              <w:spacing w:after="0" w:line="81" w:lineRule="exact"/>
              <w:rPr>
                <w:sz w:val="20"/>
                <w:szCs w:val="20"/>
                <w:color w:val="auto"/>
              </w:rPr>
            </w:pPr>
            <w:r>
              <w:rPr>
                <w:rFonts w:ascii="Times New Roman" w:cs="Times New Roman" w:eastAsia="Times New Roman" w:hAnsi="Times New Roman"/>
                <w:sz w:val="9"/>
                <w:szCs w:val="9"/>
                <w:b w:val="1"/>
                <w:bCs w:val="1"/>
                <w:color w:val="auto"/>
              </w:rPr>
              <w:t>Shares of Stock</w:t>
            </w:r>
          </w:p>
        </w:tc>
        <w:tc>
          <w:tcPr>
            <w:tcW w:w="960" w:type="dxa"/>
            <w:vAlign w:val="bottom"/>
            <w:gridSpan w:val="2"/>
            <w:vMerge w:val="restart"/>
          </w:tcPr>
          <w:p>
            <w:pPr>
              <w:jc w:val="center"/>
              <w:ind w:right="100"/>
              <w:spacing w:after="0" w:line="81" w:lineRule="exact"/>
              <w:rPr>
                <w:sz w:val="20"/>
                <w:szCs w:val="20"/>
                <w:color w:val="auto"/>
              </w:rPr>
            </w:pPr>
            <w:r>
              <w:rPr>
                <w:rFonts w:ascii="Times New Roman" w:cs="Times New Roman" w:eastAsia="Times New Roman" w:hAnsi="Times New Roman"/>
                <w:sz w:val="9"/>
                <w:szCs w:val="9"/>
                <w:b w:val="1"/>
                <w:bCs w:val="1"/>
                <w:color w:val="auto"/>
              </w:rPr>
              <w:t>Underlying</w:t>
            </w:r>
          </w:p>
        </w:tc>
        <w:tc>
          <w:tcPr>
            <w:tcW w:w="920" w:type="dxa"/>
            <w:vAlign w:val="bottom"/>
            <w:gridSpan w:val="2"/>
            <w:vMerge w:val="restart"/>
          </w:tcPr>
          <w:p>
            <w:pPr>
              <w:jc w:val="center"/>
              <w:ind w:right="100"/>
              <w:spacing w:after="0" w:line="81" w:lineRule="exact"/>
              <w:rPr>
                <w:sz w:val="20"/>
                <w:szCs w:val="20"/>
                <w:color w:val="auto"/>
              </w:rPr>
            </w:pPr>
            <w:r>
              <w:rPr>
                <w:rFonts w:ascii="Times New Roman" w:cs="Times New Roman" w:eastAsia="Times New Roman" w:hAnsi="Times New Roman"/>
                <w:sz w:val="9"/>
                <w:szCs w:val="9"/>
                <w:b w:val="1"/>
                <w:bCs w:val="1"/>
                <w:color w:val="auto"/>
              </w:rPr>
              <w:t>Stock or</w:t>
            </w:r>
          </w:p>
        </w:tc>
        <w:tc>
          <w:tcPr>
            <w:tcW w:w="1020" w:type="dxa"/>
            <w:vAlign w:val="bottom"/>
            <w:gridSpan w:val="2"/>
            <w:vMerge w:val="restart"/>
          </w:tcPr>
          <w:p>
            <w:pPr>
              <w:jc w:val="center"/>
              <w:spacing w:after="0" w:line="81" w:lineRule="exact"/>
              <w:rPr>
                <w:sz w:val="20"/>
                <w:szCs w:val="20"/>
                <w:color w:val="auto"/>
              </w:rPr>
            </w:pPr>
            <w:r>
              <w:rPr>
                <w:rFonts w:ascii="Times New Roman" w:cs="Times New Roman" w:eastAsia="Times New Roman" w:hAnsi="Times New Roman"/>
                <w:sz w:val="9"/>
                <w:szCs w:val="9"/>
                <w:b w:val="1"/>
                <w:bCs w:val="1"/>
                <w:color w:val="auto"/>
              </w:rPr>
              <w:t>Value of Stock and</w:t>
            </w:r>
          </w:p>
        </w:tc>
        <w:tc>
          <w:tcPr>
            <w:tcW w:w="0" w:type="dxa"/>
            <w:vAlign w:val="bottom"/>
          </w:tcPr>
          <w:p>
            <w:pPr>
              <w:spacing w:after="0"/>
              <w:rPr>
                <w:sz w:val="1"/>
                <w:szCs w:val="1"/>
                <w:color w:val="auto"/>
              </w:rPr>
            </w:pPr>
          </w:p>
        </w:tc>
      </w:tr>
      <w:tr>
        <w:trPr>
          <w:trHeight w:val="21"/>
        </w:trPr>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gridSpan w:val="2"/>
            <w:vMerge w:val="continue"/>
          </w:tcPr>
          <w:p>
            <w:pPr>
              <w:spacing w:after="0" w:line="20" w:lineRule="exact"/>
              <w:rPr>
                <w:sz w:val="1"/>
                <w:szCs w:val="1"/>
                <w:color w:val="auto"/>
              </w:rPr>
            </w:pPr>
          </w:p>
        </w:tc>
        <w:tc>
          <w:tcPr>
            <w:tcW w:w="960" w:type="dxa"/>
            <w:vAlign w:val="bottom"/>
            <w:gridSpan w:val="2"/>
            <w:vMerge w:val="continue"/>
          </w:tcPr>
          <w:p>
            <w:pPr>
              <w:spacing w:after="0" w:line="20" w:lineRule="exact"/>
              <w:rPr>
                <w:sz w:val="1"/>
                <w:szCs w:val="1"/>
                <w:color w:val="auto"/>
              </w:rPr>
            </w:pPr>
          </w:p>
        </w:tc>
        <w:tc>
          <w:tcPr>
            <w:tcW w:w="920" w:type="dxa"/>
            <w:vAlign w:val="bottom"/>
            <w:gridSpan w:val="2"/>
            <w:vMerge w:val="continue"/>
          </w:tcPr>
          <w:p>
            <w:pPr>
              <w:spacing w:after="0" w:line="20" w:lineRule="exact"/>
              <w:rPr>
                <w:sz w:val="1"/>
                <w:szCs w:val="1"/>
                <w:color w:val="auto"/>
              </w:rPr>
            </w:pPr>
          </w:p>
        </w:tc>
        <w:tc>
          <w:tcPr>
            <w:tcW w:w="10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880" w:type="dxa"/>
            <w:vAlign w:val="bottom"/>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Name</w:t>
            </w:r>
          </w:p>
        </w:tc>
        <w:tc>
          <w:tcPr>
            <w:tcW w:w="120" w:type="dxa"/>
            <w:vAlign w:val="bottom"/>
          </w:tcPr>
          <w:p>
            <w:pPr>
              <w:spacing w:after="0"/>
              <w:rPr>
                <w:sz w:val="10"/>
                <w:szCs w:val="10"/>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12"/>
                <w:szCs w:val="12"/>
                <w:b w:val="1"/>
                <w:bCs w:val="1"/>
                <w:color w:val="auto"/>
              </w:rPr>
              <w:t>Grant Date</w:t>
            </w:r>
          </w:p>
        </w:tc>
        <w:tc>
          <w:tcPr>
            <w:tcW w:w="320" w:type="dxa"/>
            <w:vAlign w:val="bottom"/>
          </w:tcPr>
          <w:p>
            <w:pPr>
              <w:spacing w:after="0"/>
              <w:rPr>
                <w:sz w:val="10"/>
                <w:szCs w:val="10"/>
                <w:color w:val="auto"/>
              </w:rPr>
            </w:pPr>
          </w:p>
        </w:tc>
        <w:tc>
          <w:tcPr>
            <w:tcW w:w="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Threshold ($)</w:t>
            </w:r>
          </w:p>
        </w:tc>
        <w:tc>
          <w:tcPr>
            <w:tcW w:w="120" w:type="dxa"/>
            <w:vAlign w:val="bottom"/>
            <w:vMerge w:val="restart"/>
          </w:tcPr>
          <w:p>
            <w:pPr>
              <w:spacing w:after="0"/>
              <w:rPr>
                <w:sz w:val="10"/>
                <w:szCs w:val="10"/>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2"/>
              </w:rPr>
              <w:t>Target ($)</w:t>
            </w:r>
          </w:p>
        </w:tc>
        <w:tc>
          <w:tcPr>
            <w:tcW w:w="120" w:type="dxa"/>
            <w:vAlign w:val="bottom"/>
            <w:vMerge w:val="restart"/>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Maximum ($)</w:t>
            </w:r>
          </w:p>
        </w:tc>
        <w:tc>
          <w:tcPr>
            <w:tcW w:w="120" w:type="dxa"/>
            <w:vAlign w:val="bottom"/>
            <w:vMerge w:val="restart"/>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Threshold (#)</w:t>
            </w:r>
          </w:p>
        </w:tc>
        <w:tc>
          <w:tcPr>
            <w:tcW w:w="120" w:type="dxa"/>
            <w:vAlign w:val="bottom"/>
            <w:vMerge w:val="restart"/>
          </w:tcPr>
          <w:p>
            <w:pPr>
              <w:spacing w:after="0"/>
              <w:rPr>
                <w:sz w:val="10"/>
                <w:szCs w:val="10"/>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Target (#)</w:t>
            </w:r>
          </w:p>
        </w:tc>
        <w:tc>
          <w:tcPr>
            <w:tcW w:w="100" w:type="dxa"/>
            <w:vAlign w:val="bottom"/>
            <w:vMerge w:val="restart"/>
          </w:tcPr>
          <w:p>
            <w:pPr>
              <w:spacing w:after="0"/>
              <w:rPr>
                <w:sz w:val="10"/>
                <w:szCs w:val="10"/>
                <w:color w:val="auto"/>
              </w:rPr>
            </w:pP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Maximum (#)</w:t>
            </w:r>
          </w:p>
        </w:tc>
        <w:tc>
          <w:tcPr>
            <w:tcW w:w="100" w:type="dxa"/>
            <w:vAlign w:val="bottom"/>
          </w:tcPr>
          <w:p>
            <w:pPr>
              <w:spacing w:after="0"/>
              <w:rPr>
                <w:sz w:val="10"/>
                <w:szCs w:val="10"/>
                <w:color w:val="auto"/>
              </w:rPr>
            </w:pPr>
          </w:p>
        </w:tc>
        <w:tc>
          <w:tcPr>
            <w:tcW w:w="98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2"/>
                <w:szCs w:val="12"/>
                <w:b w:val="1"/>
                <w:bCs w:val="1"/>
                <w:color w:val="auto"/>
                <w:w w:val="95"/>
              </w:rPr>
              <w:t>or Units</w:t>
            </w:r>
          </w:p>
        </w:tc>
        <w:tc>
          <w:tcPr>
            <w:tcW w:w="96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2"/>
                <w:szCs w:val="12"/>
                <w:b w:val="1"/>
                <w:bCs w:val="1"/>
                <w:color w:val="auto"/>
                <w:w w:val="93"/>
              </w:rPr>
              <w:t>Options</w:t>
            </w:r>
          </w:p>
        </w:tc>
        <w:tc>
          <w:tcPr>
            <w:tcW w:w="920" w:type="dxa"/>
            <w:vAlign w:val="bottom"/>
            <w:gridSpan w:val="2"/>
          </w:tcPr>
          <w:p>
            <w:pPr>
              <w:jc w:val="center"/>
              <w:ind w:right="80"/>
              <w:spacing w:after="0" w:line="122" w:lineRule="exact"/>
              <w:rPr>
                <w:sz w:val="20"/>
                <w:szCs w:val="20"/>
                <w:color w:val="auto"/>
              </w:rPr>
            </w:pPr>
            <w:r>
              <w:rPr>
                <w:rFonts w:ascii="Times New Roman" w:cs="Times New Roman" w:eastAsia="Times New Roman" w:hAnsi="Times New Roman"/>
                <w:sz w:val="12"/>
                <w:szCs w:val="12"/>
                <w:b w:val="1"/>
                <w:bCs w:val="1"/>
                <w:color w:val="auto"/>
                <w:w w:val="96"/>
              </w:rPr>
              <w:t>Option Awards</w:t>
            </w:r>
          </w:p>
        </w:tc>
        <w:tc>
          <w:tcPr>
            <w:tcW w:w="100" w:type="dxa"/>
            <w:vAlign w:val="bottom"/>
          </w:tcPr>
          <w:p>
            <w:pPr>
              <w:spacing w:after="0"/>
              <w:rPr>
                <w:sz w:val="10"/>
                <w:szCs w:val="10"/>
                <w:color w:val="auto"/>
              </w:rPr>
            </w:pPr>
          </w:p>
        </w:tc>
        <w:tc>
          <w:tcPr>
            <w:tcW w:w="920" w:type="dxa"/>
            <w:vAlign w:val="bottom"/>
          </w:tcPr>
          <w:p>
            <w:pPr>
              <w:jc w:val="center"/>
              <w:ind w:right="22"/>
              <w:spacing w:after="0" w:line="122" w:lineRule="exact"/>
              <w:rPr>
                <w:sz w:val="20"/>
                <w:szCs w:val="20"/>
                <w:color w:val="auto"/>
              </w:rPr>
            </w:pPr>
            <w:r>
              <w:rPr>
                <w:rFonts w:ascii="Times New Roman" w:cs="Times New Roman" w:eastAsia="Times New Roman" w:hAnsi="Times New Roman"/>
                <w:sz w:val="12"/>
                <w:szCs w:val="12"/>
                <w:b w:val="1"/>
                <w:bCs w:val="1"/>
                <w:color w:val="auto"/>
                <w:w w:val="96"/>
              </w:rPr>
              <w:t>Option Awards</w:t>
            </w:r>
          </w:p>
        </w:tc>
        <w:tc>
          <w:tcPr>
            <w:tcW w:w="0" w:type="dxa"/>
            <w:vAlign w:val="bottom"/>
          </w:tcPr>
          <w:p>
            <w:pPr>
              <w:spacing w:after="0"/>
              <w:rPr>
                <w:sz w:val="1"/>
                <w:szCs w:val="1"/>
                <w:color w:val="auto"/>
              </w:rPr>
            </w:pPr>
          </w:p>
        </w:tc>
      </w:tr>
      <w:tr>
        <w:trPr>
          <w:trHeight w:val="159"/>
        </w:trPr>
        <w:tc>
          <w:tcPr>
            <w:tcW w:w="88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vMerge w:val="continue"/>
          </w:tcPr>
          <w:p>
            <w:pPr>
              <w:spacing w:after="0"/>
              <w:rPr>
                <w:sz w:val="13"/>
                <w:szCs w:val="13"/>
                <w:color w:val="auto"/>
              </w:rPr>
            </w:pPr>
          </w:p>
        </w:tc>
        <w:tc>
          <w:tcPr>
            <w:tcW w:w="320" w:type="dxa"/>
            <w:vAlign w:val="bottom"/>
            <w:tcBorders>
              <w:bottom w:val="single" w:sz="8" w:color="CCEEFF"/>
            </w:tcBorders>
          </w:tcPr>
          <w:p>
            <w:pPr>
              <w:spacing w:after="0"/>
              <w:rPr>
                <w:sz w:val="13"/>
                <w:szCs w:val="13"/>
                <w:color w:val="auto"/>
              </w:rPr>
            </w:pPr>
          </w:p>
        </w:tc>
        <w:tc>
          <w:tcPr>
            <w:tcW w:w="740" w:type="dxa"/>
            <w:vAlign w:val="bottom"/>
            <w:tcBorders>
              <w:bottom w:val="single" w:sz="8" w:color="auto"/>
            </w:tcBorders>
            <w:gridSpan w:val="2"/>
            <w:vMerge w:val="continue"/>
          </w:tcPr>
          <w:p>
            <w:pPr>
              <w:spacing w:after="0"/>
              <w:rPr>
                <w:sz w:val="13"/>
                <w:szCs w:val="13"/>
                <w:color w:val="auto"/>
              </w:rPr>
            </w:pPr>
          </w:p>
        </w:tc>
        <w:tc>
          <w:tcPr>
            <w:tcW w:w="120" w:type="dxa"/>
            <w:vAlign w:val="bottom"/>
            <w:tcBorders>
              <w:bottom w:val="single" w:sz="8" w:color="CCEEFF"/>
            </w:tcBorders>
            <w:vMerge w:val="continue"/>
          </w:tcPr>
          <w:p>
            <w:pPr>
              <w:spacing w:after="0"/>
              <w:rPr>
                <w:sz w:val="13"/>
                <w:szCs w:val="13"/>
                <w:color w:val="auto"/>
              </w:rPr>
            </w:pPr>
          </w:p>
        </w:tc>
        <w:tc>
          <w:tcPr>
            <w:tcW w:w="76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CCEEFF"/>
            </w:tcBorders>
            <w:vMerge w:val="continue"/>
          </w:tcPr>
          <w:p>
            <w:pPr>
              <w:spacing w:after="0"/>
              <w:rPr>
                <w:sz w:val="13"/>
                <w:szCs w:val="13"/>
                <w:color w:val="auto"/>
              </w:rPr>
            </w:pPr>
          </w:p>
        </w:tc>
        <w:tc>
          <w:tcPr>
            <w:tcW w:w="76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CCEEFF"/>
            </w:tcBorders>
            <w:vMerge w:val="continue"/>
          </w:tcPr>
          <w:p>
            <w:pPr>
              <w:spacing w:after="0"/>
              <w:rPr>
                <w:sz w:val="13"/>
                <w:szCs w:val="13"/>
                <w:color w:val="auto"/>
              </w:rPr>
            </w:pPr>
          </w:p>
        </w:tc>
        <w:tc>
          <w:tcPr>
            <w:tcW w:w="76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CCEEFF"/>
            </w:tcBorders>
            <w:vMerge w:val="continue"/>
          </w:tcPr>
          <w:p>
            <w:pPr>
              <w:spacing w:after="0"/>
              <w:rPr>
                <w:sz w:val="13"/>
                <w:szCs w:val="13"/>
                <w:color w:val="auto"/>
              </w:rPr>
            </w:pPr>
          </w:p>
        </w:tc>
        <w:tc>
          <w:tcPr>
            <w:tcW w:w="76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780" w:type="dxa"/>
            <w:vAlign w:val="bottom"/>
            <w:tcBorders>
              <w:bottom w:val="single" w:sz="8" w:color="auto"/>
            </w:tcBorders>
            <w:gridSpan w:val="2"/>
            <w:vMerge w:val="continue"/>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 (3)</w:t>
            </w:r>
          </w:p>
        </w:tc>
        <w:tc>
          <w:tcPr>
            <w:tcW w:w="12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0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 (4)</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0" w:type="dxa"/>
            <w:vAlign w:val="bottom"/>
          </w:tcPr>
          <w:p>
            <w:pPr>
              <w:spacing w:after="0"/>
              <w:rPr>
                <w:sz w:val="1"/>
                <w:szCs w:val="1"/>
                <w:color w:val="auto"/>
              </w:rPr>
            </w:pPr>
          </w:p>
        </w:tc>
      </w:tr>
      <w:tr>
        <w:trPr>
          <w:trHeight w:val="152"/>
        </w:trPr>
        <w:tc>
          <w:tcPr>
            <w:tcW w:w="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R.R. Shaller</w:t>
            </w:r>
          </w:p>
        </w:tc>
        <w:tc>
          <w:tcPr>
            <w:tcW w:w="12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1,025,000</w:t>
            </w:r>
          </w:p>
        </w:tc>
        <w:tc>
          <w:tcPr>
            <w:tcW w:w="12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   3,075,000</w:t>
            </w:r>
          </w:p>
        </w:tc>
        <w:tc>
          <w:tcPr>
            <w:tcW w:w="12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80" w:type="dxa"/>
            <w:vAlign w:val="bottom"/>
          </w:tcPr>
          <w:p>
            <w:pPr>
              <w:spacing w:after="0"/>
              <w:rPr>
                <w:sz w:val="13"/>
                <w:szCs w:val="13"/>
                <w:color w:val="auto"/>
              </w:rPr>
            </w:pPr>
          </w:p>
        </w:tc>
        <w:tc>
          <w:tcPr>
            <w:tcW w:w="920" w:type="dxa"/>
            <w:vAlign w:val="bottom"/>
            <w:gridSpan w:val="2"/>
          </w:tcPr>
          <w:p>
            <w:pPr>
              <w:jc w:val="center"/>
              <w:ind w:left="62"/>
              <w:spacing w:after="0"/>
              <w:rPr>
                <w:sz w:val="20"/>
                <w:szCs w:val="20"/>
                <w:color w:val="auto"/>
              </w:rPr>
            </w:pPr>
            <w:r>
              <w:rPr>
                <w:rFonts w:ascii="Times New Roman" w:cs="Times New Roman" w:eastAsia="Times New Roman" w:hAnsi="Times New Roman"/>
                <w:sz w:val="12"/>
                <w:szCs w:val="12"/>
                <w:color w:val="auto"/>
                <w:w w:val="93"/>
              </w:rPr>
              <w:t>8/1/2024</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8,422</w:t>
            </w:r>
          </w:p>
        </w:tc>
        <w:tc>
          <w:tcPr>
            <w:tcW w:w="120" w:type="dxa"/>
            <w:vAlign w:val="bottom"/>
          </w:tcPr>
          <w:p>
            <w:pPr>
              <w:spacing w:after="0"/>
              <w:rPr>
                <w:sz w:val="13"/>
                <w:szCs w:val="13"/>
                <w:color w:val="auto"/>
              </w:rPr>
            </w:pP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33,689</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w w:val="96"/>
              </w:rPr>
              <w:t>67,378</w:t>
            </w: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2,400,004</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8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gridSpan w:val="2"/>
            <w:shd w:val="clear" w:color="auto" w:fill="CCEEFF"/>
          </w:tcPr>
          <w:p>
            <w:pPr>
              <w:jc w:val="center"/>
              <w:ind w:left="62"/>
              <w:spacing w:after="0"/>
              <w:rPr>
                <w:sz w:val="20"/>
                <w:szCs w:val="20"/>
                <w:color w:val="auto"/>
              </w:rPr>
            </w:pPr>
            <w:r>
              <w:rPr>
                <w:rFonts w:ascii="Times New Roman" w:cs="Times New Roman" w:eastAsia="Times New Roman" w:hAnsi="Times New Roman"/>
                <w:sz w:val="12"/>
                <w:szCs w:val="12"/>
                <w:color w:val="auto"/>
                <w:w w:val="93"/>
              </w:rPr>
              <w:t>9/4/2024</w:t>
            </w:r>
          </w:p>
        </w:tc>
        <w:tc>
          <w:tcPr>
            <w:tcW w:w="320" w:type="dxa"/>
            <w:vAlign w:val="bottom"/>
            <w:tcBorders>
              <w:bottom w:val="single" w:sz="8" w:color="CCEEFF"/>
            </w:tcBorders>
            <w:shd w:val="clear" w:color="auto" w:fill="CCEEFF"/>
          </w:tcPr>
          <w:p>
            <w:pPr>
              <w:jc w:val="right"/>
              <w:ind w:right="102"/>
              <w:spacing w:after="0"/>
              <w:rPr>
                <w:sz w:val="20"/>
                <w:szCs w:val="20"/>
                <w:color w:val="auto"/>
              </w:rPr>
            </w:pPr>
            <w:r>
              <w:rPr>
                <w:rFonts w:ascii="Times New Roman" w:cs="Times New Roman" w:eastAsia="Times New Roman" w:hAnsi="Times New Roman"/>
                <w:sz w:val="12"/>
                <w:szCs w:val="12"/>
                <w:color w:val="auto"/>
                <w:w w:val="99"/>
              </w:rPr>
              <w:t>(5)</w:t>
            </w:r>
          </w:p>
        </w:tc>
        <w:tc>
          <w:tcPr>
            <w:tcW w:w="8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2,607</w:t>
            </w:r>
          </w:p>
        </w:tc>
        <w:tc>
          <w:tcPr>
            <w:tcW w:w="12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10,428</w:t>
            </w:r>
          </w:p>
        </w:tc>
        <w:tc>
          <w:tcPr>
            <w:tcW w:w="10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w w:val="96"/>
              </w:rPr>
              <w:t>20,856</w:t>
            </w:r>
          </w:p>
        </w:tc>
        <w:tc>
          <w:tcPr>
            <w:tcW w:w="10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190,172</w:t>
            </w:r>
          </w:p>
        </w:tc>
        <w:tc>
          <w:tcPr>
            <w:tcW w:w="0" w:type="dxa"/>
            <w:vAlign w:val="bottom"/>
          </w:tcPr>
          <w:p>
            <w:pPr>
              <w:spacing w:after="0"/>
              <w:rPr>
                <w:sz w:val="1"/>
                <w:szCs w:val="1"/>
                <w:color w:val="auto"/>
              </w:rPr>
            </w:pPr>
          </w:p>
        </w:tc>
      </w:tr>
      <w:tr>
        <w:trPr>
          <w:trHeight w:val="165"/>
        </w:trPr>
        <w:tc>
          <w:tcPr>
            <w:tcW w:w="880" w:type="dxa"/>
            <w:vAlign w:val="bottom"/>
          </w:tcPr>
          <w:p>
            <w:pPr>
              <w:spacing w:after="0"/>
              <w:rPr>
                <w:sz w:val="14"/>
                <w:szCs w:val="14"/>
                <w:color w:val="auto"/>
              </w:rPr>
            </w:pPr>
          </w:p>
        </w:tc>
        <w:tc>
          <w:tcPr>
            <w:tcW w:w="920" w:type="dxa"/>
            <w:vAlign w:val="bottom"/>
            <w:gridSpan w:val="2"/>
          </w:tcPr>
          <w:p>
            <w:pPr>
              <w:jc w:val="center"/>
              <w:ind w:left="62"/>
              <w:spacing w:after="0"/>
              <w:rPr>
                <w:sz w:val="20"/>
                <w:szCs w:val="20"/>
                <w:color w:val="auto"/>
              </w:rPr>
            </w:pPr>
            <w:r>
              <w:rPr>
                <w:rFonts w:ascii="Times New Roman" w:cs="Times New Roman" w:eastAsia="Times New Roman" w:hAnsi="Times New Roman"/>
                <w:sz w:val="12"/>
                <w:szCs w:val="12"/>
                <w:color w:val="auto"/>
                <w:w w:val="98"/>
              </w:rPr>
              <w:t>10/2/2024</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32,158</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2,400,032</w:t>
            </w:r>
          </w:p>
        </w:tc>
        <w:tc>
          <w:tcPr>
            <w:tcW w:w="0" w:type="dxa"/>
            <w:vAlign w:val="bottom"/>
          </w:tcPr>
          <w:p>
            <w:pPr>
              <w:spacing w:after="0"/>
              <w:rPr>
                <w:sz w:val="1"/>
                <w:szCs w:val="1"/>
                <w:color w:val="auto"/>
              </w:rPr>
            </w:pPr>
          </w:p>
        </w:tc>
      </w:tr>
      <w:tr>
        <w:trPr>
          <w:trHeight w:val="166"/>
        </w:trPr>
        <w:tc>
          <w:tcPr>
            <w:tcW w:w="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A.E. Thornton</w:t>
            </w:r>
          </w:p>
        </w:tc>
        <w:tc>
          <w:tcPr>
            <w:tcW w:w="12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515,000</w:t>
            </w:r>
          </w:p>
        </w:tc>
        <w:tc>
          <w:tcPr>
            <w:tcW w:w="12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1,545,000</w:t>
            </w:r>
          </w:p>
        </w:tc>
        <w:tc>
          <w:tcPr>
            <w:tcW w:w="12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920" w:type="dxa"/>
            <w:vAlign w:val="bottom"/>
            <w:gridSpan w:val="2"/>
          </w:tcPr>
          <w:p>
            <w:pPr>
              <w:jc w:val="center"/>
              <w:ind w:left="62"/>
              <w:spacing w:after="0"/>
              <w:rPr>
                <w:sz w:val="20"/>
                <w:szCs w:val="20"/>
                <w:color w:val="auto"/>
              </w:rPr>
            </w:pPr>
            <w:r>
              <w:rPr>
                <w:rFonts w:ascii="Times New Roman" w:cs="Times New Roman" w:eastAsia="Times New Roman" w:hAnsi="Times New Roman"/>
                <w:sz w:val="12"/>
                <w:szCs w:val="12"/>
                <w:color w:val="auto"/>
                <w:w w:val="93"/>
              </w:rPr>
              <w:t>8/1/2024</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1,404</w:t>
            </w:r>
          </w:p>
        </w:tc>
        <w:tc>
          <w:tcPr>
            <w:tcW w:w="120" w:type="dxa"/>
            <w:vAlign w:val="bottom"/>
          </w:tcPr>
          <w:p>
            <w:pPr>
              <w:spacing w:after="0"/>
              <w:rPr>
                <w:sz w:val="13"/>
                <w:szCs w:val="13"/>
                <w:color w:val="auto"/>
              </w:rPr>
            </w:pP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5,615</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w w:val="96"/>
              </w:rPr>
              <w:t>11,230</w:t>
            </w: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400,013</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88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gridSpan w:val="2"/>
            <w:shd w:val="clear" w:color="auto" w:fill="CCEEFF"/>
          </w:tcPr>
          <w:p>
            <w:pPr>
              <w:jc w:val="center"/>
              <w:ind w:left="62"/>
              <w:spacing w:after="0"/>
              <w:rPr>
                <w:sz w:val="20"/>
                <w:szCs w:val="20"/>
                <w:color w:val="auto"/>
              </w:rPr>
            </w:pPr>
            <w:r>
              <w:rPr>
                <w:rFonts w:ascii="Times New Roman" w:cs="Times New Roman" w:eastAsia="Times New Roman" w:hAnsi="Times New Roman"/>
                <w:sz w:val="12"/>
                <w:szCs w:val="12"/>
                <w:color w:val="auto"/>
                <w:w w:val="98"/>
              </w:rPr>
              <w:t>10/2/2024</w:t>
            </w:r>
          </w:p>
        </w:tc>
        <w:tc>
          <w:tcPr>
            <w:tcW w:w="3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5,360</w:t>
            </w:r>
          </w:p>
        </w:tc>
        <w:tc>
          <w:tcPr>
            <w:tcW w:w="12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400,030</w:t>
            </w:r>
          </w:p>
        </w:tc>
        <w:tc>
          <w:tcPr>
            <w:tcW w:w="0" w:type="dxa"/>
            <w:vAlign w:val="bottom"/>
          </w:tcPr>
          <w:p>
            <w:pPr>
              <w:spacing w:after="0"/>
              <w:rPr>
                <w:sz w:val="1"/>
                <w:szCs w:val="1"/>
                <w:color w:val="auto"/>
              </w:rPr>
            </w:pPr>
          </w:p>
        </w:tc>
      </w:tr>
      <w:tr>
        <w:trPr>
          <w:trHeight w:val="156"/>
        </w:trPr>
        <w:tc>
          <w:tcPr>
            <w:tcW w:w="8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O. Bojarski</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490,000</w:t>
            </w:r>
          </w:p>
        </w:tc>
        <w:tc>
          <w:tcPr>
            <w:tcW w:w="120" w:type="dxa"/>
            <w:vAlign w:val="bottom"/>
          </w:tcPr>
          <w:p>
            <w:pPr>
              <w:spacing w:after="0"/>
              <w:rPr>
                <w:sz w:val="13"/>
                <w:szCs w:val="13"/>
                <w:color w:val="auto"/>
              </w:rPr>
            </w:pP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1,470,000</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center"/>
              <w:ind w:left="62"/>
              <w:spacing w:after="0"/>
              <w:rPr>
                <w:sz w:val="20"/>
                <w:szCs w:val="20"/>
                <w:color w:val="auto"/>
              </w:rPr>
            </w:pPr>
            <w:r>
              <w:rPr>
                <w:rFonts w:ascii="Times New Roman" w:cs="Times New Roman" w:eastAsia="Times New Roman" w:hAnsi="Times New Roman"/>
                <w:sz w:val="12"/>
                <w:szCs w:val="12"/>
                <w:color w:val="auto"/>
                <w:w w:val="93"/>
              </w:rPr>
              <w:t>8/1/2024</w:t>
            </w: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1,316</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5,264</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w w:val="96"/>
              </w:rPr>
              <w:t>10,528</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375,007</w:t>
            </w:r>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920" w:type="dxa"/>
            <w:vAlign w:val="bottom"/>
            <w:gridSpan w:val="2"/>
          </w:tcPr>
          <w:p>
            <w:pPr>
              <w:jc w:val="center"/>
              <w:ind w:left="62"/>
              <w:spacing w:after="0"/>
              <w:rPr>
                <w:sz w:val="20"/>
                <w:szCs w:val="20"/>
                <w:color w:val="auto"/>
              </w:rPr>
            </w:pPr>
            <w:r>
              <w:rPr>
                <w:rFonts w:ascii="Times New Roman" w:cs="Times New Roman" w:eastAsia="Times New Roman" w:hAnsi="Times New Roman"/>
                <w:sz w:val="12"/>
                <w:szCs w:val="12"/>
                <w:color w:val="auto"/>
                <w:w w:val="98"/>
              </w:rPr>
              <w:t>10/2/2024</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5,025</w:t>
            </w: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375,028</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T.F. DeBruine</w:t>
            </w:r>
          </w:p>
        </w:tc>
        <w:tc>
          <w:tcPr>
            <w:tcW w:w="12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450,000</w:t>
            </w:r>
          </w:p>
        </w:tc>
        <w:tc>
          <w:tcPr>
            <w:tcW w:w="12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1,350,000</w:t>
            </w:r>
          </w:p>
        </w:tc>
        <w:tc>
          <w:tcPr>
            <w:tcW w:w="12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80" w:type="dxa"/>
            <w:vAlign w:val="bottom"/>
          </w:tcPr>
          <w:p>
            <w:pPr>
              <w:spacing w:after="0"/>
              <w:rPr>
                <w:sz w:val="13"/>
                <w:szCs w:val="13"/>
                <w:color w:val="auto"/>
              </w:rPr>
            </w:pPr>
          </w:p>
        </w:tc>
        <w:tc>
          <w:tcPr>
            <w:tcW w:w="920" w:type="dxa"/>
            <w:vAlign w:val="bottom"/>
            <w:gridSpan w:val="2"/>
          </w:tcPr>
          <w:p>
            <w:pPr>
              <w:jc w:val="center"/>
              <w:ind w:left="62"/>
              <w:spacing w:after="0"/>
              <w:rPr>
                <w:sz w:val="20"/>
                <w:szCs w:val="20"/>
                <w:color w:val="auto"/>
              </w:rPr>
            </w:pPr>
            <w:r>
              <w:rPr>
                <w:rFonts w:ascii="Times New Roman" w:cs="Times New Roman" w:eastAsia="Times New Roman" w:hAnsi="Times New Roman"/>
                <w:sz w:val="12"/>
                <w:szCs w:val="12"/>
                <w:color w:val="auto"/>
                <w:w w:val="93"/>
              </w:rPr>
              <w:t>8/1/2024</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834</w:t>
            </w:r>
          </w:p>
        </w:tc>
        <w:tc>
          <w:tcPr>
            <w:tcW w:w="120" w:type="dxa"/>
            <w:vAlign w:val="bottom"/>
          </w:tcPr>
          <w:p>
            <w:pPr>
              <w:spacing w:after="0"/>
              <w:rPr>
                <w:sz w:val="13"/>
                <w:szCs w:val="13"/>
                <w:color w:val="auto"/>
              </w:rPr>
            </w:pP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3,334</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6,668</w:t>
            </w: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237,514</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8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gridSpan w:val="2"/>
            <w:shd w:val="clear" w:color="auto" w:fill="CCEEFF"/>
          </w:tcPr>
          <w:p>
            <w:pPr>
              <w:jc w:val="center"/>
              <w:ind w:left="62"/>
              <w:spacing w:after="0"/>
              <w:rPr>
                <w:sz w:val="20"/>
                <w:szCs w:val="20"/>
                <w:color w:val="auto"/>
              </w:rPr>
            </w:pPr>
            <w:r>
              <w:rPr>
                <w:rFonts w:ascii="Times New Roman" w:cs="Times New Roman" w:eastAsia="Times New Roman" w:hAnsi="Times New Roman"/>
                <w:sz w:val="12"/>
                <w:szCs w:val="12"/>
                <w:color w:val="auto"/>
                <w:w w:val="93"/>
              </w:rPr>
              <w:t>9/4/2024</w:t>
            </w:r>
          </w:p>
        </w:tc>
        <w:tc>
          <w:tcPr>
            <w:tcW w:w="320" w:type="dxa"/>
            <w:vAlign w:val="bottom"/>
            <w:tcBorders>
              <w:bottom w:val="single" w:sz="8" w:color="CCEEFF"/>
            </w:tcBorders>
            <w:shd w:val="clear" w:color="auto" w:fill="CCEEFF"/>
          </w:tcPr>
          <w:p>
            <w:pPr>
              <w:jc w:val="right"/>
              <w:ind w:right="102"/>
              <w:spacing w:after="0"/>
              <w:rPr>
                <w:sz w:val="20"/>
                <w:szCs w:val="20"/>
                <w:color w:val="auto"/>
              </w:rPr>
            </w:pPr>
            <w:r>
              <w:rPr>
                <w:rFonts w:ascii="Times New Roman" w:cs="Times New Roman" w:eastAsia="Times New Roman" w:hAnsi="Times New Roman"/>
                <w:sz w:val="12"/>
                <w:szCs w:val="12"/>
                <w:color w:val="auto"/>
                <w:w w:val="99"/>
              </w:rPr>
              <w:t>(5)</w:t>
            </w:r>
          </w:p>
        </w:tc>
        <w:tc>
          <w:tcPr>
            <w:tcW w:w="8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206</w:t>
            </w:r>
          </w:p>
        </w:tc>
        <w:tc>
          <w:tcPr>
            <w:tcW w:w="12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823</w:t>
            </w:r>
          </w:p>
        </w:tc>
        <w:tc>
          <w:tcPr>
            <w:tcW w:w="10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1,646</w:t>
            </w:r>
          </w:p>
        </w:tc>
        <w:tc>
          <w:tcPr>
            <w:tcW w:w="10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15,009</w:t>
            </w:r>
          </w:p>
        </w:tc>
        <w:tc>
          <w:tcPr>
            <w:tcW w:w="0" w:type="dxa"/>
            <w:vAlign w:val="bottom"/>
          </w:tcPr>
          <w:p>
            <w:pPr>
              <w:spacing w:after="0"/>
              <w:rPr>
                <w:sz w:val="1"/>
                <w:szCs w:val="1"/>
                <w:color w:val="auto"/>
              </w:rPr>
            </w:pPr>
          </w:p>
        </w:tc>
      </w:tr>
      <w:tr>
        <w:trPr>
          <w:trHeight w:val="155"/>
        </w:trPr>
        <w:tc>
          <w:tcPr>
            <w:tcW w:w="880" w:type="dxa"/>
            <w:vAlign w:val="bottom"/>
          </w:tcPr>
          <w:p>
            <w:pPr>
              <w:spacing w:after="0"/>
              <w:rPr>
                <w:sz w:val="13"/>
                <w:szCs w:val="13"/>
                <w:color w:val="auto"/>
              </w:rPr>
            </w:pPr>
          </w:p>
        </w:tc>
        <w:tc>
          <w:tcPr>
            <w:tcW w:w="920" w:type="dxa"/>
            <w:vAlign w:val="bottom"/>
            <w:gridSpan w:val="2"/>
          </w:tcPr>
          <w:p>
            <w:pPr>
              <w:jc w:val="center"/>
              <w:ind w:left="62"/>
              <w:spacing w:after="0"/>
              <w:rPr>
                <w:sz w:val="20"/>
                <w:szCs w:val="20"/>
                <w:color w:val="auto"/>
              </w:rPr>
            </w:pPr>
            <w:r>
              <w:rPr>
                <w:rFonts w:ascii="Times New Roman" w:cs="Times New Roman" w:eastAsia="Times New Roman" w:hAnsi="Times New Roman"/>
                <w:sz w:val="12"/>
                <w:szCs w:val="12"/>
                <w:color w:val="auto"/>
                <w:w w:val="98"/>
              </w:rPr>
              <w:t>10/2/2024</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3,183</w:t>
            </w: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237,555</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A.T. Gorman</w:t>
            </w:r>
          </w:p>
        </w:tc>
        <w:tc>
          <w:tcPr>
            <w:tcW w:w="12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375,000</w:t>
            </w:r>
          </w:p>
        </w:tc>
        <w:tc>
          <w:tcPr>
            <w:tcW w:w="12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1,125,000</w:t>
            </w:r>
          </w:p>
        </w:tc>
        <w:tc>
          <w:tcPr>
            <w:tcW w:w="12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880" w:type="dxa"/>
            <w:vAlign w:val="bottom"/>
          </w:tcPr>
          <w:p>
            <w:pPr>
              <w:spacing w:after="0"/>
              <w:rPr>
                <w:sz w:val="14"/>
                <w:szCs w:val="14"/>
                <w:color w:val="auto"/>
              </w:rPr>
            </w:pPr>
          </w:p>
        </w:tc>
        <w:tc>
          <w:tcPr>
            <w:tcW w:w="920" w:type="dxa"/>
            <w:vAlign w:val="bottom"/>
            <w:gridSpan w:val="2"/>
          </w:tcPr>
          <w:p>
            <w:pPr>
              <w:jc w:val="center"/>
              <w:ind w:left="62"/>
              <w:spacing w:after="0"/>
              <w:rPr>
                <w:sz w:val="20"/>
                <w:szCs w:val="20"/>
                <w:color w:val="auto"/>
              </w:rPr>
            </w:pPr>
            <w:r>
              <w:rPr>
                <w:rFonts w:ascii="Times New Roman" w:cs="Times New Roman" w:eastAsia="Times New Roman" w:hAnsi="Times New Roman"/>
                <w:sz w:val="12"/>
                <w:szCs w:val="12"/>
                <w:color w:val="auto"/>
                <w:w w:val="93"/>
              </w:rPr>
              <w:t>8/1/2024</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614</w:t>
            </w:r>
          </w:p>
        </w:tc>
        <w:tc>
          <w:tcPr>
            <w:tcW w:w="120" w:type="dxa"/>
            <w:vAlign w:val="bottom"/>
          </w:tcPr>
          <w:p>
            <w:pPr>
              <w:spacing w:after="0"/>
              <w:rPr>
                <w:sz w:val="14"/>
                <w:szCs w:val="14"/>
                <w:color w:val="auto"/>
              </w:rPr>
            </w:pP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2,457</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4,914</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175,037</w:t>
            </w:r>
          </w:p>
        </w:tc>
        <w:tc>
          <w:tcPr>
            <w:tcW w:w="0" w:type="dxa"/>
            <w:vAlign w:val="bottom"/>
          </w:tcPr>
          <w:p>
            <w:pPr>
              <w:spacing w:after="0"/>
              <w:rPr>
                <w:sz w:val="1"/>
                <w:szCs w:val="1"/>
                <w:color w:val="auto"/>
              </w:rPr>
            </w:pPr>
          </w:p>
        </w:tc>
      </w:tr>
      <w:tr>
        <w:trPr>
          <w:trHeight w:val="165"/>
        </w:trPr>
        <w:tc>
          <w:tcPr>
            <w:tcW w:w="88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gridSpan w:val="2"/>
            <w:shd w:val="clear" w:color="auto" w:fill="CCEEFF"/>
          </w:tcPr>
          <w:p>
            <w:pPr>
              <w:jc w:val="center"/>
              <w:ind w:left="62"/>
              <w:spacing w:after="0"/>
              <w:rPr>
                <w:sz w:val="20"/>
                <w:szCs w:val="20"/>
                <w:color w:val="auto"/>
              </w:rPr>
            </w:pPr>
            <w:r>
              <w:rPr>
                <w:rFonts w:ascii="Times New Roman" w:cs="Times New Roman" w:eastAsia="Times New Roman" w:hAnsi="Times New Roman"/>
                <w:sz w:val="12"/>
                <w:szCs w:val="12"/>
                <w:color w:val="auto"/>
                <w:w w:val="93"/>
              </w:rPr>
              <w:t>9/4/2024</w:t>
            </w:r>
          </w:p>
        </w:tc>
        <w:tc>
          <w:tcPr>
            <w:tcW w:w="320" w:type="dxa"/>
            <w:vAlign w:val="bottom"/>
            <w:tcBorders>
              <w:bottom w:val="single" w:sz="8" w:color="CCEEFF"/>
            </w:tcBorders>
            <w:shd w:val="clear" w:color="auto" w:fill="CCEEFF"/>
          </w:tcPr>
          <w:p>
            <w:pPr>
              <w:jc w:val="right"/>
              <w:ind w:right="102"/>
              <w:spacing w:after="0"/>
              <w:rPr>
                <w:sz w:val="20"/>
                <w:szCs w:val="20"/>
                <w:color w:val="auto"/>
              </w:rPr>
            </w:pPr>
            <w:r>
              <w:rPr>
                <w:rFonts w:ascii="Times New Roman" w:cs="Times New Roman" w:eastAsia="Times New Roman" w:hAnsi="Times New Roman"/>
                <w:sz w:val="12"/>
                <w:szCs w:val="12"/>
                <w:color w:val="auto"/>
                <w:w w:val="99"/>
              </w:rPr>
              <w:t>(5)</w:t>
            </w:r>
          </w:p>
        </w:tc>
        <w:tc>
          <w:tcPr>
            <w:tcW w:w="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260</w:t>
            </w:r>
          </w:p>
        </w:tc>
        <w:tc>
          <w:tcPr>
            <w:tcW w:w="12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1,039</w:t>
            </w:r>
          </w:p>
        </w:tc>
        <w:tc>
          <w:tcPr>
            <w:tcW w:w="10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2,078</w:t>
            </w:r>
          </w:p>
        </w:tc>
        <w:tc>
          <w:tcPr>
            <w:tcW w:w="10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18,948</w:t>
            </w:r>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920" w:type="dxa"/>
            <w:vAlign w:val="bottom"/>
            <w:gridSpan w:val="2"/>
          </w:tcPr>
          <w:p>
            <w:pPr>
              <w:jc w:val="center"/>
              <w:ind w:left="62"/>
              <w:spacing w:after="0"/>
              <w:rPr>
                <w:sz w:val="20"/>
                <w:szCs w:val="20"/>
                <w:color w:val="auto"/>
              </w:rPr>
            </w:pPr>
            <w:r>
              <w:rPr>
                <w:rFonts w:ascii="Times New Roman" w:cs="Times New Roman" w:eastAsia="Times New Roman" w:hAnsi="Times New Roman"/>
                <w:sz w:val="12"/>
                <w:szCs w:val="12"/>
                <w:color w:val="auto"/>
                <w:w w:val="98"/>
              </w:rPr>
              <w:t>10/2/2024</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2,345</w:t>
            </w: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175,013</w:t>
            </w:r>
          </w:p>
        </w:tc>
        <w:tc>
          <w:tcPr>
            <w:tcW w:w="0" w:type="dxa"/>
            <w:vAlign w:val="bottom"/>
          </w:tcPr>
          <w:p>
            <w:pPr>
              <w:spacing w:after="0"/>
              <w:rPr>
                <w:sz w:val="1"/>
                <w:szCs w:val="1"/>
                <w:color w:val="auto"/>
              </w:rPr>
            </w:pPr>
          </w:p>
        </w:tc>
      </w:tr>
    </w:tbl>
    <w:p>
      <w:pPr>
        <w:spacing w:after="0" w:line="258" w:lineRule="exact"/>
        <w:rPr>
          <w:sz w:val="20"/>
          <w:szCs w:val="20"/>
          <w:color w:val="auto"/>
        </w:rPr>
      </w:pPr>
    </w:p>
    <w:p>
      <w:pPr>
        <w:jc w:val="both"/>
        <w:ind w:left="660" w:hanging="328"/>
        <w:spacing w:after="0" w:line="257" w:lineRule="auto"/>
        <w:tabs>
          <w:tab w:leader="none" w:pos="65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its July 2024 meeting, the Committee approved the values of the annual cash incentive award threshold, target and maximums under the Company's annual cash incentive plan. The structure of the plan is described in the Compensation Discussion and Analysis above and was set prior to the beginning of the fiscal year.</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award represents PRSUs granted August 1, 2024, as part of the annual fiscal 2025 equity grant. These PRSUs have a three-year performance period with the number of shares issued at vesting determined by the Company's achievement of revenue and diluted EPS growth goals over the three-year performance period. Payout opportunities will range from 0% to 200% of the target award. Target payout is set at 100% of award value, with threshold and maximum payouts set at 25% and 200% of target award value, respectively.</w:t>
      </w:r>
    </w:p>
    <w:p>
      <w:pPr>
        <w:spacing w:after="0" w:line="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RSU awards vest equally over three years.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base price for the RSU and PRSU awards is the average of the high and low prices of the Company’s Class A Common Stock as reported by the NYSE on the date of the grant.</w:t>
      </w:r>
    </w:p>
    <w:p>
      <w:pPr>
        <w:jc w:val="both"/>
        <w:ind w:left="660" w:hanging="328"/>
        <w:spacing w:after="0" w:line="255" w:lineRule="auto"/>
        <w:tabs>
          <w:tab w:leader="none" w:pos="65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discussed in the Summary Compensation Table, the portion of the fiscal 2023 PRSU awards that have a performance vesting condition were modified in fiscal 2025. The above amounts represent the incremental fair value recognized as part of the modification based on the market on the date of the modification. The shares listed within represent the original shares granted to each of Mr. Shaller, Mr. DeBruine and Mr. Gorman.</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Outstanding Equity Awards at July 31, 2025</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Option Awards</w:t>
            </w: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3"/>
          </w:tcPr>
          <w:p>
            <w:pPr>
              <w:jc w:val="right"/>
              <w:ind w:right="717"/>
              <w:spacing w:after="0"/>
              <w:rPr>
                <w:sz w:val="20"/>
                <w:szCs w:val="20"/>
                <w:color w:val="auto"/>
              </w:rPr>
            </w:pPr>
            <w:r>
              <w:rPr>
                <w:rFonts w:ascii="Times New Roman" w:cs="Times New Roman" w:eastAsia="Times New Roman" w:hAnsi="Times New Roman"/>
                <w:sz w:val="13"/>
                <w:szCs w:val="13"/>
                <w:b w:val="1"/>
                <w:bCs w:val="1"/>
                <w:color w:val="auto"/>
              </w:rPr>
              <w:t>Stock Awards</w:t>
            </w:r>
          </w:p>
        </w:tc>
        <w:tc>
          <w:tcPr>
            <w:tcW w:w="3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4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7"/>
              </w:rPr>
              <w:t>Equity Incentive Plan</w:t>
            </w:r>
          </w:p>
        </w:tc>
        <w:tc>
          <w:tcPr>
            <w:tcW w:w="0" w:type="dxa"/>
            <w:vAlign w:val="bottom"/>
          </w:tcPr>
          <w:p>
            <w:pPr>
              <w:spacing w:after="0"/>
              <w:rPr>
                <w:sz w:val="1"/>
                <w:szCs w:val="1"/>
                <w:color w:val="auto"/>
              </w:rPr>
            </w:pPr>
          </w:p>
        </w:tc>
      </w:tr>
      <w:tr>
        <w:trPr>
          <w:trHeight w:val="135"/>
        </w:trPr>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11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Equity Incentive Plan</w:t>
            </w: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5"/>
              </w:rPr>
              <w:t>Awards: Market or</w:t>
            </w:r>
          </w:p>
        </w:tc>
        <w:tc>
          <w:tcPr>
            <w:tcW w:w="0" w:type="dxa"/>
            <w:vAlign w:val="bottom"/>
          </w:tcPr>
          <w:p>
            <w:pPr>
              <w:spacing w:after="0"/>
              <w:rPr>
                <w:sz w:val="1"/>
                <w:szCs w:val="1"/>
                <w:color w:val="auto"/>
              </w:rPr>
            </w:pPr>
          </w:p>
        </w:tc>
      </w:tr>
      <w:tr>
        <w:trPr>
          <w:trHeight w:val="122"/>
        </w:trPr>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gridSpan w:val="2"/>
          </w:tcPr>
          <w:p>
            <w:pPr>
              <w:jc w:val="center"/>
              <w:ind w:right="80"/>
              <w:spacing w:after="0" w:line="122" w:lineRule="exact"/>
              <w:rPr>
                <w:sz w:val="20"/>
                <w:szCs w:val="20"/>
                <w:color w:val="auto"/>
              </w:rPr>
            </w:pPr>
            <w:r>
              <w:rPr>
                <w:rFonts w:ascii="Times New Roman" w:cs="Times New Roman" w:eastAsia="Times New Roman" w:hAnsi="Times New Roman"/>
                <w:sz w:val="13"/>
                <w:szCs w:val="13"/>
                <w:b w:val="1"/>
                <w:bCs w:val="1"/>
                <w:color w:val="auto"/>
                <w:w w:val="99"/>
              </w:rPr>
              <w:t>Securities</w:t>
            </w:r>
          </w:p>
        </w:tc>
        <w:tc>
          <w:tcPr>
            <w:tcW w:w="110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9"/>
              </w:rPr>
              <w:t>Securities</w:t>
            </w: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tcPr>
          <w:p>
            <w:pPr>
              <w:jc w:val="center"/>
              <w:ind w:right="37"/>
              <w:spacing w:after="0" w:line="122" w:lineRule="exact"/>
              <w:rPr>
                <w:sz w:val="20"/>
                <w:szCs w:val="20"/>
                <w:color w:val="auto"/>
              </w:rPr>
            </w:pPr>
            <w:r>
              <w:rPr>
                <w:rFonts w:ascii="Times New Roman" w:cs="Times New Roman" w:eastAsia="Times New Roman" w:hAnsi="Times New Roman"/>
                <w:sz w:val="13"/>
                <w:szCs w:val="13"/>
                <w:b w:val="1"/>
                <w:bCs w:val="1"/>
                <w:color w:val="auto"/>
                <w:w w:val="96"/>
              </w:rPr>
              <w:t>Payout Value of</w:t>
            </w:r>
          </w:p>
        </w:tc>
        <w:tc>
          <w:tcPr>
            <w:tcW w:w="0" w:type="dxa"/>
            <w:vAlign w:val="bottom"/>
          </w:tcPr>
          <w:p>
            <w:pPr>
              <w:spacing w:after="0"/>
              <w:rPr>
                <w:sz w:val="1"/>
                <w:szCs w:val="1"/>
                <w:color w:val="auto"/>
              </w:rPr>
            </w:pPr>
          </w:p>
        </w:tc>
      </w:tr>
      <w:tr>
        <w:trPr>
          <w:trHeight w:val="135"/>
        </w:trPr>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8"/>
              </w:rPr>
              <w:t>Underlying</w:t>
            </w:r>
          </w:p>
        </w:tc>
        <w:tc>
          <w:tcPr>
            <w:tcW w:w="11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Underlying</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Option</w:t>
            </w: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Market Value of</w:t>
            </w:r>
          </w:p>
        </w:tc>
        <w:tc>
          <w:tcPr>
            <w:tcW w:w="12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Awards: Number of</w:t>
            </w: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6"/>
              </w:rPr>
              <w:t>Unearned Shares,</w:t>
            </w:r>
          </w:p>
        </w:tc>
        <w:tc>
          <w:tcPr>
            <w:tcW w:w="0" w:type="dxa"/>
            <w:vAlign w:val="bottom"/>
          </w:tcPr>
          <w:p>
            <w:pPr>
              <w:spacing w:after="0"/>
              <w:rPr>
                <w:sz w:val="1"/>
                <w:szCs w:val="1"/>
                <w:color w:val="auto"/>
              </w:rPr>
            </w:pPr>
          </w:p>
        </w:tc>
      </w:tr>
      <w:tr>
        <w:trPr>
          <w:trHeight w:val="122"/>
        </w:trPr>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gridSpan w:val="2"/>
          </w:tcPr>
          <w:p>
            <w:pPr>
              <w:jc w:val="center"/>
              <w:ind w:right="80"/>
              <w:spacing w:after="0" w:line="122" w:lineRule="exact"/>
              <w:rPr>
                <w:sz w:val="20"/>
                <w:szCs w:val="20"/>
                <w:color w:val="auto"/>
              </w:rPr>
            </w:pPr>
            <w:r>
              <w:rPr>
                <w:rFonts w:ascii="Times New Roman" w:cs="Times New Roman" w:eastAsia="Times New Roman" w:hAnsi="Times New Roman"/>
                <w:sz w:val="13"/>
                <w:szCs w:val="13"/>
                <w:b w:val="1"/>
                <w:bCs w:val="1"/>
                <w:color w:val="auto"/>
                <w:w w:val="97"/>
              </w:rPr>
              <w:t>Unexercised</w:t>
            </w:r>
          </w:p>
        </w:tc>
        <w:tc>
          <w:tcPr>
            <w:tcW w:w="110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7"/>
              </w:rPr>
              <w:t>Unexercised</w:t>
            </w: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7"/>
              </w:rPr>
              <w:t>Shares or Units</w:t>
            </w: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3"/>
                <w:szCs w:val="13"/>
                <w:b w:val="1"/>
                <w:bCs w:val="1"/>
                <w:color w:val="auto"/>
                <w:w w:val="95"/>
              </w:rPr>
              <w:t>Shares or Units of</w:t>
            </w:r>
          </w:p>
        </w:tc>
        <w:tc>
          <w:tcPr>
            <w:tcW w:w="12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6"/>
              </w:rPr>
              <w:t>Unearned Shares,</w:t>
            </w: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tcPr>
          <w:p>
            <w:pPr>
              <w:jc w:val="center"/>
              <w:ind w:right="37"/>
              <w:spacing w:after="0" w:line="122" w:lineRule="exact"/>
              <w:rPr>
                <w:sz w:val="20"/>
                <w:szCs w:val="20"/>
                <w:color w:val="auto"/>
              </w:rPr>
            </w:pPr>
            <w:r>
              <w:rPr>
                <w:rFonts w:ascii="Times New Roman" w:cs="Times New Roman" w:eastAsia="Times New Roman" w:hAnsi="Times New Roman"/>
                <w:sz w:val="13"/>
                <w:szCs w:val="13"/>
                <w:b w:val="1"/>
                <w:bCs w:val="1"/>
                <w:color w:val="auto"/>
                <w:w w:val="96"/>
              </w:rPr>
              <w:t>Units Or Other</w:t>
            </w:r>
          </w:p>
        </w:tc>
        <w:tc>
          <w:tcPr>
            <w:tcW w:w="0" w:type="dxa"/>
            <w:vAlign w:val="bottom"/>
          </w:tcPr>
          <w:p>
            <w:pPr>
              <w:spacing w:after="0"/>
              <w:rPr>
                <w:sz w:val="1"/>
                <w:szCs w:val="1"/>
                <w:color w:val="auto"/>
              </w:rPr>
            </w:pPr>
          </w:p>
        </w:tc>
      </w:tr>
      <w:tr>
        <w:trPr>
          <w:trHeight w:val="121"/>
        </w:trPr>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gridSpan w:val="2"/>
          </w:tcPr>
          <w:p>
            <w:pPr>
              <w:jc w:val="center"/>
              <w:ind w:right="80"/>
              <w:spacing w:after="0" w:line="122" w:lineRule="exact"/>
              <w:rPr>
                <w:sz w:val="20"/>
                <w:szCs w:val="20"/>
                <w:color w:val="auto"/>
              </w:rPr>
            </w:pPr>
            <w:r>
              <w:rPr>
                <w:rFonts w:ascii="Times New Roman" w:cs="Times New Roman" w:eastAsia="Times New Roman" w:hAnsi="Times New Roman"/>
                <w:sz w:val="13"/>
                <w:szCs w:val="13"/>
                <w:b w:val="1"/>
                <w:bCs w:val="1"/>
                <w:color w:val="auto"/>
                <w:w w:val="95"/>
              </w:rPr>
              <w:t>Options</w:t>
            </w:r>
          </w:p>
        </w:tc>
        <w:tc>
          <w:tcPr>
            <w:tcW w:w="110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5"/>
              </w:rPr>
              <w:t>Options</w:t>
            </w: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3"/>
                <w:szCs w:val="13"/>
                <w:b w:val="1"/>
                <w:bCs w:val="1"/>
                <w:color w:val="auto"/>
                <w:w w:val="97"/>
              </w:rPr>
              <w:t>Exercise</w:t>
            </w: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5"/>
              </w:rPr>
              <w:t>of Stock That</w:t>
            </w:r>
          </w:p>
        </w:tc>
        <w:tc>
          <w:tcPr>
            <w:tcW w:w="340" w:type="dxa"/>
            <w:vAlign w:val="bottom"/>
          </w:tcPr>
          <w:p>
            <w:pPr>
              <w:spacing w:after="0"/>
              <w:rPr>
                <w:sz w:val="10"/>
                <w:szCs w:val="10"/>
                <w:color w:val="auto"/>
              </w:rPr>
            </w:pPr>
          </w:p>
        </w:tc>
        <w:tc>
          <w:tcPr>
            <w:tcW w:w="1340" w:type="dxa"/>
            <w:vAlign w:val="bottom"/>
            <w:gridSpan w:val="3"/>
          </w:tcPr>
          <w:p>
            <w:pPr>
              <w:jc w:val="center"/>
              <w:ind w:right="100"/>
              <w:spacing w:after="0" w:line="122" w:lineRule="exact"/>
              <w:rPr>
                <w:sz w:val="20"/>
                <w:szCs w:val="20"/>
                <w:color w:val="auto"/>
              </w:rPr>
            </w:pPr>
            <w:r>
              <w:rPr>
                <w:rFonts w:ascii="Times New Roman" w:cs="Times New Roman" w:eastAsia="Times New Roman" w:hAnsi="Times New Roman"/>
                <w:sz w:val="13"/>
                <w:szCs w:val="13"/>
                <w:b w:val="1"/>
                <w:bCs w:val="1"/>
                <w:color w:val="auto"/>
                <w:w w:val="95"/>
              </w:rPr>
              <w:t>Stock That Have Not</w:t>
            </w:r>
          </w:p>
        </w:tc>
        <w:tc>
          <w:tcPr>
            <w:tcW w:w="12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6"/>
              </w:rPr>
              <w:t>Units, or Other Rights</w:t>
            </w:r>
          </w:p>
        </w:tc>
        <w:tc>
          <w:tcPr>
            <w:tcW w:w="360" w:type="dxa"/>
            <w:vAlign w:val="bottom"/>
          </w:tcPr>
          <w:p>
            <w:pPr>
              <w:spacing w:after="0"/>
              <w:rPr>
                <w:sz w:val="10"/>
                <w:szCs w:val="10"/>
                <w:color w:val="auto"/>
              </w:rPr>
            </w:pPr>
          </w:p>
        </w:tc>
        <w:tc>
          <w:tcPr>
            <w:tcW w:w="124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6"/>
              </w:rPr>
              <w:t>Rights That Have Not</w:t>
            </w:r>
          </w:p>
        </w:tc>
        <w:tc>
          <w:tcPr>
            <w:tcW w:w="0" w:type="dxa"/>
            <w:vAlign w:val="bottom"/>
          </w:tcPr>
          <w:p>
            <w:pPr>
              <w:spacing w:after="0"/>
              <w:rPr>
                <w:sz w:val="1"/>
                <w:szCs w:val="1"/>
                <w:color w:val="auto"/>
              </w:rPr>
            </w:pPr>
          </w:p>
        </w:tc>
      </w:tr>
      <w:tr>
        <w:trPr>
          <w:trHeight w:val="135"/>
        </w:trPr>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Name</w:t>
            </w:r>
          </w:p>
        </w:tc>
        <w:tc>
          <w:tcPr>
            <w:tcW w:w="118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Exercisable</w:t>
            </w:r>
          </w:p>
        </w:tc>
        <w:tc>
          <w:tcPr>
            <w:tcW w:w="11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Unexercisable</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Price</w:t>
            </w:r>
          </w:p>
        </w:tc>
        <w:tc>
          <w:tcPr>
            <w:tcW w:w="106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Option</w:t>
            </w:r>
          </w:p>
        </w:tc>
        <w:tc>
          <w:tcPr>
            <w:tcW w:w="9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Have Not Vested</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Vested</w:t>
            </w:r>
          </w:p>
        </w:tc>
        <w:tc>
          <w:tcPr>
            <w:tcW w:w="12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That Have Not Vested</w:t>
            </w: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0"/>
              </w:rPr>
              <w:t>Vested</w:t>
            </w:r>
          </w:p>
        </w:tc>
        <w:tc>
          <w:tcPr>
            <w:tcW w:w="0" w:type="dxa"/>
            <w:vAlign w:val="bottom"/>
          </w:tcPr>
          <w:p>
            <w:pPr>
              <w:spacing w:after="0"/>
              <w:rPr>
                <w:sz w:val="1"/>
                <w:szCs w:val="1"/>
                <w:color w:val="auto"/>
              </w:rPr>
            </w:pPr>
          </w:p>
        </w:tc>
      </w:tr>
      <w:tr>
        <w:trPr>
          <w:trHeight w:val="171"/>
        </w:trPr>
        <w:tc>
          <w:tcPr>
            <w:tcW w:w="1200" w:type="dxa"/>
            <w:vAlign w:val="bottom"/>
            <w:gridSpan w:val="2"/>
            <w:vMerge w:val="continue"/>
          </w:tcPr>
          <w:p>
            <w:pPr>
              <w:spacing w:after="0"/>
              <w:rPr>
                <w:sz w:val="14"/>
                <w:szCs w:val="1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10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100" w:type="dxa"/>
            <w:vAlign w:val="bottom"/>
          </w:tcPr>
          <w:p>
            <w:pPr>
              <w:spacing w:after="0"/>
              <w:rPr>
                <w:sz w:val="14"/>
                <w:szCs w:val="14"/>
                <w:color w:val="auto"/>
              </w:rPr>
            </w:pP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Expiration Date</w:t>
            </w:r>
          </w:p>
        </w:tc>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0" w:type="dxa"/>
            <w:vAlign w:val="bottom"/>
          </w:tcPr>
          <w:p>
            <w:pPr>
              <w:spacing w:after="0"/>
              <w:rPr>
                <w:sz w:val="1"/>
                <w:szCs w:val="1"/>
                <w:color w:val="auto"/>
              </w:rPr>
            </w:pPr>
          </w:p>
        </w:tc>
      </w:tr>
      <w:tr>
        <w:trPr>
          <w:trHeight w:val="174"/>
        </w:trPr>
        <w:tc>
          <w:tcPr>
            <w:tcW w:w="1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R.R. Shaller</w:t>
            </w:r>
          </w:p>
        </w:tc>
        <w:tc>
          <w:tcPr>
            <w:tcW w:w="8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2,448</w:t>
            </w:r>
          </w:p>
        </w:tc>
        <w:tc>
          <w:tcPr>
            <w:tcW w:w="10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35.14</w:t>
            </w:r>
          </w:p>
        </w:tc>
        <w:tc>
          <w:tcPr>
            <w:tcW w:w="10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9/23/2026</w:t>
            </w:r>
          </w:p>
        </w:tc>
        <w:tc>
          <w:tcPr>
            <w:tcW w:w="10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21,295</w:t>
            </w: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36.85</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9/22/2027</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22,012</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43.98</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9/25/2028</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20,137</w:t>
            </w: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54.05</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9/20/2029</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25,636</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39.92</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9/30/2030</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20,496</w:t>
            </w: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49.79</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9/16/2031</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60,928</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46.70</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4/1/2032</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21,600</w:t>
            </w:r>
          </w:p>
        </w:tc>
        <w:tc>
          <w:tcPr>
            <w:tcW w:w="34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w w:val="92"/>
              </w:rPr>
              <w:t>(1)</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2,320,164</w:t>
            </w: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32,158</w:t>
            </w:r>
          </w:p>
        </w:tc>
        <w:tc>
          <w:tcPr>
            <w:tcW w:w="34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w w:val="92"/>
              </w:rPr>
              <w:t>(2)</w:t>
            </w: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2,269,390</w:t>
            </w: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10,428</w:t>
            </w:r>
          </w:p>
        </w:tc>
        <w:tc>
          <w:tcPr>
            <w:tcW w:w="36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w w:val="92"/>
              </w:rPr>
              <w:t>(3)</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746,749</w:t>
            </w:r>
          </w:p>
        </w:tc>
        <w:tc>
          <w:tcPr>
            <w:tcW w:w="0" w:type="dxa"/>
            <w:vAlign w:val="bottom"/>
          </w:tcPr>
          <w:p>
            <w:pPr>
              <w:spacing w:after="0"/>
              <w:rPr>
                <w:sz w:val="1"/>
                <w:szCs w:val="1"/>
                <w:color w:val="auto"/>
              </w:rPr>
            </w:pPr>
          </w:p>
        </w:tc>
      </w:tr>
      <w:tr>
        <w:trPr>
          <w:trHeight w:val="181"/>
        </w:trPr>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10,428</w:t>
            </w:r>
          </w:p>
        </w:tc>
        <w:tc>
          <w:tcPr>
            <w:tcW w:w="36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2"/>
              </w:rPr>
              <w:t>(4)</w:t>
            </w: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746,749</w:t>
            </w:r>
          </w:p>
        </w:tc>
        <w:tc>
          <w:tcPr>
            <w:tcW w:w="0" w:type="dxa"/>
            <w:vAlign w:val="bottom"/>
          </w:tcPr>
          <w:p>
            <w:pPr>
              <w:spacing w:after="0"/>
              <w:rPr>
                <w:sz w:val="1"/>
                <w:szCs w:val="1"/>
                <w:color w:val="auto"/>
              </w:rPr>
            </w:pPr>
          </w:p>
        </w:tc>
      </w:tr>
      <w:tr>
        <w:trPr>
          <w:trHeight w:val="170"/>
        </w:trPr>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34,705</w:t>
            </w:r>
          </w:p>
        </w:tc>
        <w:tc>
          <w:tcPr>
            <w:tcW w:w="36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w w:val="92"/>
              </w:rPr>
              <w:t>(5)</w:t>
            </w:r>
          </w:p>
        </w:tc>
        <w:tc>
          <w:tcPr>
            <w:tcW w:w="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2,449,132</w:t>
            </w:r>
          </w:p>
        </w:tc>
        <w:tc>
          <w:tcPr>
            <w:tcW w:w="0" w:type="dxa"/>
            <w:vAlign w:val="bottom"/>
          </w:tcPr>
          <w:p>
            <w:pPr>
              <w:spacing w:after="0"/>
              <w:rPr>
                <w:sz w:val="1"/>
                <w:szCs w:val="1"/>
                <w:color w:val="auto"/>
              </w:rPr>
            </w:pPr>
          </w:p>
        </w:tc>
      </w:tr>
      <w:tr>
        <w:trPr>
          <w:trHeight w:val="181"/>
        </w:trPr>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33,689</w:t>
            </w:r>
          </w:p>
        </w:tc>
        <w:tc>
          <w:tcPr>
            <w:tcW w:w="36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2"/>
              </w:rPr>
              <w:t>(6)</w:t>
            </w: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2,377,433</w:t>
            </w:r>
          </w:p>
        </w:tc>
        <w:tc>
          <w:tcPr>
            <w:tcW w:w="0" w:type="dxa"/>
            <w:vAlign w:val="bottom"/>
          </w:tcPr>
          <w:p>
            <w:pPr>
              <w:spacing w:after="0"/>
              <w:rPr>
                <w:sz w:val="1"/>
                <w:szCs w:val="1"/>
                <w:color w:val="auto"/>
              </w:rPr>
            </w:pPr>
          </w:p>
        </w:tc>
      </w:tr>
      <w:tr>
        <w:trPr>
          <w:trHeight w:val="256"/>
        </w:trPr>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1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A.E. Thornton</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4,080</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35.14</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9/23/2026</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3,775</w:t>
            </w: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36.85</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9/22/2027</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3,302</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43.98</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9/25/2028</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3,021</w:t>
            </w: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54.05</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9/20/2029</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4,273</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39.92</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9/30/2030</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3,416</w:t>
            </w: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49.79</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9/16/2031</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2,667</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1,333</w:t>
            </w:r>
          </w:p>
        </w:tc>
        <w:tc>
          <w:tcPr>
            <w:tcW w:w="34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w w:val="92"/>
              </w:rPr>
              <w:t>(7)</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43.50</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9/19/2032</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383</w:t>
            </w:r>
          </w:p>
        </w:tc>
        <w:tc>
          <w:tcPr>
            <w:tcW w:w="34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w w:val="92"/>
              </w:rPr>
              <w:t>(8)</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27,028</w:t>
            </w: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4,106</w:t>
            </w:r>
          </w:p>
        </w:tc>
        <w:tc>
          <w:tcPr>
            <w:tcW w:w="34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w w:val="92"/>
              </w:rPr>
              <w:t>(1)</w:t>
            </w: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289,760</w:t>
            </w: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5,360</w:t>
            </w:r>
          </w:p>
        </w:tc>
        <w:tc>
          <w:tcPr>
            <w:tcW w:w="34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w w:val="92"/>
              </w:rPr>
              <w:t>(2)</w:t>
            </w:r>
          </w:p>
        </w:tc>
        <w:tc>
          <w:tcPr>
            <w:tcW w:w="1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378,255</w:t>
            </w: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6,597</w:t>
            </w:r>
          </w:p>
        </w:tc>
        <w:tc>
          <w:tcPr>
            <w:tcW w:w="36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2"/>
              </w:rPr>
              <w:t>(5)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465,550</w:t>
            </w:r>
          </w:p>
        </w:tc>
        <w:tc>
          <w:tcPr>
            <w:tcW w:w="0" w:type="dxa"/>
            <w:vAlign w:val="bottom"/>
          </w:tcPr>
          <w:p>
            <w:pPr>
              <w:spacing w:after="0"/>
              <w:rPr>
                <w:sz w:val="1"/>
                <w:szCs w:val="1"/>
                <w:color w:val="auto"/>
              </w:rPr>
            </w:pPr>
          </w:p>
        </w:tc>
      </w:tr>
      <w:tr>
        <w:trPr>
          <w:trHeight w:val="170"/>
        </w:trPr>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2"/>
          </w:tcPr>
          <w:p>
            <w:pPr>
              <w:jc w:val="right"/>
              <w:ind w:right="137"/>
              <w:spacing w:after="0"/>
              <w:rPr>
                <w:sz w:val="20"/>
                <w:szCs w:val="20"/>
                <w:color w:val="auto"/>
              </w:rPr>
            </w:pPr>
            <w:r>
              <w:rPr>
                <w:rFonts w:ascii="Times New Roman" w:cs="Times New Roman" w:eastAsia="Times New Roman" w:hAnsi="Times New Roman"/>
                <w:sz w:val="13"/>
                <w:szCs w:val="13"/>
                <w:color w:val="auto"/>
              </w:rPr>
              <w:t>5,615 (6)</w:t>
            </w:r>
          </w:p>
        </w:tc>
        <w:tc>
          <w:tcPr>
            <w:tcW w:w="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396,251</w:t>
            </w:r>
          </w:p>
        </w:tc>
        <w:tc>
          <w:tcPr>
            <w:tcW w:w="0" w:type="dxa"/>
            <w:vAlign w:val="bottom"/>
          </w:tcPr>
          <w:p>
            <w:pPr>
              <w:spacing w:after="0"/>
              <w:rPr>
                <w:sz w:val="1"/>
                <w:szCs w:val="1"/>
                <w:color w:val="auto"/>
              </w:rPr>
            </w:pPr>
          </w:p>
        </w:tc>
      </w:tr>
      <w:tr>
        <w:trPr>
          <w:trHeight w:val="262"/>
        </w:trPr>
        <w:tc>
          <w:tcPr>
            <w:tcW w:w="1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O. Bojarski</w:t>
            </w: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right"/>
              <w:ind w:right="117"/>
              <w:spacing w:after="0"/>
              <w:rPr>
                <w:sz w:val="20"/>
                <w:szCs w:val="20"/>
                <w:color w:val="auto"/>
              </w:rPr>
            </w:pPr>
            <w:r>
              <w:rPr>
                <w:rFonts w:ascii="Times New Roman" w:cs="Times New Roman" w:eastAsia="Times New Roman" w:hAnsi="Times New Roman"/>
                <w:sz w:val="13"/>
                <w:szCs w:val="13"/>
                <w:color w:val="auto"/>
              </w:rPr>
              <w:t>4,087 (9)</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288,420</w:t>
            </w: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4,148 (1)</w:t>
            </w: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292,724</w:t>
            </w: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right"/>
              <w:ind w:right="117"/>
              <w:spacing w:after="0"/>
              <w:rPr>
                <w:sz w:val="20"/>
                <w:szCs w:val="20"/>
                <w:color w:val="auto"/>
              </w:rPr>
            </w:pPr>
            <w:r>
              <w:rPr>
                <w:rFonts w:ascii="Times New Roman" w:cs="Times New Roman" w:eastAsia="Times New Roman" w:hAnsi="Times New Roman"/>
                <w:sz w:val="13"/>
                <w:szCs w:val="13"/>
                <w:color w:val="auto"/>
              </w:rPr>
              <w:t>5,025 (2)</w:t>
            </w:r>
          </w:p>
        </w:tc>
        <w:tc>
          <w:tcPr>
            <w:tcW w:w="1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354,614</w:t>
            </w: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6,666</w:t>
            </w:r>
          </w:p>
        </w:tc>
        <w:tc>
          <w:tcPr>
            <w:tcW w:w="36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2"/>
              </w:rPr>
              <w:t>(5)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470,420</w:t>
            </w:r>
          </w:p>
        </w:tc>
        <w:tc>
          <w:tcPr>
            <w:tcW w:w="0" w:type="dxa"/>
            <w:vAlign w:val="bottom"/>
          </w:tcPr>
          <w:p>
            <w:pPr>
              <w:spacing w:after="0"/>
              <w:rPr>
                <w:sz w:val="1"/>
                <w:szCs w:val="1"/>
                <w:color w:val="auto"/>
              </w:rPr>
            </w:pPr>
          </w:p>
        </w:tc>
      </w:tr>
      <w:tr>
        <w:trPr>
          <w:trHeight w:val="170"/>
        </w:trPr>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2"/>
          </w:tcPr>
          <w:p>
            <w:pPr>
              <w:jc w:val="right"/>
              <w:ind w:right="137"/>
              <w:spacing w:after="0"/>
              <w:rPr>
                <w:sz w:val="20"/>
                <w:szCs w:val="20"/>
                <w:color w:val="auto"/>
              </w:rPr>
            </w:pPr>
            <w:r>
              <w:rPr>
                <w:rFonts w:ascii="Times New Roman" w:cs="Times New Roman" w:eastAsia="Times New Roman" w:hAnsi="Times New Roman"/>
                <w:sz w:val="13"/>
                <w:szCs w:val="13"/>
                <w:color w:val="auto"/>
              </w:rPr>
              <w:t>5,264 (6)</w:t>
            </w:r>
          </w:p>
        </w:tc>
        <w:tc>
          <w:tcPr>
            <w:tcW w:w="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371,480</w:t>
            </w:r>
          </w:p>
        </w:tc>
        <w:tc>
          <w:tcPr>
            <w:tcW w:w="0" w:type="dxa"/>
            <w:vAlign w:val="bottom"/>
          </w:tcPr>
          <w:p>
            <w:pPr>
              <w:spacing w:after="0"/>
              <w:rPr>
                <w:sz w:val="1"/>
                <w:szCs w:val="1"/>
                <w:color w:val="auto"/>
              </w:rPr>
            </w:pPr>
          </w:p>
        </w:tc>
      </w:tr>
      <w:tr>
        <w:trPr>
          <w:trHeight w:val="262"/>
        </w:trPr>
        <w:tc>
          <w:tcPr>
            <w:tcW w:w="1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T.F. DeBruine</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2,162</w:t>
            </w: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54.05</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9/20/2029</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1,167</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49.79</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9/16/2031</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1,684</w:t>
            </w:r>
          </w:p>
        </w:tc>
        <w:tc>
          <w:tcPr>
            <w:tcW w:w="34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w w:val="92"/>
              </w:rPr>
              <w:t>(7)</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43.50</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9/19/2032</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460</w:t>
            </w:r>
          </w:p>
        </w:tc>
        <w:tc>
          <w:tcPr>
            <w:tcW w:w="34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w w:val="92"/>
              </w:rPr>
              <w:t>(8)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32,462</w:t>
            </w: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1,338</w:t>
            </w:r>
          </w:p>
        </w:tc>
        <w:tc>
          <w:tcPr>
            <w:tcW w:w="34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w w:val="92"/>
              </w:rPr>
              <w:t>(1)</w:t>
            </w:r>
          </w:p>
        </w:tc>
        <w:tc>
          <w:tcPr>
            <w:tcW w:w="1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94,423</w:t>
            </w: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3,183</w:t>
            </w:r>
          </w:p>
        </w:tc>
        <w:tc>
          <w:tcPr>
            <w:tcW w:w="34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w w:val="92"/>
              </w:rPr>
              <w:t>(2)</w:t>
            </w: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224,624</w:t>
            </w: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823</w:t>
            </w:r>
          </w:p>
        </w:tc>
        <w:tc>
          <w:tcPr>
            <w:tcW w:w="36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w w:val="92"/>
              </w:rPr>
              <w:t>(3)</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58,079</w:t>
            </w:r>
          </w:p>
        </w:tc>
        <w:tc>
          <w:tcPr>
            <w:tcW w:w="0" w:type="dxa"/>
            <w:vAlign w:val="bottom"/>
          </w:tcPr>
          <w:p>
            <w:pPr>
              <w:spacing w:after="0"/>
              <w:rPr>
                <w:sz w:val="1"/>
                <w:szCs w:val="1"/>
                <w:color w:val="auto"/>
              </w:rPr>
            </w:pPr>
          </w:p>
        </w:tc>
      </w:tr>
      <w:tr>
        <w:trPr>
          <w:trHeight w:val="181"/>
        </w:trPr>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823</w:t>
            </w:r>
          </w:p>
        </w:tc>
        <w:tc>
          <w:tcPr>
            <w:tcW w:w="36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2"/>
              </w:rPr>
              <w:t>(4)</w:t>
            </w: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58,079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Option Awards</w:t>
            </w: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3"/>
          </w:tcPr>
          <w:p>
            <w:pPr>
              <w:jc w:val="right"/>
              <w:ind w:right="717"/>
              <w:spacing w:after="0"/>
              <w:rPr>
                <w:sz w:val="20"/>
                <w:szCs w:val="20"/>
                <w:color w:val="auto"/>
              </w:rPr>
            </w:pPr>
            <w:r>
              <w:rPr>
                <w:rFonts w:ascii="Times New Roman" w:cs="Times New Roman" w:eastAsia="Times New Roman" w:hAnsi="Times New Roman"/>
                <w:sz w:val="13"/>
                <w:szCs w:val="13"/>
                <w:b w:val="1"/>
                <w:bCs w:val="1"/>
                <w:color w:val="auto"/>
              </w:rPr>
              <w:t>Stock Awards</w:t>
            </w:r>
          </w:p>
        </w:tc>
        <w:tc>
          <w:tcPr>
            <w:tcW w:w="3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4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7"/>
              </w:rPr>
              <w:t>Equity Incentive Plan</w:t>
            </w:r>
          </w:p>
        </w:tc>
        <w:tc>
          <w:tcPr>
            <w:tcW w:w="0" w:type="dxa"/>
            <w:vAlign w:val="bottom"/>
          </w:tcPr>
          <w:p>
            <w:pPr>
              <w:spacing w:after="0"/>
              <w:rPr>
                <w:sz w:val="1"/>
                <w:szCs w:val="1"/>
                <w:color w:val="auto"/>
              </w:rPr>
            </w:pPr>
          </w:p>
        </w:tc>
      </w:tr>
      <w:tr>
        <w:trPr>
          <w:trHeight w:val="135"/>
        </w:trPr>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11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Equity Incentive Plan</w:t>
            </w: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5"/>
              </w:rPr>
              <w:t>Awards: Market or</w:t>
            </w:r>
          </w:p>
        </w:tc>
        <w:tc>
          <w:tcPr>
            <w:tcW w:w="0" w:type="dxa"/>
            <w:vAlign w:val="bottom"/>
          </w:tcPr>
          <w:p>
            <w:pPr>
              <w:spacing w:after="0"/>
              <w:rPr>
                <w:sz w:val="1"/>
                <w:szCs w:val="1"/>
                <w:color w:val="auto"/>
              </w:rPr>
            </w:pPr>
          </w:p>
        </w:tc>
      </w:tr>
      <w:tr>
        <w:trPr>
          <w:trHeight w:val="122"/>
        </w:trPr>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gridSpan w:val="2"/>
          </w:tcPr>
          <w:p>
            <w:pPr>
              <w:jc w:val="center"/>
              <w:ind w:right="80"/>
              <w:spacing w:after="0" w:line="122" w:lineRule="exact"/>
              <w:rPr>
                <w:sz w:val="20"/>
                <w:szCs w:val="20"/>
                <w:color w:val="auto"/>
              </w:rPr>
            </w:pPr>
            <w:r>
              <w:rPr>
                <w:rFonts w:ascii="Times New Roman" w:cs="Times New Roman" w:eastAsia="Times New Roman" w:hAnsi="Times New Roman"/>
                <w:sz w:val="13"/>
                <w:szCs w:val="13"/>
                <w:b w:val="1"/>
                <w:bCs w:val="1"/>
                <w:color w:val="auto"/>
                <w:w w:val="99"/>
              </w:rPr>
              <w:t>Securities</w:t>
            </w:r>
          </w:p>
        </w:tc>
        <w:tc>
          <w:tcPr>
            <w:tcW w:w="110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9"/>
              </w:rPr>
              <w:t>Securities</w:t>
            </w: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tcPr>
          <w:p>
            <w:pPr>
              <w:jc w:val="center"/>
              <w:ind w:right="37"/>
              <w:spacing w:after="0" w:line="122" w:lineRule="exact"/>
              <w:rPr>
                <w:sz w:val="20"/>
                <w:szCs w:val="20"/>
                <w:color w:val="auto"/>
              </w:rPr>
            </w:pPr>
            <w:r>
              <w:rPr>
                <w:rFonts w:ascii="Times New Roman" w:cs="Times New Roman" w:eastAsia="Times New Roman" w:hAnsi="Times New Roman"/>
                <w:sz w:val="13"/>
                <w:szCs w:val="13"/>
                <w:b w:val="1"/>
                <w:bCs w:val="1"/>
                <w:color w:val="auto"/>
                <w:w w:val="96"/>
              </w:rPr>
              <w:t>Payout Value of</w:t>
            </w:r>
          </w:p>
        </w:tc>
        <w:tc>
          <w:tcPr>
            <w:tcW w:w="0" w:type="dxa"/>
            <w:vAlign w:val="bottom"/>
          </w:tcPr>
          <w:p>
            <w:pPr>
              <w:spacing w:after="0"/>
              <w:rPr>
                <w:sz w:val="1"/>
                <w:szCs w:val="1"/>
                <w:color w:val="auto"/>
              </w:rPr>
            </w:pPr>
          </w:p>
        </w:tc>
      </w:tr>
      <w:tr>
        <w:trPr>
          <w:trHeight w:val="135"/>
        </w:trPr>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8"/>
              </w:rPr>
              <w:t>Underlying</w:t>
            </w:r>
          </w:p>
        </w:tc>
        <w:tc>
          <w:tcPr>
            <w:tcW w:w="11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Underlying</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Option</w:t>
            </w: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Market Value of</w:t>
            </w:r>
          </w:p>
        </w:tc>
        <w:tc>
          <w:tcPr>
            <w:tcW w:w="12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Awards: Number of</w:t>
            </w: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6"/>
              </w:rPr>
              <w:t>Unearned Shares,</w:t>
            </w:r>
          </w:p>
        </w:tc>
        <w:tc>
          <w:tcPr>
            <w:tcW w:w="0" w:type="dxa"/>
            <w:vAlign w:val="bottom"/>
          </w:tcPr>
          <w:p>
            <w:pPr>
              <w:spacing w:after="0"/>
              <w:rPr>
                <w:sz w:val="1"/>
                <w:szCs w:val="1"/>
                <w:color w:val="auto"/>
              </w:rPr>
            </w:pPr>
          </w:p>
        </w:tc>
      </w:tr>
      <w:tr>
        <w:trPr>
          <w:trHeight w:val="122"/>
        </w:trPr>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gridSpan w:val="2"/>
          </w:tcPr>
          <w:p>
            <w:pPr>
              <w:jc w:val="center"/>
              <w:ind w:right="80"/>
              <w:spacing w:after="0" w:line="122" w:lineRule="exact"/>
              <w:rPr>
                <w:sz w:val="20"/>
                <w:szCs w:val="20"/>
                <w:color w:val="auto"/>
              </w:rPr>
            </w:pPr>
            <w:r>
              <w:rPr>
                <w:rFonts w:ascii="Times New Roman" w:cs="Times New Roman" w:eastAsia="Times New Roman" w:hAnsi="Times New Roman"/>
                <w:sz w:val="13"/>
                <w:szCs w:val="13"/>
                <w:b w:val="1"/>
                <w:bCs w:val="1"/>
                <w:color w:val="auto"/>
                <w:w w:val="97"/>
              </w:rPr>
              <w:t>Unexercised</w:t>
            </w:r>
          </w:p>
        </w:tc>
        <w:tc>
          <w:tcPr>
            <w:tcW w:w="110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7"/>
              </w:rPr>
              <w:t>Unexercised</w:t>
            </w: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7"/>
              </w:rPr>
              <w:t>Shares or Units</w:t>
            </w: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3"/>
                <w:szCs w:val="13"/>
                <w:b w:val="1"/>
                <w:bCs w:val="1"/>
                <w:color w:val="auto"/>
                <w:w w:val="95"/>
              </w:rPr>
              <w:t>Shares or Units of</w:t>
            </w:r>
          </w:p>
        </w:tc>
        <w:tc>
          <w:tcPr>
            <w:tcW w:w="12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6"/>
              </w:rPr>
              <w:t>Unearned Shares,</w:t>
            </w: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tcPr>
          <w:p>
            <w:pPr>
              <w:jc w:val="center"/>
              <w:ind w:right="37"/>
              <w:spacing w:after="0" w:line="122" w:lineRule="exact"/>
              <w:rPr>
                <w:sz w:val="20"/>
                <w:szCs w:val="20"/>
                <w:color w:val="auto"/>
              </w:rPr>
            </w:pPr>
            <w:r>
              <w:rPr>
                <w:rFonts w:ascii="Times New Roman" w:cs="Times New Roman" w:eastAsia="Times New Roman" w:hAnsi="Times New Roman"/>
                <w:sz w:val="13"/>
                <w:szCs w:val="13"/>
                <w:b w:val="1"/>
                <w:bCs w:val="1"/>
                <w:color w:val="auto"/>
                <w:w w:val="96"/>
              </w:rPr>
              <w:t>Units Or Other</w:t>
            </w:r>
          </w:p>
        </w:tc>
        <w:tc>
          <w:tcPr>
            <w:tcW w:w="0" w:type="dxa"/>
            <w:vAlign w:val="bottom"/>
          </w:tcPr>
          <w:p>
            <w:pPr>
              <w:spacing w:after="0"/>
              <w:rPr>
                <w:sz w:val="1"/>
                <w:szCs w:val="1"/>
                <w:color w:val="auto"/>
              </w:rPr>
            </w:pPr>
          </w:p>
        </w:tc>
      </w:tr>
      <w:tr>
        <w:trPr>
          <w:trHeight w:val="122"/>
        </w:trPr>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gridSpan w:val="2"/>
          </w:tcPr>
          <w:p>
            <w:pPr>
              <w:jc w:val="center"/>
              <w:ind w:right="80"/>
              <w:spacing w:after="0" w:line="122" w:lineRule="exact"/>
              <w:rPr>
                <w:sz w:val="20"/>
                <w:szCs w:val="20"/>
                <w:color w:val="auto"/>
              </w:rPr>
            </w:pPr>
            <w:r>
              <w:rPr>
                <w:rFonts w:ascii="Times New Roman" w:cs="Times New Roman" w:eastAsia="Times New Roman" w:hAnsi="Times New Roman"/>
                <w:sz w:val="13"/>
                <w:szCs w:val="13"/>
                <w:b w:val="1"/>
                <w:bCs w:val="1"/>
                <w:color w:val="auto"/>
                <w:w w:val="95"/>
              </w:rPr>
              <w:t>Options</w:t>
            </w:r>
          </w:p>
        </w:tc>
        <w:tc>
          <w:tcPr>
            <w:tcW w:w="110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5"/>
              </w:rPr>
              <w:t>Options</w:t>
            </w: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3"/>
                <w:szCs w:val="13"/>
                <w:b w:val="1"/>
                <w:bCs w:val="1"/>
                <w:color w:val="auto"/>
                <w:w w:val="97"/>
              </w:rPr>
              <w:t>Exercise</w:t>
            </w: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5"/>
              </w:rPr>
              <w:t>of Stock That</w:t>
            </w:r>
          </w:p>
        </w:tc>
        <w:tc>
          <w:tcPr>
            <w:tcW w:w="340" w:type="dxa"/>
            <w:vAlign w:val="bottom"/>
          </w:tcPr>
          <w:p>
            <w:pPr>
              <w:spacing w:after="0"/>
              <w:rPr>
                <w:sz w:val="10"/>
                <w:szCs w:val="10"/>
                <w:color w:val="auto"/>
              </w:rPr>
            </w:pPr>
          </w:p>
        </w:tc>
        <w:tc>
          <w:tcPr>
            <w:tcW w:w="1340" w:type="dxa"/>
            <w:vAlign w:val="bottom"/>
            <w:gridSpan w:val="3"/>
          </w:tcPr>
          <w:p>
            <w:pPr>
              <w:jc w:val="center"/>
              <w:ind w:right="100"/>
              <w:spacing w:after="0" w:line="122" w:lineRule="exact"/>
              <w:rPr>
                <w:sz w:val="20"/>
                <w:szCs w:val="20"/>
                <w:color w:val="auto"/>
              </w:rPr>
            </w:pPr>
            <w:r>
              <w:rPr>
                <w:rFonts w:ascii="Times New Roman" w:cs="Times New Roman" w:eastAsia="Times New Roman" w:hAnsi="Times New Roman"/>
                <w:sz w:val="13"/>
                <w:szCs w:val="13"/>
                <w:b w:val="1"/>
                <w:bCs w:val="1"/>
                <w:color w:val="auto"/>
                <w:w w:val="95"/>
              </w:rPr>
              <w:t>Stock That Have Not</w:t>
            </w:r>
          </w:p>
        </w:tc>
        <w:tc>
          <w:tcPr>
            <w:tcW w:w="12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6"/>
              </w:rPr>
              <w:t>Units, or Other Rights</w:t>
            </w:r>
          </w:p>
        </w:tc>
        <w:tc>
          <w:tcPr>
            <w:tcW w:w="360" w:type="dxa"/>
            <w:vAlign w:val="bottom"/>
          </w:tcPr>
          <w:p>
            <w:pPr>
              <w:spacing w:after="0"/>
              <w:rPr>
                <w:sz w:val="10"/>
                <w:szCs w:val="10"/>
                <w:color w:val="auto"/>
              </w:rPr>
            </w:pPr>
          </w:p>
        </w:tc>
        <w:tc>
          <w:tcPr>
            <w:tcW w:w="124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6"/>
              </w:rPr>
              <w:t>Rights That Have Not</w:t>
            </w:r>
          </w:p>
        </w:tc>
        <w:tc>
          <w:tcPr>
            <w:tcW w:w="0" w:type="dxa"/>
            <w:vAlign w:val="bottom"/>
          </w:tcPr>
          <w:p>
            <w:pPr>
              <w:spacing w:after="0"/>
              <w:rPr>
                <w:sz w:val="1"/>
                <w:szCs w:val="1"/>
                <w:color w:val="auto"/>
              </w:rPr>
            </w:pPr>
          </w:p>
        </w:tc>
      </w:tr>
      <w:tr>
        <w:trPr>
          <w:trHeight w:val="135"/>
        </w:trPr>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Name</w:t>
            </w:r>
          </w:p>
        </w:tc>
        <w:tc>
          <w:tcPr>
            <w:tcW w:w="118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Exercisable</w:t>
            </w:r>
          </w:p>
        </w:tc>
        <w:tc>
          <w:tcPr>
            <w:tcW w:w="11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Unexercisable</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Price</w:t>
            </w:r>
          </w:p>
        </w:tc>
        <w:tc>
          <w:tcPr>
            <w:tcW w:w="106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Option</w:t>
            </w:r>
          </w:p>
        </w:tc>
        <w:tc>
          <w:tcPr>
            <w:tcW w:w="9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Have Not Vested</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Vested</w:t>
            </w:r>
          </w:p>
        </w:tc>
        <w:tc>
          <w:tcPr>
            <w:tcW w:w="12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That Have Not Vested</w:t>
            </w: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0"/>
              </w:rPr>
              <w:t>Vested</w:t>
            </w:r>
          </w:p>
        </w:tc>
        <w:tc>
          <w:tcPr>
            <w:tcW w:w="0" w:type="dxa"/>
            <w:vAlign w:val="bottom"/>
          </w:tcPr>
          <w:p>
            <w:pPr>
              <w:spacing w:after="0"/>
              <w:rPr>
                <w:sz w:val="1"/>
                <w:szCs w:val="1"/>
                <w:color w:val="auto"/>
              </w:rPr>
            </w:pPr>
          </w:p>
        </w:tc>
      </w:tr>
      <w:tr>
        <w:trPr>
          <w:trHeight w:val="169"/>
        </w:trPr>
        <w:tc>
          <w:tcPr>
            <w:tcW w:w="1200" w:type="dxa"/>
            <w:vAlign w:val="bottom"/>
            <w:gridSpan w:val="2"/>
            <w:vMerge w:val="continue"/>
          </w:tcPr>
          <w:p>
            <w:pPr>
              <w:spacing w:after="0"/>
              <w:rPr>
                <w:sz w:val="14"/>
                <w:szCs w:val="1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10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100" w:type="dxa"/>
            <w:vAlign w:val="bottom"/>
          </w:tcPr>
          <w:p>
            <w:pPr>
              <w:spacing w:after="0"/>
              <w:rPr>
                <w:sz w:val="14"/>
                <w:szCs w:val="14"/>
                <w:color w:val="auto"/>
              </w:rPr>
            </w:pP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Expiration Date</w:t>
            </w:r>
          </w:p>
        </w:tc>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0" w:type="dxa"/>
            <w:vAlign w:val="bottom"/>
          </w:tcPr>
          <w:p>
            <w:pPr>
              <w:spacing w:after="0"/>
              <w:rPr>
                <w:sz w:val="1"/>
                <w:szCs w:val="1"/>
                <w:color w:val="auto"/>
              </w:rPr>
            </w:pPr>
          </w:p>
        </w:tc>
      </w:tr>
      <w:tr>
        <w:trPr>
          <w:trHeight w:val="170"/>
        </w:trPr>
        <w:tc>
          <w:tcPr>
            <w:tcW w:w="11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2,151</w:t>
            </w:r>
          </w:p>
        </w:tc>
        <w:tc>
          <w:tcPr>
            <w:tcW w:w="36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w w:val="92"/>
              </w:rPr>
              <w:t>(5)</w:t>
            </w:r>
          </w:p>
        </w:tc>
        <w:tc>
          <w:tcPr>
            <w:tcW w:w="8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151,796</w:t>
            </w:r>
          </w:p>
        </w:tc>
        <w:tc>
          <w:tcPr>
            <w:tcW w:w="0" w:type="dxa"/>
            <w:vAlign w:val="bottom"/>
          </w:tcPr>
          <w:p>
            <w:pPr>
              <w:spacing w:after="0"/>
              <w:rPr>
                <w:sz w:val="1"/>
                <w:szCs w:val="1"/>
                <w:color w:val="auto"/>
              </w:rPr>
            </w:pPr>
          </w:p>
        </w:tc>
      </w:tr>
      <w:tr>
        <w:trPr>
          <w:trHeight w:val="181"/>
        </w:trPr>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3,334</w:t>
            </w:r>
          </w:p>
        </w:tc>
        <w:tc>
          <w:tcPr>
            <w:tcW w:w="36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2"/>
              </w:rPr>
              <w:t>(6)</w:t>
            </w: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235,280</w:t>
            </w:r>
          </w:p>
        </w:tc>
        <w:tc>
          <w:tcPr>
            <w:tcW w:w="0" w:type="dxa"/>
            <w:vAlign w:val="bottom"/>
          </w:tcPr>
          <w:p>
            <w:pPr>
              <w:spacing w:after="0"/>
              <w:rPr>
                <w:sz w:val="1"/>
                <w:szCs w:val="1"/>
                <w:color w:val="auto"/>
              </w:rPr>
            </w:pPr>
          </w:p>
        </w:tc>
      </w:tr>
      <w:tr>
        <w:trPr>
          <w:trHeight w:val="256"/>
        </w:trPr>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1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A.T. Gorman</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6,469</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49.79</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9/16/2031</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4,040</w:t>
            </w: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2,019</w:t>
            </w:r>
          </w:p>
        </w:tc>
        <w:tc>
          <w:tcPr>
            <w:tcW w:w="34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w w:val="92"/>
              </w:rPr>
              <w:t>(7)</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43.50</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9/19/2032</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580</w:t>
            </w:r>
          </w:p>
        </w:tc>
        <w:tc>
          <w:tcPr>
            <w:tcW w:w="34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w w:val="92"/>
              </w:rPr>
              <w:t>(8)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40,931</w:t>
            </w: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1,916</w:t>
            </w:r>
          </w:p>
        </w:tc>
        <w:tc>
          <w:tcPr>
            <w:tcW w:w="34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w w:val="92"/>
              </w:rPr>
              <w:t>(1)</w:t>
            </w:r>
          </w:p>
        </w:tc>
        <w:tc>
          <w:tcPr>
            <w:tcW w:w="1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135,212</w:t>
            </w: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2,345</w:t>
            </w:r>
          </w:p>
        </w:tc>
        <w:tc>
          <w:tcPr>
            <w:tcW w:w="34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w w:val="92"/>
              </w:rPr>
              <w:t>(2)</w:t>
            </w: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165,487</w:t>
            </w: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1,039</w:t>
            </w:r>
          </w:p>
        </w:tc>
        <w:tc>
          <w:tcPr>
            <w:tcW w:w="36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w w:val="92"/>
              </w:rPr>
              <w:t>(3)</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73,322</w:t>
            </w:r>
          </w:p>
        </w:tc>
        <w:tc>
          <w:tcPr>
            <w:tcW w:w="0" w:type="dxa"/>
            <w:vAlign w:val="bottom"/>
          </w:tcPr>
          <w:p>
            <w:pPr>
              <w:spacing w:after="0"/>
              <w:rPr>
                <w:sz w:val="1"/>
                <w:szCs w:val="1"/>
                <w:color w:val="auto"/>
              </w:rPr>
            </w:pPr>
          </w:p>
        </w:tc>
      </w:tr>
      <w:tr>
        <w:trPr>
          <w:trHeight w:val="181"/>
        </w:trPr>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1,039</w:t>
            </w:r>
          </w:p>
        </w:tc>
        <w:tc>
          <w:tcPr>
            <w:tcW w:w="36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2"/>
              </w:rPr>
              <w:t>(4)</w:t>
            </w: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73,322</w:t>
            </w:r>
          </w:p>
        </w:tc>
        <w:tc>
          <w:tcPr>
            <w:tcW w:w="0" w:type="dxa"/>
            <w:vAlign w:val="bottom"/>
          </w:tcPr>
          <w:p>
            <w:pPr>
              <w:spacing w:after="0"/>
              <w:rPr>
                <w:sz w:val="1"/>
                <w:szCs w:val="1"/>
                <w:color w:val="auto"/>
              </w:rPr>
            </w:pPr>
          </w:p>
        </w:tc>
      </w:tr>
      <w:tr>
        <w:trPr>
          <w:trHeight w:val="170"/>
        </w:trPr>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3,079</w:t>
            </w:r>
          </w:p>
        </w:tc>
        <w:tc>
          <w:tcPr>
            <w:tcW w:w="36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w w:val="92"/>
              </w:rPr>
              <w:t>(5)</w:t>
            </w:r>
          </w:p>
        </w:tc>
        <w:tc>
          <w:tcPr>
            <w:tcW w:w="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217,285</w:t>
            </w:r>
          </w:p>
        </w:tc>
        <w:tc>
          <w:tcPr>
            <w:tcW w:w="0" w:type="dxa"/>
            <w:vAlign w:val="bottom"/>
          </w:tcPr>
          <w:p>
            <w:pPr>
              <w:spacing w:after="0"/>
              <w:rPr>
                <w:sz w:val="1"/>
                <w:szCs w:val="1"/>
                <w:color w:val="auto"/>
              </w:rPr>
            </w:pPr>
          </w:p>
        </w:tc>
      </w:tr>
      <w:tr>
        <w:trPr>
          <w:trHeight w:val="181"/>
        </w:trPr>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2,457</w:t>
            </w:r>
          </w:p>
        </w:tc>
        <w:tc>
          <w:tcPr>
            <w:tcW w:w="36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2"/>
              </w:rPr>
              <w:t>(6)</w:t>
            </w: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173,390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ind w:left="660" w:hanging="409"/>
        <w:spacing w:after="0" w:line="261" w:lineRule="auto"/>
        <w:tabs>
          <w:tab w:leader="none" w:pos="65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award represents RSUs awarded on October 2, 2023 as part of the annual fiscal 2024 equity grant. One-half of the units vest on October 2, 2025 and one-half of the units vest on October 2, 2026.</w:t>
      </w:r>
    </w:p>
    <w:p>
      <w:pPr>
        <w:ind w:left="660" w:hanging="409"/>
        <w:spacing w:after="0" w:line="250" w:lineRule="auto"/>
        <w:tabs>
          <w:tab w:leader="none" w:pos="65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award represents RSUs awarded on October 2, 2024 as part of the annual fiscal 2025 equity grant. One third of the units vest on October 2, 2025, one-third of the units vest on October 2, 2026 and one-third of the units vest on October 2, 2027.</w:t>
      </w:r>
    </w:p>
    <w:p>
      <w:pPr>
        <w:jc w:val="both"/>
        <w:ind w:left="660" w:hanging="409"/>
        <w:spacing w:after="0" w:line="250" w:lineRule="auto"/>
        <w:tabs>
          <w:tab w:leader="none" w:pos="65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award represents PRSUs awarded on August 1, 2022, as part of the annual fiscal 2023 equity grant. These PRSUs have a three-year performance period with the number of shares issued at vesting determined relative to the Company's revenue performance measured with respect to organic revenue growth over four equally-weighted performance periods. Payout opportunities will range from 0% to 200% of the target award. The amounts listed above are based on the target value of each award (100%).</w:t>
      </w:r>
    </w:p>
    <w:p>
      <w:pPr>
        <w:spacing w:after="0" w:line="1" w:lineRule="exact"/>
        <w:rPr>
          <w:rFonts w:ascii="Times New Roman" w:cs="Times New Roman" w:eastAsia="Times New Roman" w:hAnsi="Times New Roman"/>
          <w:sz w:val="18"/>
          <w:szCs w:val="18"/>
          <w:color w:val="auto"/>
        </w:rPr>
      </w:pPr>
    </w:p>
    <w:p>
      <w:pPr>
        <w:jc w:val="both"/>
        <w:ind w:left="660" w:hanging="409"/>
        <w:spacing w:after="0" w:line="250" w:lineRule="auto"/>
        <w:tabs>
          <w:tab w:leader="none" w:pos="65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award represents PRSUs awarded on August 1, 2022, as part of the annual fiscal 2023 equity grant. These PRSUs have a three-year performance period with the number of shares issued at vesting determined by the Company's TSR relative to the S&amp;P 600 SmallCap Industrials Index. Payout opportunities will range from 0% to 200% of the target award. The amounts listed above are based on the target value of each award (100%).</w:t>
      </w:r>
    </w:p>
    <w:p>
      <w:pPr>
        <w:spacing w:after="0" w:line="1" w:lineRule="exact"/>
        <w:rPr>
          <w:rFonts w:ascii="Times New Roman" w:cs="Times New Roman" w:eastAsia="Times New Roman" w:hAnsi="Times New Roman"/>
          <w:sz w:val="18"/>
          <w:szCs w:val="18"/>
          <w:color w:val="auto"/>
        </w:rPr>
      </w:pPr>
    </w:p>
    <w:p>
      <w:pPr>
        <w:jc w:val="both"/>
        <w:ind w:left="660" w:hanging="409"/>
        <w:spacing w:after="0" w:line="250" w:lineRule="auto"/>
        <w:tabs>
          <w:tab w:leader="none" w:pos="65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award represents PRSUs awarded on August 1, 2023, as part of the annual fiscal 2024 equity grant. These PRSUs have a three-year performance period with the number of shares issued at vesting determined by the Company's achievement of revenue and diluted EPS growth goals over the three-year performance period. Payout opportunities will range from 0% to 200% of the target award. The amounts listed above are based on the target value of each award (100%).</w:t>
      </w:r>
    </w:p>
    <w:p>
      <w:pPr>
        <w:spacing w:after="0" w:line="1" w:lineRule="exact"/>
        <w:rPr>
          <w:rFonts w:ascii="Times New Roman" w:cs="Times New Roman" w:eastAsia="Times New Roman" w:hAnsi="Times New Roman"/>
          <w:sz w:val="18"/>
          <w:szCs w:val="18"/>
          <w:color w:val="auto"/>
        </w:rPr>
      </w:pPr>
    </w:p>
    <w:p>
      <w:pPr>
        <w:jc w:val="both"/>
        <w:ind w:left="660" w:hanging="409"/>
        <w:spacing w:after="0" w:line="250" w:lineRule="auto"/>
        <w:tabs>
          <w:tab w:leader="none" w:pos="65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award represents PRSUs awarded on August 1, 2024, as part of the annual fiscal 2025 equity grant. These PRSUs have a three-year performance period with the number of shares issued at vesting determined by the Company's achievement of revenue and diluted EPS growth goals over the three-year performance period. Payout opportunities will range from 0% to 200% of the target award. The amounts listed above are based on the target value of each award (100%).</w:t>
      </w:r>
    </w:p>
    <w:p>
      <w:pPr>
        <w:spacing w:after="0" w:line="1" w:lineRule="exact"/>
        <w:rPr>
          <w:rFonts w:ascii="Times New Roman" w:cs="Times New Roman" w:eastAsia="Times New Roman" w:hAnsi="Times New Roman"/>
          <w:sz w:val="18"/>
          <w:szCs w:val="18"/>
          <w:color w:val="auto"/>
        </w:rPr>
      </w:pPr>
    </w:p>
    <w:p>
      <w:pPr>
        <w:ind w:left="640" w:hanging="389"/>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options vest on September 19, 2025.</w:t>
      </w:r>
    </w:p>
    <w:p>
      <w:pPr>
        <w:spacing w:after="0" w:line="9" w:lineRule="exact"/>
        <w:rPr>
          <w:rFonts w:ascii="Times New Roman" w:cs="Times New Roman" w:eastAsia="Times New Roman" w:hAnsi="Times New Roman"/>
          <w:sz w:val="18"/>
          <w:szCs w:val="18"/>
          <w:color w:val="auto"/>
        </w:rPr>
      </w:pPr>
    </w:p>
    <w:p>
      <w:pPr>
        <w:ind w:left="660" w:right="20" w:hanging="409"/>
        <w:spacing w:after="0" w:line="250" w:lineRule="auto"/>
        <w:tabs>
          <w:tab w:leader="none" w:pos="65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award represents RSUs awarded on September 19, 2022 as part of the annual fiscal 2023 equity grant. The remaining units vest on September 19, 2025.</w:t>
      </w:r>
    </w:p>
    <w:p>
      <w:pPr>
        <w:ind w:left="660" w:right="20" w:hanging="409"/>
        <w:spacing w:after="0" w:line="260" w:lineRule="auto"/>
        <w:tabs>
          <w:tab w:leader="none" w:pos="65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August 25, 2022, Mr. Bojarski was awarded 12,263 RSUs as part of his appointment as President - Identification Solutions. The remaining units vest on August 25,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Option Exercises and Stock Vested for Fiscal 2025</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option exercises and the vesting of restricted stock during fiscal 2025 to the NEOs.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60" w:type="dxa"/>
            <w:vAlign w:val="bottom"/>
            <w:gridSpan w:val="3"/>
          </w:tcPr>
          <w:p>
            <w:pPr>
              <w:ind w:left="130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60" w:type="dxa"/>
            <w:vAlign w:val="bottom"/>
            <w:gridSpan w:val="3"/>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Borders>
              <w:bottom w:val="single" w:sz="8" w:color="auto"/>
            </w:tcBorders>
            <w:gridSpan w:val="2"/>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2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Number of Shares</w:t>
            </w:r>
          </w:p>
        </w:tc>
        <w:tc>
          <w:tcPr>
            <w:tcW w:w="18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Value Realized on Exercise</w:t>
            </w:r>
          </w:p>
        </w:tc>
        <w:tc>
          <w:tcPr>
            <w:tcW w:w="1840" w:type="dxa"/>
            <w:vAlign w:val="bottom"/>
            <w:gridSpan w:val="2"/>
          </w:tcPr>
          <w:p>
            <w:pPr>
              <w:jc w:val="center"/>
              <w:ind w:right="80"/>
              <w:spacing w:after="0" w:line="131" w:lineRule="exact"/>
              <w:rPr>
                <w:sz w:val="20"/>
                <w:szCs w:val="20"/>
                <w:color w:val="auto"/>
              </w:rPr>
            </w:pPr>
            <w:r>
              <w:rPr>
                <w:rFonts w:ascii="Times New Roman" w:cs="Times New Roman" w:eastAsia="Times New Roman" w:hAnsi="Times New Roman"/>
                <w:sz w:val="14"/>
                <w:szCs w:val="14"/>
                <w:b w:val="1"/>
                <w:bCs w:val="1"/>
                <w:color w:val="auto"/>
              </w:rPr>
              <w:t>Number of Shares</w:t>
            </w:r>
          </w:p>
        </w:tc>
        <w:tc>
          <w:tcPr>
            <w:tcW w:w="1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Value Realized on Vesting</w:t>
            </w:r>
          </w:p>
        </w:tc>
        <w:tc>
          <w:tcPr>
            <w:tcW w:w="0" w:type="dxa"/>
            <w:vAlign w:val="bottom"/>
          </w:tcPr>
          <w:p>
            <w:pPr>
              <w:spacing w:after="0"/>
              <w:rPr>
                <w:sz w:val="1"/>
                <w:szCs w:val="1"/>
                <w:color w:val="auto"/>
              </w:rPr>
            </w:pPr>
          </w:p>
        </w:tc>
      </w:tr>
      <w:tr>
        <w:trPr>
          <w:trHeight w:val="146"/>
        </w:trPr>
        <w:tc>
          <w:tcPr>
            <w:tcW w:w="4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82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Acquired on Exercise</w:t>
            </w:r>
          </w:p>
        </w:tc>
        <w:tc>
          <w:tcPr>
            <w:tcW w:w="1820" w:type="dxa"/>
            <w:vAlign w:val="bottom"/>
            <w:gridSpan w:val="3"/>
            <w:vMerge w:val="continue"/>
          </w:tcPr>
          <w:p>
            <w:pPr>
              <w:spacing w:after="0"/>
              <w:rPr>
                <w:sz w:val="12"/>
                <w:szCs w:val="12"/>
                <w:color w:val="auto"/>
              </w:rPr>
            </w:pPr>
          </w:p>
        </w:tc>
        <w:tc>
          <w:tcPr>
            <w:tcW w:w="184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Acquired on Vesting</w:t>
            </w:r>
          </w:p>
        </w:tc>
        <w:tc>
          <w:tcPr>
            <w:tcW w:w="1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4040" w:type="dxa"/>
            <w:vAlign w:val="bottom"/>
            <w:gridSpan w:val="2"/>
            <w:vMerge w:val="continue"/>
          </w:tcPr>
          <w:p>
            <w:pPr>
              <w:spacing w:after="0"/>
              <w:rPr>
                <w:sz w:val="17"/>
                <w:szCs w:val="17"/>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8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 (1)</w:t>
            </w:r>
          </w:p>
        </w:tc>
        <w:tc>
          <w:tcPr>
            <w:tcW w:w="100" w:type="dxa"/>
            <w:vAlign w:val="bottom"/>
          </w:tcPr>
          <w:p>
            <w:pPr>
              <w:spacing w:after="0"/>
              <w:rPr>
                <w:sz w:val="17"/>
                <w:szCs w:val="17"/>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0" w:type="dxa"/>
            <w:vAlign w:val="bottom"/>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 (2)</w:t>
            </w:r>
          </w:p>
        </w:tc>
        <w:tc>
          <w:tcPr>
            <w:tcW w:w="0" w:type="dxa"/>
            <w:vAlign w:val="bottom"/>
          </w:tcPr>
          <w:p>
            <w:pPr>
              <w:spacing w:after="0"/>
              <w:rPr>
                <w:sz w:val="1"/>
                <w:szCs w:val="1"/>
                <w:color w:val="auto"/>
              </w:rPr>
            </w:pPr>
          </w:p>
        </w:tc>
      </w:tr>
      <w:tr>
        <w:trPr>
          <w:trHeight w:val="228"/>
        </w:trPr>
        <w:tc>
          <w:tcPr>
            <w:tcW w:w="3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R.R. Shaller</w:t>
            </w:r>
          </w:p>
        </w:tc>
        <w:tc>
          <w:tcPr>
            <w:tcW w:w="12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21,128</w:t>
            </w: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848,505</w:t>
            </w:r>
          </w:p>
        </w:tc>
        <w:tc>
          <w:tcPr>
            <w:tcW w:w="10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24,789</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1,816,891</w:t>
            </w:r>
          </w:p>
        </w:tc>
        <w:tc>
          <w:tcPr>
            <w:tcW w:w="0" w:type="dxa"/>
            <w:vAlign w:val="bottom"/>
          </w:tcPr>
          <w:p>
            <w:pPr>
              <w:spacing w:after="0"/>
              <w:rPr>
                <w:sz w:val="1"/>
                <w:szCs w:val="1"/>
                <w:color w:val="auto"/>
              </w:rPr>
            </w:pPr>
          </w:p>
        </w:tc>
      </w:tr>
      <w:tr>
        <w:trPr>
          <w:trHeight w:val="230"/>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A.E. Thornton</w:t>
            </w:r>
          </w:p>
        </w:tc>
        <w:tc>
          <w:tcPr>
            <w:tcW w:w="1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201,752</w:t>
            </w:r>
          </w:p>
        </w:tc>
        <w:tc>
          <w:tcPr>
            <w:tcW w:w="0" w:type="dxa"/>
            <w:vAlign w:val="bottom"/>
          </w:tcPr>
          <w:p>
            <w:pPr>
              <w:spacing w:after="0"/>
              <w:rPr>
                <w:sz w:val="1"/>
                <w:szCs w:val="1"/>
                <w:color w:val="auto"/>
              </w:rPr>
            </w:pPr>
          </w:p>
        </w:tc>
      </w:tr>
      <w:tr>
        <w:trPr>
          <w:trHeight w:val="229"/>
        </w:trPr>
        <w:tc>
          <w:tcPr>
            <w:tcW w:w="4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 Bojarski</w:t>
            </w:r>
          </w:p>
        </w:tc>
        <w:tc>
          <w:tcPr>
            <w:tcW w:w="1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452,878</w:t>
            </w:r>
          </w:p>
        </w:tc>
        <w:tc>
          <w:tcPr>
            <w:tcW w:w="0" w:type="dxa"/>
            <w:vAlign w:val="bottom"/>
          </w:tcPr>
          <w:p>
            <w:pPr>
              <w:spacing w:after="0"/>
              <w:rPr>
                <w:sz w:val="1"/>
                <w:szCs w:val="1"/>
                <w:color w:val="auto"/>
              </w:rPr>
            </w:pPr>
          </w:p>
        </w:tc>
      </w:tr>
      <w:tr>
        <w:trPr>
          <w:trHeight w:val="230"/>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T.F. DeBruine</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2,851</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84,676</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145,691</w:t>
            </w:r>
          </w:p>
        </w:tc>
        <w:tc>
          <w:tcPr>
            <w:tcW w:w="0" w:type="dxa"/>
            <w:vAlign w:val="bottom"/>
          </w:tcPr>
          <w:p>
            <w:pPr>
              <w:spacing w:after="0"/>
              <w:rPr>
                <w:sz w:val="1"/>
                <w:szCs w:val="1"/>
                <w:color w:val="auto"/>
              </w:rPr>
            </w:pPr>
          </w:p>
        </w:tc>
      </w:tr>
      <w:tr>
        <w:trPr>
          <w:trHeight w:val="229"/>
        </w:trPr>
        <w:tc>
          <w:tcPr>
            <w:tcW w:w="4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A.T. Gorman</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298,596</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272,789</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660" w:hanging="328"/>
        <w:spacing w:after="0" w:line="261" w:lineRule="auto"/>
        <w:tabs>
          <w:tab w:leader="none" w:pos="65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realized on exercise of stock options reflects the difference between the option exercise price and the market price at exercise multiplied by the number of shares.</w:t>
      </w:r>
    </w:p>
    <w:p>
      <w:pPr>
        <w:ind w:left="660" w:hanging="328"/>
        <w:spacing w:after="0" w:line="260" w:lineRule="auto"/>
        <w:tabs>
          <w:tab w:leader="none" w:pos="65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realized on vesting of stock awards reflects the number of shares vested multiplied by the market price (average of the high and low of the stock price) of the stock on the vest date.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Pension Benefits for Fiscal 2025</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 of the NEOs participated in a defined benefit pension plan during fiscal 2025.</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Non-Qualified Deferred Compensation for Fiscal 2025</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activity within the Executive Deferred Compensation Plan and the Brady Restoration Plan during fiscal 2025 for the NEOs.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Executive</w:t>
            </w:r>
          </w:p>
        </w:tc>
        <w:tc>
          <w:tcPr>
            <w:tcW w:w="140" w:type="dxa"/>
            <w:vAlign w:val="bottom"/>
          </w:tcPr>
          <w:p>
            <w:pPr>
              <w:spacing w:after="0"/>
              <w:rPr>
                <w:sz w:val="13"/>
                <w:szCs w:val="13"/>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5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Aggregate Earnings</w:t>
            </w:r>
          </w:p>
        </w:tc>
        <w:tc>
          <w:tcPr>
            <w:tcW w:w="320" w:type="dxa"/>
            <w:vAlign w:val="bottom"/>
          </w:tcPr>
          <w:p>
            <w:pPr>
              <w:spacing w:after="0"/>
              <w:rPr>
                <w:sz w:val="13"/>
                <w:szCs w:val="13"/>
                <w:color w:val="auto"/>
              </w:rPr>
            </w:pPr>
          </w:p>
        </w:tc>
        <w:tc>
          <w:tcPr>
            <w:tcW w:w="152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4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 Balance at</w:t>
            </w:r>
          </w:p>
        </w:tc>
        <w:tc>
          <w:tcPr>
            <w:tcW w:w="0" w:type="dxa"/>
            <w:vAlign w:val="bottom"/>
          </w:tcPr>
          <w:p>
            <w:pPr>
              <w:spacing w:after="0"/>
              <w:rPr>
                <w:sz w:val="1"/>
                <w:szCs w:val="1"/>
                <w:color w:val="auto"/>
              </w:rPr>
            </w:pPr>
          </w:p>
        </w:tc>
      </w:tr>
      <w:tr>
        <w:trPr>
          <w:trHeight w:val="149"/>
        </w:trPr>
        <w:tc>
          <w:tcPr>
            <w:tcW w:w="3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Contributions in</w:t>
            </w:r>
          </w:p>
        </w:tc>
        <w:tc>
          <w:tcPr>
            <w:tcW w:w="140" w:type="dxa"/>
            <w:vAlign w:val="bottom"/>
          </w:tcPr>
          <w:p>
            <w:pPr>
              <w:spacing w:after="0"/>
              <w:rPr>
                <w:sz w:val="12"/>
                <w:szCs w:val="12"/>
                <w:color w:val="auto"/>
              </w:rPr>
            </w:pPr>
          </w:p>
        </w:tc>
        <w:tc>
          <w:tcPr>
            <w:tcW w:w="13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Contributions in</w:t>
            </w:r>
          </w:p>
        </w:tc>
        <w:tc>
          <w:tcPr>
            <w:tcW w:w="152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3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0" w:type="dxa"/>
            <w:vAlign w:val="bottom"/>
          </w:tcPr>
          <w:p>
            <w:pPr>
              <w:spacing w:after="0"/>
              <w:rPr>
                <w:sz w:val="11"/>
                <w:szCs w:val="11"/>
                <w:color w:val="auto"/>
              </w:rPr>
            </w:pPr>
          </w:p>
        </w:tc>
        <w:tc>
          <w:tcPr>
            <w:tcW w:w="1360" w:type="dxa"/>
            <w:vAlign w:val="bottom"/>
            <w:gridSpan w:val="2"/>
          </w:tcPr>
          <w:p>
            <w:pPr>
              <w:jc w:val="center"/>
              <w:ind w:right="280"/>
              <w:spacing w:after="0" w:line="137" w:lineRule="exact"/>
              <w:rPr>
                <w:sz w:val="20"/>
                <w:szCs w:val="20"/>
                <w:color w:val="auto"/>
              </w:rPr>
            </w:pPr>
            <w:r>
              <w:rPr>
                <w:rFonts w:ascii="Times New Roman" w:cs="Times New Roman" w:eastAsia="Times New Roman" w:hAnsi="Times New Roman"/>
                <w:sz w:val="14"/>
                <w:szCs w:val="14"/>
                <w:b w:val="1"/>
                <w:bCs w:val="1"/>
                <w:color w:val="auto"/>
              </w:rPr>
              <w:t>Fiscal 2025</w:t>
            </w:r>
          </w:p>
        </w:tc>
        <w:tc>
          <w:tcPr>
            <w:tcW w:w="140" w:type="dxa"/>
            <w:vAlign w:val="bottom"/>
          </w:tcPr>
          <w:p>
            <w:pPr>
              <w:spacing w:after="0"/>
              <w:rPr>
                <w:sz w:val="11"/>
                <w:szCs w:val="11"/>
                <w:color w:val="auto"/>
              </w:rPr>
            </w:pPr>
          </w:p>
        </w:tc>
        <w:tc>
          <w:tcPr>
            <w:tcW w:w="1380" w:type="dxa"/>
            <w:vAlign w:val="bottom"/>
            <w:gridSpan w:val="2"/>
          </w:tcPr>
          <w:p>
            <w:pPr>
              <w:jc w:val="center"/>
              <w:ind w:right="260"/>
              <w:spacing w:after="0" w:line="137" w:lineRule="exact"/>
              <w:rPr>
                <w:sz w:val="20"/>
                <w:szCs w:val="20"/>
                <w:color w:val="auto"/>
              </w:rPr>
            </w:pPr>
            <w:r>
              <w:rPr>
                <w:rFonts w:ascii="Times New Roman" w:cs="Times New Roman" w:eastAsia="Times New Roman" w:hAnsi="Times New Roman"/>
                <w:sz w:val="14"/>
                <w:szCs w:val="14"/>
                <w:b w:val="1"/>
                <w:bCs w:val="1"/>
                <w:color w:val="auto"/>
              </w:rPr>
              <w:t>Fiscal 2025</w:t>
            </w:r>
          </w:p>
        </w:tc>
        <w:tc>
          <w:tcPr>
            <w:tcW w:w="200" w:type="dxa"/>
            <w:vAlign w:val="bottom"/>
          </w:tcPr>
          <w:p>
            <w:pPr>
              <w:spacing w:after="0"/>
              <w:rPr>
                <w:sz w:val="11"/>
                <w:szCs w:val="11"/>
                <w:color w:val="auto"/>
              </w:rPr>
            </w:pPr>
          </w:p>
        </w:tc>
        <w:tc>
          <w:tcPr>
            <w:tcW w:w="1320" w:type="dxa"/>
            <w:vAlign w:val="bottom"/>
            <w:gridSpan w:val="2"/>
          </w:tcPr>
          <w:p>
            <w:pPr>
              <w:jc w:val="center"/>
              <w:ind w:right="320"/>
              <w:spacing w:after="0" w:line="137" w:lineRule="exact"/>
              <w:rPr>
                <w:sz w:val="20"/>
                <w:szCs w:val="20"/>
                <w:color w:val="auto"/>
              </w:rPr>
            </w:pPr>
            <w:r>
              <w:rPr>
                <w:rFonts w:ascii="Times New Roman" w:cs="Times New Roman" w:eastAsia="Times New Roman" w:hAnsi="Times New Roman"/>
                <w:sz w:val="14"/>
                <w:szCs w:val="14"/>
                <w:b w:val="1"/>
                <w:bCs w:val="1"/>
                <w:color w:val="auto"/>
              </w:rPr>
              <w:t>in Fiscal 2025</w:t>
            </w:r>
          </w:p>
        </w:tc>
        <w:tc>
          <w:tcPr>
            <w:tcW w:w="1840" w:type="dxa"/>
            <w:vAlign w:val="bottom"/>
            <w:gridSpan w:val="3"/>
          </w:tcPr>
          <w:p>
            <w:pPr>
              <w:jc w:val="center"/>
              <w:ind w:right="160"/>
              <w:spacing w:after="0" w:line="137" w:lineRule="exact"/>
              <w:rPr>
                <w:sz w:val="20"/>
                <w:szCs w:val="20"/>
                <w:color w:val="auto"/>
              </w:rPr>
            </w:pPr>
            <w:r>
              <w:rPr>
                <w:rFonts w:ascii="Times New Roman" w:cs="Times New Roman" w:eastAsia="Times New Roman" w:hAnsi="Times New Roman"/>
                <w:sz w:val="14"/>
                <w:szCs w:val="14"/>
                <w:b w:val="1"/>
                <w:bCs w:val="1"/>
                <w:color w:val="auto"/>
              </w:rPr>
              <w:t>Withdrawals/Distributions</w:t>
            </w:r>
          </w:p>
        </w:tc>
        <w:tc>
          <w:tcPr>
            <w:tcW w:w="220" w:type="dxa"/>
            <w:vAlign w:val="bottom"/>
          </w:tcPr>
          <w:p>
            <w:pPr>
              <w:spacing w:after="0"/>
              <w:rPr>
                <w:sz w:val="11"/>
                <w:szCs w:val="11"/>
                <w:color w:val="auto"/>
              </w:rPr>
            </w:pPr>
          </w:p>
        </w:tc>
        <w:tc>
          <w:tcPr>
            <w:tcW w:w="1200" w:type="dxa"/>
            <w:vAlign w:val="bottom"/>
          </w:tcPr>
          <w:p>
            <w:pPr>
              <w:jc w:val="center"/>
              <w:ind w:right="135"/>
              <w:spacing w:after="0" w:line="137" w:lineRule="exact"/>
              <w:rPr>
                <w:sz w:val="20"/>
                <w:szCs w:val="20"/>
                <w:color w:val="auto"/>
              </w:rPr>
            </w:pPr>
            <w:r>
              <w:rPr>
                <w:rFonts w:ascii="Times New Roman" w:cs="Times New Roman" w:eastAsia="Times New Roman" w:hAnsi="Times New Roman"/>
                <w:sz w:val="14"/>
                <w:szCs w:val="14"/>
                <w:b w:val="1"/>
                <w:bCs w:val="1"/>
                <w:color w:val="auto"/>
              </w:rPr>
              <w:t>July 31, 2025</w:t>
            </w:r>
          </w:p>
        </w:tc>
        <w:tc>
          <w:tcPr>
            <w:tcW w:w="0" w:type="dxa"/>
            <w:vAlign w:val="bottom"/>
          </w:tcPr>
          <w:p>
            <w:pPr>
              <w:spacing w:after="0"/>
              <w:rPr>
                <w:sz w:val="1"/>
                <w:szCs w:val="1"/>
                <w:color w:val="auto"/>
              </w:rPr>
            </w:pPr>
          </w:p>
        </w:tc>
      </w:tr>
      <w:tr>
        <w:trPr>
          <w:trHeight w:val="190"/>
        </w:trPr>
        <w:tc>
          <w:tcPr>
            <w:tcW w:w="34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jc w:val="center"/>
              <w:ind w:right="235"/>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3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R.R. Shaller</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83,409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160,273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435,946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3,396,864</w:t>
            </w:r>
          </w:p>
        </w:tc>
        <w:tc>
          <w:tcPr>
            <w:tcW w:w="0" w:type="dxa"/>
            <w:vAlign w:val="bottom"/>
          </w:tcPr>
          <w:p>
            <w:pPr>
              <w:spacing w:after="0"/>
              <w:rPr>
                <w:sz w:val="1"/>
                <w:szCs w:val="1"/>
                <w:color w:val="auto"/>
              </w:rPr>
            </w:pPr>
          </w:p>
        </w:tc>
      </w:tr>
      <w:tr>
        <w:trPr>
          <w:trHeight w:val="230"/>
        </w:trPr>
        <w:tc>
          <w:tcPr>
            <w:tcW w:w="3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A.E. Thornton</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23,058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46,116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21,620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2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206,893</w:t>
            </w:r>
          </w:p>
        </w:tc>
        <w:tc>
          <w:tcPr>
            <w:tcW w:w="0" w:type="dxa"/>
            <w:vAlign w:val="bottom"/>
          </w:tcPr>
          <w:p>
            <w:pPr>
              <w:spacing w:after="0"/>
              <w:rPr>
                <w:sz w:val="1"/>
                <w:szCs w:val="1"/>
                <w:color w:val="auto"/>
              </w:rPr>
            </w:pPr>
          </w:p>
        </w:tc>
      </w:tr>
      <w:tr>
        <w:trPr>
          <w:trHeight w:val="230"/>
        </w:trPr>
        <w:tc>
          <w:tcPr>
            <w:tcW w:w="3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 Bojarski</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320,828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46,144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49,902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850,428</w:t>
            </w:r>
          </w:p>
        </w:tc>
        <w:tc>
          <w:tcPr>
            <w:tcW w:w="0" w:type="dxa"/>
            <w:vAlign w:val="bottom"/>
          </w:tcPr>
          <w:p>
            <w:pPr>
              <w:spacing w:after="0"/>
              <w:rPr>
                <w:sz w:val="1"/>
                <w:szCs w:val="1"/>
                <w:color w:val="auto"/>
              </w:rPr>
            </w:pPr>
          </w:p>
        </w:tc>
      </w:tr>
      <w:tr>
        <w:trPr>
          <w:trHeight w:val="229"/>
        </w:trPr>
        <w:tc>
          <w:tcPr>
            <w:tcW w:w="3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T.F. DeBruine</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91,364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29,236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60,580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2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552,611</w:t>
            </w:r>
          </w:p>
        </w:tc>
        <w:tc>
          <w:tcPr>
            <w:tcW w:w="0" w:type="dxa"/>
            <w:vAlign w:val="bottom"/>
          </w:tcPr>
          <w:p>
            <w:pPr>
              <w:spacing w:after="0"/>
              <w:rPr>
                <w:sz w:val="1"/>
                <w:szCs w:val="1"/>
                <w:color w:val="auto"/>
              </w:rPr>
            </w:pPr>
          </w:p>
        </w:tc>
      </w:tr>
      <w:tr>
        <w:trPr>
          <w:trHeight w:val="230"/>
        </w:trPr>
        <w:tc>
          <w:tcPr>
            <w:tcW w:w="3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A.T. Gorman</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27,990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156,797</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executive contribution amounts included in this table are derived from the Salary and Non-Equity Incentive Plan Compensation columns of the Summary Compensation Table. The Company's contribution amounts included in this table are reported in the All Other Compensation columns of the Summary Compensation Table. Amounts reported in the aggregate balance at July 31, 2025, net of historical earnings and losses were previously reported as compensation to the NEO in the Summary Compensation Table for previous years. See discussion of the Company's non-qualified deferred compensation plans in the Compensation Discussion and Analysis.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Potential Payments Upon Termination or Change of Control</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described in the Employment and Change of Control Agreements section of the Compensation Discussion and Analysis above, the Company has entered into an employment offer letter with Mr. Shaller and change of control agreements with all of the NEOs that provide for benefits following termination of employment and/or a change of control. In addition, our equity incentive plans provide for certain potential benefits upon a change of control.</w:t>
      </w:r>
    </w:p>
    <w:p>
      <w:pPr>
        <w:spacing w:after="0" w:line="12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offer letter entered into with Mr. Shaller provides that he is deemed an at-will employee but will receive a severance benefit equal to equal to two times the sum of his base salary and target bonus, payable in monthly installments over a 24-month period, in the event his employment is terminated without cause or he resigns for good reason as described therein. The offer letter also contains 24-month non-competition and non-solicitation provisions, as well as standard confidentiality and non-disparagement provisions. None of the other NEOs have any severance agreements or similar arrangements that would apply outside of a change of control.</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terms of the change of control agreement are triggered if, within a 24-month period beginning with the date a change of control occurs, (i) the executive’s employment with the Company is involuntarily terminated other than by reason of death, disability or cause, or (ii) the executive’s employment with the Company is voluntarily terminated by the executive subsequent to (a) any reduction in the total of the executive’s annual base salary, exclusive of fringe benefits, and the executive’s target annual cash incentive in comparison with the executive’s annual base salary and target annual cash incentive immediately prior to the date the change of control occurs, (b) a significant diminution in the responsibilities or authority of the executive in comparison with the executive’s responsibility and authority immediately prior to the date the change of control occurs, or (c) the imposition of a requirement by the Company that the executive relocate to a principal work location more than 50 miles from the executive’s principal work location immediately prior to the date the change of control occurs.</w:t>
      </w:r>
    </w:p>
    <w:p>
      <w:pPr>
        <w:spacing w:after="0" w:line="13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Following termination due to a change of control, executives shall be paid a multiplier of their annual base salary in effect immediately prior to the date the change of control occurs plus a multiplier of their annual cash incentive payment as discussed in their respective change of control agreements prior to the date the change of control occurs, payable in monthly installments over a 24-month period. If the payments upon termination due to change of control result in any excise tax being incurred by Messrs. Shaller, Bojarski, DeBruine and Gorman and Ms. Thornton as a result of Section 280G of the Internal Revenue Code, the officer will be solely responsible for such excise tax. The Company will also reimburse a maximum of $25,000 of legal fees incurred by the executives in order to enforce the change of control agreement, in which the executive prevails. The Company's change of control agreements contain confidentiality provisions.</w:t>
      </w:r>
    </w:p>
    <w:p>
      <w:pPr>
        <w:spacing w:after="0" w:line="13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information and tables set forth the amount of payments to each NEO in the event of termination of employment as a result of a change of control. No other employment agreements providing specified payments upon termination have been entered into between the Company and any of the NEOs in fiscal year 2025.</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Assumptions and General Principles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assumptions and general principles apply with respect to the tables that follow in this section.</w:t>
      </w:r>
    </w:p>
    <w:p>
      <w:pPr>
        <w:spacing w:after="0" w:line="171" w:lineRule="exact"/>
        <w:rPr>
          <w:sz w:val="20"/>
          <w:szCs w:val="20"/>
          <w:color w:val="auto"/>
        </w:rPr>
      </w:pPr>
    </w:p>
    <w:p>
      <w:pPr>
        <w:jc w:val="both"/>
        <w:ind w:left="660" w:hanging="328"/>
        <w:spacing w:after="0" w:line="257"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detailed in the tables assume that each NEO terminated employment on July 31, 2025. Accordingly, the tables reflect amounts earned as of July 31, 2025, and include estimates of amounts that would be paid to the NEO upon the termination or occurrence of a change of control. The actual amounts that would be paid to an NEO can only be determined at the time of termination.</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tables below include amounts the Company is obligated to pay the NEO as a result of the severance agreement and executed change of control agreement or under the applicable equity incentive plan. The tables do not include benefits that are paid generally to all salaried employees or a broad group of salaried employees. Therefore, the NEOs would receive benefits in addition to those set forth in the tables.</w:t>
      </w:r>
    </w:p>
    <w:p>
      <w:pPr>
        <w:spacing w:after="0" w:line="1" w:lineRule="exact"/>
        <w:rPr>
          <w:rFonts w:ascii="Times New Roman" w:cs="Times New Roman" w:eastAsia="Times New Roman" w:hAnsi="Times New Roman"/>
          <w:sz w:val="18"/>
          <w:szCs w:val="18"/>
          <w:color w:val="auto"/>
        </w:rPr>
      </w:pPr>
    </w:p>
    <w:p>
      <w:pPr>
        <w:ind w:left="660" w:hanging="328"/>
        <w:spacing w:after="0" w:line="260"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NEO is entitled to receive base salary earned during their term of employment regardless of the manner in which the named executive officer’s employment is terminated. As such, this amount is not disclosed in the tables.</w:t>
      </w:r>
    </w:p>
    <w:p>
      <w:pPr>
        <w:spacing w:after="0" w:line="1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Russell R. Shaller</w:t>
      </w:r>
    </w:p>
    <w:p>
      <w:pPr>
        <w:spacing w:after="0" w:line="175"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outlines the amount payable assuming that the terms of the change of control agreement or equity incentive plan were triggered on July 31, 2025, and the NEO was required to legally enforce the terms of the agreement.</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6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Base Salary ($) (1)</w:t>
            </w:r>
          </w:p>
        </w:tc>
        <w:tc>
          <w:tcPr>
            <w:tcW w:w="240" w:type="dxa"/>
            <w:vAlign w:val="bottom"/>
          </w:tcPr>
          <w:p>
            <w:pPr>
              <w:spacing w:after="0"/>
              <w:rPr>
                <w:sz w:val="13"/>
                <w:szCs w:val="13"/>
                <w:color w:val="auto"/>
              </w:rPr>
            </w:pPr>
          </w:p>
        </w:tc>
        <w:tc>
          <w:tcPr>
            <w:tcW w:w="16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Annual Cash</w:t>
            </w:r>
          </w:p>
        </w:tc>
        <w:tc>
          <w:tcPr>
            <w:tcW w:w="100" w:type="dxa"/>
            <w:vAlign w:val="bottom"/>
          </w:tcPr>
          <w:p>
            <w:pPr>
              <w:spacing w:after="0"/>
              <w:rPr>
                <w:sz w:val="13"/>
                <w:szCs w:val="13"/>
                <w:color w:val="auto"/>
              </w:rPr>
            </w:pPr>
          </w:p>
        </w:tc>
        <w:tc>
          <w:tcPr>
            <w:tcW w:w="17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Restricted Stock Unit</w:t>
            </w:r>
          </w:p>
        </w:tc>
        <w:tc>
          <w:tcPr>
            <w:tcW w:w="186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Stock Option Acceleration</w:t>
            </w:r>
          </w:p>
        </w:tc>
        <w:tc>
          <w:tcPr>
            <w:tcW w:w="19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Legal Fee Reimbursement</w:t>
            </w:r>
          </w:p>
        </w:tc>
        <w:tc>
          <w:tcPr>
            <w:tcW w:w="360" w:type="dxa"/>
            <w:vAlign w:val="bottom"/>
          </w:tcPr>
          <w:p>
            <w:pPr>
              <w:spacing w:after="0"/>
              <w:rPr>
                <w:sz w:val="13"/>
                <w:szCs w:val="13"/>
                <w:color w:val="auto"/>
              </w:rPr>
            </w:pPr>
          </w:p>
        </w:tc>
        <w:tc>
          <w:tcPr>
            <w:tcW w:w="1400" w:type="dxa"/>
            <w:vAlign w:val="bottom"/>
            <w:vMerge w:val="restart"/>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95"/>
        </w:trPr>
        <w:tc>
          <w:tcPr>
            <w:tcW w:w="220" w:type="dxa"/>
            <w:vAlign w:val="bottom"/>
          </w:tcPr>
          <w:p>
            <w:pPr>
              <w:spacing w:after="0"/>
              <w:rPr>
                <w:sz w:val="16"/>
                <w:szCs w:val="16"/>
                <w:color w:val="auto"/>
              </w:rPr>
            </w:pPr>
          </w:p>
        </w:tc>
        <w:tc>
          <w:tcPr>
            <w:tcW w:w="16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6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Incentive ($) (2)</w:t>
            </w:r>
          </w:p>
        </w:tc>
        <w:tc>
          <w:tcPr>
            <w:tcW w:w="100" w:type="dxa"/>
            <w:vAlign w:val="bottom"/>
          </w:tcPr>
          <w:p>
            <w:pPr>
              <w:spacing w:after="0"/>
              <w:rPr>
                <w:sz w:val="16"/>
                <w:szCs w:val="16"/>
                <w:color w:val="auto"/>
              </w:rPr>
            </w:pPr>
          </w:p>
        </w:tc>
        <w:tc>
          <w:tcPr>
            <w:tcW w:w="17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Acceleration Gain ($) (3)</w:t>
            </w:r>
          </w:p>
        </w:tc>
        <w:tc>
          <w:tcPr>
            <w:tcW w:w="360" w:type="dxa"/>
            <w:vAlign w:val="bottom"/>
          </w:tcPr>
          <w:p>
            <w:pPr>
              <w:spacing w:after="0"/>
              <w:rPr>
                <w:sz w:val="16"/>
                <w:szCs w:val="16"/>
                <w:color w:val="auto"/>
              </w:rPr>
            </w:pPr>
          </w:p>
        </w:tc>
        <w:tc>
          <w:tcPr>
            <w:tcW w:w="150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Gain ($)</w:t>
            </w:r>
          </w:p>
        </w:tc>
        <w:tc>
          <w:tcPr>
            <w:tcW w:w="420" w:type="dxa"/>
            <w:vAlign w:val="bottom"/>
          </w:tcPr>
          <w:p>
            <w:pPr>
              <w:spacing w:after="0"/>
              <w:rPr>
                <w:sz w:val="16"/>
                <w:szCs w:val="16"/>
                <w:color w:val="auto"/>
              </w:rPr>
            </w:pPr>
          </w:p>
        </w:tc>
        <w:tc>
          <w:tcPr>
            <w:tcW w:w="1360" w:type="dxa"/>
            <w:vAlign w:val="bottom"/>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 (4)</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2,050,000</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2,357,500</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9,849,173</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14,281,673</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640" w:hanging="308"/>
        <w:spacing w:after="0"/>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two times the base salary in effect at July 31, 2025.</w:t>
      </w:r>
    </w:p>
    <w:p>
      <w:pPr>
        <w:spacing w:after="0" w:line="2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two times the target annual cash incentive amount in effect at July 31, 2025.</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closing market price of $70.57 on 139,566 unvested RSUs and PRSU awards that would vest due to change of control (regardless of whether employment were terminated). The restricted stock unit acceleration gain for PRSUs is based on the number of shares earned based on actual performance for the fiscal 2023 award and target performance for the fiscal 2024 and 2025 awards.</w:t>
      </w:r>
    </w:p>
    <w:p>
      <w:pPr>
        <w:spacing w:after="0" w:line="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maximum reimbursement of legal fees allowed.</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outlines the amount payable assuming that the severance terms of Mr. Shaller's offer letter were triggered on July 31, 2025.</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64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Base Salary ($) (1)</w:t>
            </w: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Annual Cash Incentive ($) (2)</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0" w:type="dxa"/>
            <w:vAlign w:val="bottom"/>
          </w:tcPr>
          <w:p>
            <w:pPr>
              <w:jc w:val="right"/>
              <w:ind w:right="1479"/>
              <w:spacing w:after="0"/>
              <w:rPr>
                <w:sz w:val="20"/>
                <w:szCs w:val="20"/>
                <w:color w:val="auto"/>
              </w:rPr>
            </w:pPr>
            <w:r>
              <w:rPr>
                <w:rFonts w:ascii="Times New Roman" w:cs="Times New Roman" w:eastAsia="Times New Roman" w:hAnsi="Times New Roman"/>
                <w:sz w:val="14"/>
                <w:szCs w:val="14"/>
                <w:b w:val="1"/>
                <w:bCs w:val="1"/>
                <w:color w:val="auto"/>
              </w:rPr>
              <w:t>Total ($)</w:t>
            </w:r>
          </w:p>
        </w:tc>
      </w:tr>
      <w:tr>
        <w:trPr>
          <w:trHeight w:val="23"/>
        </w:trPr>
        <w:tc>
          <w:tcPr>
            <w:tcW w:w="26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r>
      <w:tr>
        <w:trPr>
          <w:trHeight w:val="223"/>
        </w:trPr>
        <w:tc>
          <w:tcPr>
            <w:tcW w:w="2640" w:type="dxa"/>
            <w:vAlign w:val="bottom"/>
            <w:shd w:val="clear" w:color="auto" w:fill="CCEEFF"/>
          </w:tcPr>
          <w:p>
            <w:pPr>
              <w:jc w:val="right"/>
              <w:ind w:right="2439"/>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2,050,000</w:t>
            </w:r>
          </w:p>
        </w:tc>
        <w:tc>
          <w:tcPr>
            <w:tcW w:w="120" w:type="dxa"/>
            <w:vAlign w:val="bottom"/>
            <w:shd w:val="clear" w:color="auto" w:fill="CCEEFF"/>
          </w:tcPr>
          <w:p>
            <w:pPr>
              <w:spacing w:after="0"/>
              <w:rPr>
                <w:sz w:val="19"/>
                <w:szCs w:val="19"/>
                <w:color w:val="auto"/>
              </w:rPr>
            </w:pPr>
          </w:p>
        </w:tc>
        <w:tc>
          <w:tcPr>
            <w:tcW w:w="2820" w:type="dxa"/>
            <w:vAlign w:val="bottom"/>
            <w:shd w:val="clear" w:color="auto" w:fill="CCEEFF"/>
          </w:tcPr>
          <w:p>
            <w:pPr>
              <w:jc w:val="right"/>
              <w:ind w:right="2639"/>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2,357,500</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2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4,407,500</w:t>
            </w:r>
          </w:p>
        </w:tc>
      </w:tr>
    </w:tbl>
    <w:p>
      <w:pPr>
        <w:spacing w:after="0" w:line="238" w:lineRule="exact"/>
        <w:rPr>
          <w:sz w:val="20"/>
          <w:szCs w:val="20"/>
          <w:color w:val="auto"/>
        </w:rPr>
      </w:pPr>
    </w:p>
    <w:p>
      <w:pPr>
        <w:ind w:left="640" w:hanging="308"/>
        <w:spacing w:after="0"/>
        <w:tabs>
          <w:tab w:leader="none" w:pos="6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two times the base salary in effect at July 31, 2025.</w:t>
      </w:r>
    </w:p>
    <w:p>
      <w:pPr>
        <w:spacing w:after="0" w:line="2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two times the target annual cash incentive amount in effect at July 31, 2025.</w:t>
      </w:r>
    </w:p>
    <w:p>
      <w:pPr>
        <w:spacing w:after="0" w:line="15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Mr. Shaller is eligible for continued vesting of equity awards through the retirement conditions of the applicable equity incentive plan agreements, which requires the employee to reach age 60 and 5 years of service, the following table outlines the amount subject to continued vesting assuming that Mr. Shaller retired on July 31, 2025.</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0" w:type="dxa"/>
            <w:vAlign w:val="bottom"/>
          </w:tcPr>
          <w:p>
            <w:pPr>
              <w:spacing w:after="0"/>
              <w:rPr>
                <w:sz w:val="16"/>
                <w:szCs w:val="16"/>
                <w:color w:val="auto"/>
              </w:rPr>
            </w:pPr>
          </w:p>
        </w:tc>
        <w:tc>
          <w:tcPr>
            <w:tcW w:w="226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RSU ($) (1)</w:t>
            </w:r>
          </w:p>
        </w:tc>
        <w:tc>
          <w:tcPr>
            <w:tcW w:w="540" w:type="dxa"/>
            <w:vAlign w:val="bottom"/>
          </w:tcPr>
          <w:p>
            <w:pPr>
              <w:spacing w:after="0"/>
              <w:rPr>
                <w:sz w:val="16"/>
                <w:szCs w:val="16"/>
                <w:color w:val="auto"/>
              </w:rPr>
            </w:pPr>
          </w:p>
        </w:tc>
        <w:tc>
          <w:tcPr>
            <w:tcW w:w="230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PRSU ($) (2)</w:t>
            </w:r>
          </w:p>
        </w:tc>
        <w:tc>
          <w:tcPr>
            <w:tcW w:w="216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Stock option ($)</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120" w:type="dxa"/>
            <w:vAlign w:val="bottom"/>
          </w:tcPr>
          <w:p>
            <w:pPr>
              <w:jc w:val="right"/>
              <w:ind w:right="1039"/>
              <w:spacing w:after="0"/>
              <w:rPr>
                <w:sz w:val="20"/>
                <w:szCs w:val="20"/>
                <w:color w:val="auto"/>
              </w:rPr>
            </w:pPr>
            <w:r>
              <w:rPr>
                <w:rFonts w:ascii="Times New Roman" w:cs="Times New Roman" w:eastAsia="Times New Roman" w:hAnsi="Times New Roman"/>
                <w:sz w:val="14"/>
                <w:szCs w:val="14"/>
                <w:b w:val="1"/>
                <w:bCs w:val="1"/>
                <w:color w:val="auto"/>
              </w:rPr>
              <w:t>Total ($)</w:t>
            </w:r>
          </w:p>
        </w:tc>
      </w:tr>
      <w:tr>
        <w:trPr>
          <w:trHeight w:val="23"/>
        </w:trPr>
        <w:tc>
          <w:tcPr>
            <w:tcW w:w="56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23"/>
        </w:trPr>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3,793,702</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3,654,397</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jc w:val="right"/>
              <w:ind w:right="197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7,448,099</w:t>
            </w:r>
          </w:p>
        </w:tc>
      </w:tr>
    </w:tbl>
    <w:p>
      <w:pPr>
        <w:spacing w:after="0" w:line="225" w:lineRule="exact"/>
        <w:rPr>
          <w:sz w:val="20"/>
          <w:szCs w:val="20"/>
          <w:color w:val="auto"/>
        </w:rPr>
      </w:pPr>
    </w:p>
    <w:p>
      <w:pPr>
        <w:ind w:left="660" w:right="20" w:hanging="328"/>
        <w:spacing w:after="0" w:line="261" w:lineRule="auto"/>
        <w:tabs>
          <w:tab w:leader="none" w:pos="65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closing market price of $70.57 on 53,758 unvested RSU awards that would continue vesting as part of satisfying retirement conditions.</w:t>
      </w:r>
    </w:p>
    <w:p>
      <w:pPr>
        <w:jc w:val="both"/>
        <w:ind w:left="660" w:hanging="328"/>
        <w:spacing w:after="0" w:line="255" w:lineRule="auto"/>
        <w:tabs>
          <w:tab w:leader="none" w:pos="65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closing market price of $70.57 on 51,784 unvested PRSU awards that would continue vesting as part of satisfying retirement conditions. The value for PRSUs is based on the number of shares earned based on actual performance for the fiscal 2023 award and target performance for the fiscal 2024 and 2025 awards pro-rated for service period satisfied.</w:t>
      </w:r>
    </w:p>
    <w:p>
      <w:pPr>
        <w:spacing w:after="0" w:line="1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Ann E. Thornton</w:t>
      </w:r>
    </w:p>
    <w:p>
      <w:pPr>
        <w:spacing w:after="0" w:line="175"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outlines the amount payable assuming that the terms of the change of control agreement or equity incentive plan were triggered on July 31, 2025, and the NEO was required to legally enforce the terms of the agreement.</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6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Base Salary ($) (1)</w:t>
            </w:r>
          </w:p>
        </w:tc>
        <w:tc>
          <w:tcPr>
            <w:tcW w:w="260" w:type="dxa"/>
            <w:vAlign w:val="bottom"/>
          </w:tcPr>
          <w:p>
            <w:pPr>
              <w:spacing w:after="0"/>
              <w:rPr>
                <w:sz w:val="13"/>
                <w:szCs w:val="13"/>
                <w:color w:val="auto"/>
              </w:rPr>
            </w:pPr>
          </w:p>
        </w:tc>
        <w:tc>
          <w:tcPr>
            <w:tcW w:w="16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Annual Cash</w:t>
            </w:r>
          </w:p>
        </w:tc>
        <w:tc>
          <w:tcPr>
            <w:tcW w:w="120" w:type="dxa"/>
            <w:vAlign w:val="bottom"/>
          </w:tcPr>
          <w:p>
            <w:pPr>
              <w:spacing w:after="0"/>
              <w:rPr>
                <w:sz w:val="13"/>
                <w:szCs w:val="13"/>
                <w:color w:val="auto"/>
              </w:rPr>
            </w:pPr>
          </w:p>
        </w:tc>
        <w:tc>
          <w:tcPr>
            <w:tcW w:w="17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Restricted Stock Unit</w:t>
            </w:r>
          </w:p>
        </w:tc>
        <w:tc>
          <w:tcPr>
            <w:tcW w:w="186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Stock Option Acceleration</w:t>
            </w:r>
          </w:p>
        </w:tc>
        <w:tc>
          <w:tcPr>
            <w:tcW w:w="18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Legal Fee Reimbursement</w:t>
            </w:r>
          </w:p>
        </w:tc>
        <w:tc>
          <w:tcPr>
            <w:tcW w:w="380" w:type="dxa"/>
            <w:vAlign w:val="bottom"/>
          </w:tcPr>
          <w:p>
            <w:pPr>
              <w:spacing w:after="0"/>
              <w:rPr>
                <w:sz w:val="13"/>
                <w:szCs w:val="13"/>
                <w:color w:val="auto"/>
              </w:rPr>
            </w:pPr>
          </w:p>
        </w:tc>
        <w:tc>
          <w:tcPr>
            <w:tcW w:w="1400" w:type="dxa"/>
            <w:vAlign w:val="bottom"/>
            <w:vMerge w:val="restart"/>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95"/>
        </w:trPr>
        <w:tc>
          <w:tcPr>
            <w:tcW w:w="22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6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Incentive ($) (2)</w:t>
            </w:r>
          </w:p>
        </w:tc>
        <w:tc>
          <w:tcPr>
            <w:tcW w:w="120" w:type="dxa"/>
            <w:vAlign w:val="bottom"/>
          </w:tcPr>
          <w:p>
            <w:pPr>
              <w:spacing w:after="0"/>
              <w:rPr>
                <w:sz w:val="16"/>
                <w:szCs w:val="16"/>
                <w:color w:val="auto"/>
              </w:rPr>
            </w:pPr>
          </w:p>
        </w:tc>
        <w:tc>
          <w:tcPr>
            <w:tcW w:w="17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Acceleration Gain ($) (3)</w:t>
            </w:r>
          </w:p>
        </w:tc>
        <w:tc>
          <w:tcPr>
            <w:tcW w:w="320" w:type="dxa"/>
            <w:vAlign w:val="bottom"/>
          </w:tcPr>
          <w:p>
            <w:pPr>
              <w:spacing w:after="0"/>
              <w:rPr>
                <w:sz w:val="16"/>
                <w:szCs w:val="16"/>
                <w:color w:val="auto"/>
              </w:rPr>
            </w:pPr>
          </w:p>
        </w:tc>
        <w:tc>
          <w:tcPr>
            <w:tcW w:w="15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Gain ($) (4)</w:t>
            </w:r>
          </w:p>
        </w:tc>
        <w:tc>
          <w:tcPr>
            <w:tcW w:w="400" w:type="dxa"/>
            <w:vAlign w:val="bottom"/>
          </w:tcPr>
          <w:p>
            <w:pPr>
              <w:spacing w:after="0"/>
              <w:rPr>
                <w:sz w:val="16"/>
                <w:szCs w:val="16"/>
                <w:color w:val="auto"/>
              </w:rPr>
            </w:pPr>
          </w:p>
        </w:tc>
        <w:tc>
          <w:tcPr>
            <w:tcW w:w="1380" w:type="dxa"/>
            <w:vAlign w:val="bottom"/>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 (5)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1,030,000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721,000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1,556,845</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36,084</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3,368,929</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640" w:hanging="308"/>
        <w:spacing w:after="0"/>
        <w:tabs>
          <w:tab w:leader="none" w:pos="6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two times the base salary in effect at July 31, 2025.</w:t>
      </w:r>
    </w:p>
    <w:p>
      <w:pPr>
        <w:spacing w:after="0" w:line="2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two times the target annual cash incentive amount in effect at July 31, 2025.</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closing market price of $70.57 on 22,061 unvested RSUs and PRSUs that would vest due to the change of control. The restricted stock unit acceleration gain for PRSUs is based on the number of shares earned based on target performance for the 2024 and 2025 awards.</w:t>
      </w:r>
    </w:p>
    <w:p>
      <w:pPr>
        <w:ind w:left="660" w:hanging="328"/>
        <w:spacing w:after="0" w:line="250" w:lineRule="auto"/>
        <w:tabs>
          <w:tab w:leader="none" w:pos="65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difference between the closing market price of $70.57 and the exercise price on 1,333 unvested, in-the-money stock options that would vest due to change of control.</w:t>
      </w:r>
    </w:p>
    <w:p>
      <w:pPr>
        <w:ind w:left="640" w:hanging="308"/>
        <w:spacing w:after="0"/>
        <w:tabs>
          <w:tab w:leader="none" w:pos="6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maximum reimbursement of legal fees allowed.</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Olivier Bojarski</w:t>
      </w:r>
    </w:p>
    <w:p>
      <w:pPr>
        <w:spacing w:after="0" w:line="175"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outlines the amount payable assuming that the terms of the change of control agreement or equity incentive plan were triggered on July 31, 2025, and the NEO was required to legally enforce the terms of the agreement.</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6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Base Salary ($) (1)</w:t>
            </w:r>
          </w:p>
        </w:tc>
        <w:tc>
          <w:tcPr>
            <w:tcW w:w="260" w:type="dxa"/>
            <w:vAlign w:val="bottom"/>
          </w:tcPr>
          <w:p>
            <w:pPr>
              <w:spacing w:after="0"/>
              <w:rPr>
                <w:sz w:val="13"/>
                <w:szCs w:val="13"/>
                <w:color w:val="auto"/>
              </w:rPr>
            </w:pPr>
          </w:p>
        </w:tc>
        <w:tc>
          <w:tcPr>
            <w:tcW w:w="16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Annual Cash</w:t>
            </w:r>
          </w:p>
        </w:tc>
        <w:tc>
          <w:tcPr>
            <w:tcW w:w="120" w:type="dxa"/>
            <w:vAlign w:val="bottom"/>
          </w:tcPr>
          <w:p>
            <w:pPr>
              <w:spacing w:after="0"/>
              <w:rPr>
                <w:sz w:val="13"/>
                <w:szCs w:val="13"/>
                <w:color w:val="auto"/>
              </w:rPr>
            </w:pPr>
          </w:p>
        </w:tc>
        <w:tc>
          <w:tcPr>
            <w:tcW w:w="17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Restricted Stock Unit</w:t>
            </w:r>
          </w:p>
        </w:tc>
        <w:tc>
          <w:tcPr>
            <w:tcW w:w="186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Stock Option Acceleration</w:t>
            </w:r>
          </w:p>
        </w:tc>
        <w:tc>
          <w:tcPr>
            <w:tcW w:w="18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Legal Fee Reimbursement</w:t>
            </w:r>
          </w:p>
        </w:tc>
        <w:tc>
          <w:tcPr>
            <w:tcW w:w="380" w:type="dxa"/>
            <w:vAlign w:val="bottom"/>
          </w:tcPr>
          <w:p>
            <w:pPr>
              <w:spacing w:after="0"/>
              <w:rPr>
                <w:sz w:val="13"/>
                <w:szCs w:val="13"/>
                <w:color w:val="auto"/>
              </w:rPr>
            </w:pPr>
          </w:p>
        </w:tc>
        <w:tc>
          <w:tcPr>
            <w:tcW w:w="1400" w:type="dxa"/>
            <w:vAlign w:val="bottom"/>
            <w:vMerge w:val="restart"/>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95"/>
        </w:trPr>
        <w:tc>
          <w:tcPr>
            <w:tcW w:w="22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6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Incentive ($) (2)</w:t>
            </w:r>
          </w:p>
        </w:tc>
        <w:tc>
          <w:tcPr>
            <w:tcW w:w="120" w:type="dxa"/>
            <w:vAlign w:val="bottom"/>
          </w:tcPr>
          <w:p>
            <w:pPr>
              <w:spacing w:after="0"/>
              <w:rPr>
                <w:sz w:val="16"/>
                <w:szCs w:val="16"/>
                <w:color w:val="auto"/>
              </w:rPr>
            </w:pPr>
          </w:p>
        </w:tc>
        <w:tc>
          <w:tcPr>
            <w:tcW w:w="17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Acceleration Gain ($) (3)</w:t>
            </w:r>
          </w:p>
        </w:tc>
        <w:tc>
          <w:tcPr>
            <w:tcW w:w="360" w:type="dxa"/>
            <w:vAlign w:val="bottom"/>
          </w:tcPr>
          <w:p>
            <w:pPr>
              <w:spacing w:after="0"/>
              <w:rPr>
                <w:sz w:val="16"/>
                <w:szCs w:val="16"/>
                <w:color w:val="auto"/>
              </w:rPr>
            </w:pPr>
          </w:p>
        </w:tc>
        <w:tc>
          <w:tcPr>
            <w:tcW w:w="150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Gain ($)</w:t>
            </w:r>
          </w:p>
        </w:tc>
        <w:tc>
          <w:tcPr>
            <w:tcW w:w="400" w:type="dxa"/>
            <w:vAlign w:val="bottom"/>
          </w:tcPr>
          <w:p>
            <w:pPr>
              <w:spacing w:after="0"/>
              <w:rPr>
                <w:sz w:val="16"/>
                <w:szCs w:val="16"/>
                <w:color w:val="auto"/>
              </w:rPr>
            </w:pPr>
          </w:p>
        </w:tc>
        <w:tc>
          <w:tcPr>
            <w:tcW w:w="1380" w:type="dxa"/>
            <w:vAlign w:val="bottom"/>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 (4)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980,000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735,000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1,777,658</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3,517,658</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640" w:hanging="308"/>
        <w:spacing w:after="0"/>
        <w:tabs>
          <w:tab w:leader="none" w:pos="6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two times the base salary in effect at July 31, 2025.</w:t>
      </w:r>
    </w:p>
    <w:p>
      <w:pPr>
        <w:spacing w:after="0" w:line="2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two times the target annual cash incentive amount in effect at July 31, 2025.</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closing market price of $70.57 on 25,190 unvested RSUs and PRSUs that would vest due to the change in control. The restricted stock unit acceleration gain for PRSUs is based on the number of shares earned based on target performance for the 2024 and 2025 awards.</w:t>
      </w:r>
    </w:p>
    <w:p>
      <w:pPr>
        <w:ind w:left="640" w:hanging="308"/>
        <w:spacing w:after="0"/>
        <w:tabs>
          <w:tab w:leader="none" w:pos="6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maximum reimbursement of legal fees allowed.</w:t>
      </w:r>
    </w:p>
    <w:p>
      <w:pPr>
        <w:spacing w:after="0" w:line="1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Thomas F. DeBruine</w:t>
      </w:r>
    </w:p>
    <w:p>
      <w:pPr>
        <w:spacing w:after="0" w:line="175"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outlines the amount payable assuming that the terms of the change of control agreement or equity incentive plan were triggered on July 31, 2025, and the NEO was required to legally enforce the terms of the agreement.</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6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Base Salary ($) (1)</w:t>
            </w:r>
          </w:p>
        </w:tc>
        <w:tc>
          <w:tcPr>
            <w:tcW w:w="260" w:type="dxa"/>
            <w:vAlign w:val="bottom"/>
          </w:tcPr>
          <w:p>
            <w:pPr>
              <w:spacing w:after="0"/>
              <w:rPr>
                <w:sz w:val="13"/>
                <w:szCs w:val="13"/>
                <w:color w:val="auto"/>
              </w:rPr>
            </w:pPr>
          </w:p>
        </w:tc>
        <w:tc>
          <w:tcPr>
            <w:tcW w:w="16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Annual Cash</w:t>
            </w:r>
          </w:p>
        </w:tc>
        <w:tc>
          <w:tcPr>
            <w:tcW w:w="120" w:type="dxa"/>
            <w:vAlign w:val="bottom"/>
          </w:tcPr>
          <w:p>
            <w:pPr>
              <w:spacing w:after="0"/>
              <w:rPr>
                <w:sz w:val="13"/>
                <w:szCs w:val="13"/>
                <w:color w:val="auto"/>
              </w:rPr>
            </w:pPr>
          </w:p>
        </w:tc>
        <w:tc>
          <w:tcPr>
            <w:tcW w:w="17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Restricted Stock Unit</w:t>
            </w:r>
          </w:p>
        </w:tc>
        <w:tc>
          <w:tcPr>
            <w:tcW w:w="186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Stock Option Acceleration</w:t>
            </w:r>
          </w:p>
        </w:tc>
        <w:tc>
          <w:tcPr>
            <w:tcW w:w="18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Legal Fee Reimbursement</w:t>
            </w:r>
          </w:p>
        </w:tc>
        <w:tc>
          <w:tcPr>
            <w:tcW w:w="380" w:type="dxa"/>
            <w:vAlign w:val="bottom"/>
          </w:tcPr>
          <w:p>
            <w:pPr>
              <w:spacing w:after="0"/>
              <w:rPr>
                <w:sz w:val="13"/>
                <w:szCs w:val="13"/>
                <w:color w:val="auto"/>
              </w:rPr>
            </w:pPr>
          </w:p>
        </w:tc>
        <w:tc>
          <w:tcPr>
            <w:tcW w:w="1400" w:type="dxa"/>
            <w:vAlign w:val="bottom"/>
            <w:vMerge w:val="restart"/>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95"/>
        </w:trPr>
        <w:tc>
          <w:tcPr>
            <w:tcW w:w="22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6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Incentive ($) (2)</w:t>
            </w:r>
          </w:p>
        </w:tc>
        <w:tc>
          <w:tcPr>
            <w:tcW w:w="120" w:type="dxa"/>
            <w:vAlign w:val="bottom"/>
          </w:tcPr>
          <w:p>
            <w:pPr>
              <w:spacing w:after="0"/>
              <w:rPr>
                <w:sz w:val="16"/>
                <w:szCs w:val="16"/>
                <w:color w:val="auto"/>
              </w:rPr>
            </w:pPr>
          </w:p>
        </w:tc>
        <w:tc>
          <w:tcPr>
            <w:tcW w:w="17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Acceleration Gain ($) (3)</w:t>
            </w:r>
          </w:p>
        </w:tc>
        <w:tc>
          <w:tcPr>
            <w:tcW w:w="320" w:type="dxa"/>
            <w:vAlign w:val="bottom"/>
          </w:tcPr>
          <w:p>
            <w:pPr>
              <w:spacing w:after="0"/>
              <w:rPr>
                <w:sz w:val="16"/>
                <w:szCs w:val="16"/>
                <w:color w:val="auto"/>
              </w:rPr>
            </w:pPr>
          </w:p>
        </w:tc>
        <w:tc>
          <w:tcPr>
            <w:tcW w:w="15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Gain ($) (4)</w:t>
            </w:r>
          </w:p>
        </w:tc>
        <w:tc>
          <w:tcPr>
            <w:tcW w:w="400" w:type="dxa"/>
            <w:vAlign w:val="bottom"/>
          </w:tcPr>
          <w:p>
            <w:pPr>
              <w:spacing w:after="0"/>
              <w:rPr>
                <w:sz w:val="16"/>
                <w:szCs w:val="16"/>
                <w:color w:val="auto"/>
              </w:rPr>
            </w:pPr>
          </w:p>
        </w:tc>
        <w:tc>
          <w:tcPr>
            <w:tcW w:w="1380" w:type="dxa"/>
            <w:vAlign w:val="bottom"/>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 (5)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900,000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540,000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835,549</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45,586</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2,346,135</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640" w:hanging="308"/>
        <w:spacing w:after="0"/>
        <w:tabs>
          <w:tab w:leader="none" w:pos="6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two times the base salary in effect at July 31, 2025.</w:t>
      </w:r>
    </w:p>
    <w:p>
      <w:pPr>
        <w:spacing w:after="0" w:line="2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two times the target annual cash incentive amount in effect at July 31, 2025.</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closing market price of $70.57 on 11,840 unvested RSUs and PRSUs that would vest due to the change of control. The restricted stock unit acceleration gain for PRSUs is based on the number of shares earned based on actual performance for the fiscal 2023 award and target performance for the fiscal 2024 and 2025 awards.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difference between the closing market price of $70.57 and the exercise price on 1,684 unvested, in-the-money stock options that would vest due to change of control.</w:t>
      </w:r>
    </w:p>
    <w:p>
      <w:pPr>
        <w:ind w:left="640" w:hanging="308"/>
        <w:spacing w:after="0"/>
        <w:tabs>
          <w:tab w:leader="none" w:pos="6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maximum reimbursement of legal fees allowed.</w:t>
      </w:r>
    </w:p>
    <w:p>
      <w:pPr>
        <w:spacing w:after="0" w:line="1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Andrew T. Gorman</w:t>
      </w:r>
    </w:p>
    <w:p>
      <w:pPr>
        <w:spacing w:after="0" w:line="175"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outlines the amount payable assuming that the terms of the change of control agreement or equity incentive plan were triggered on July 31, 2025, and the NEO was required to legally enforce the terms of the agreement.</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6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Base Salary ($) (1)</w:t>
            </w:r>
          </w:p>
        </w:tc>
        <w:tc>
          <w:tcPr>
            <w:tcW w:w="260" w:type="dxa"/>
            <w:vAlign w:val="bottom"/>
          </w:tcPr>
          <w:p>
            <w:pPr>
              <w:spacing w:after="0"/>
              <w:rPr>
                <w:sz w:val="13"/>
                <w:szCs w:val="13"/>
                <w:color w:val="auto"/>
              </w:rPr>
            </w:pPr>
          </w:p>
        </w:tc>
        <w:tc>
          <w:tcPr>
            <w:tcW w:w="16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Annual Cash</w:t>
            </w:r>
          </w:p>
        </w:tc>
        <w:tc>
          <w:tcPr>
            <w:tcW w:w="120" w:type="dxa"/>
            <w:vAlign w:val="bottom"/>
          </w:tcPr>
          <w:p>
            <w:pPr>
              <w:spacing w:after="0"/>
              <w:rPr>
                <w:sz w:val="13"/>
                <w:szCs w:val="13"/>
                <w:color w:val="auto"/>
              </w:rPr>
            </w:pPr>
          </w:p>
        </w:tc>
        <w:tc>
          <w:tcPr>
            <w:tcW w:w="17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Restricted Stock Unit</w:t>
            </w:r>
          </w:p>
        </w:tc>
        <w:tc>
          <w:tcPr>
            <w:tcW w:w="186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Stock Option Acceleration</w:t>
            </w:r>
          </w:p>
        </w:tc>
        <w:tc>
          <w:tcPr>
            <w:tcW w:w="18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Legal Fee Reimbursement</w:t>
            </w:r>
          </w:p>
        </w:tc>
        <w:tc>
          <w:tcPr>
            <w:tcW w:w="380" w:type="dxa"/>
            <w:vAlign w:val="bottom"/>
          </w:tcPr>
          <w:p>
            <w:pPr>
              <w:spacing w:after="0"/>
              <w:rPr>
                <w:sz w:val="13"/>
                <w:szCs w:val="13"/>
                <w:color w:val="auto"/>
              </w:rPr>
            </w:pPr>
          </w:p>
        </w:tc>
        <w:tc>
          <w:tcPr>
            <w:tcW w:w="1400" w:type="dxa"/>
            <w:vAlign w:val="bottom"/>
            <w:vMerge w:val="restart"/>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62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Incentive ($) (2)</w:t>
            </w:r>
          </w:p>
        </w:tc>
        <w:tc>
          <w:tcPr>
            <w:tcW w:w="120" w:type="dxa"/>
            <w:vAlign w:val="bottom"/>
          </w:tcPr>
          <w:p>
            <w:pPr>
              <w:spacing w:after="0"/>
              <w:rPr>
                <w:sz w:val="17"/>
                <w:szCs w:val="17"/>
                <w:color w:val="auto"/>
              </w:rPr>
            </w:pPr>
          </w:p>
        </w:tc>
        <w:tc>
          <w:tcPr>
            <w:tcW w:w="17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Acceleration Gain ($) (3)</w:t>
            </w:r>
          </w:p>
        </w:tc>
        <w:tc>
          <w:tcPr>
            <w:tcW w:w="320" w:type="dxa"/>
            <w:vAlign w:val="bottom"/>
          </w:tcPr>
          <w:p>
            <w:pPr>
              <w:spacing w:after="0"/>
              <w:rPr>
                <w:sz w:val="17"/>
                <w:szCs w:val="17"/>
                <w:color w:val="auto"/>
              </w:rPr>
            </w:pPr>
          </w:p>
        </w:tc>
        <w:tc>
          <w:tcPr>
            <w:tcW w:w="15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Gain ($) (4)</w:t>
            </w:r>
          </w:p>
        </w:tc>
        <w:tc>
          <w:tcPr>
            <w:tcW w:w="400" w:type="dxa"/>
            <w:vAlign w:val="bottom"/>
          </w:tcPr>
          <w:p>
            <w:pPr>
              <w:spacing w:after="0"/>
              <w:rPr>
                <w:sz w:val="17"/>
                <w:szCs w:val="17"/>
                <w:color w:val="auto"/>
              </w:rPr>
            </w:pPr>
          </w:p>
        </w:tc>
        <w:tc>
          <w:tcPr>
            <w:tcW w:w="1380" w:type="dxa"/>
            <w:vAlign w:val="bottom"/>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 (5)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252,363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854,744</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54,654</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1,936,761</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640" w:hanging="308"/>
        <w:spacing w:after="0"/>
        <w:tabs>
          <w:tab w:leader="none" w:pos="6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two times the base salary in effect at July 31, 2025.</w:t>
      </w:r>
    </w:p>
    <w:p>
      <w:pPr>
        <w:spacing w:after="0" w:line="2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average annual cash incentive payment received in the last three years ended July 31, 2025, 2024 and 2023.</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closing market price of $70.57 on 12,112 unvested RSUs and PRSUs that would vest due to the change of control. The restricted stock unit acceleration gain for PRSUs is based on the number of shares earned based on actual performance for the fiscal 2023 award and target performance for the fiscal 2024 and 2025 awards.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difference between the closing market price of $70.57 and the exercise price on 2,019 unvested, in-the-money stock options that would vest due to change of control.</w:t>
      </w:r>
    </w:p>
    <w:p>
      <w:pPr>
        <w:ind w:left="640" w:hanging="308"/>
        <w:spacing w:after="0"/>
        <w:tabs>
          <w:tab w:leader="none" w:pos="6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maximum reimbursement of legal fees allowed.</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Potential Payments Upon Termination Due to Death or Disability</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the event of termination due to death or disability, all unexercised, unexpired stock options would immediately vest and all restricted stock unit awards would immediately become unrestricted and fully vested. The following table shows the amount payable to the NEOs should this event occur on July 31, 2025.</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3"/>
                <w:szCs w:val="13"/>
                <w:color w:val="auto"/>
              </w:rPr>
            </w:pPr>
          </w:p>
        </w:tc>
        <w:tc>
          <w:tcPr>
            <w:tcW w:w="17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Unvested RSUs and</w:t>
            </w:r>
          </w:p>
        </w:tc>
        <w:tc>
          <w:tcPr>
            <w:tcW w:w="320" w:type="dxa"/>
            <w:vAlign w:val="bottom"/>
          </w:tcPr>
          <w:p>
            <w:pPr>
              <w:spacing w:after="0"/>
              <w:rPr>
                <w:sz w:val="13"/>
                <w:szCs w:val="13"/>
                <w:color w:val="auto"/>
              </w:rPr>
            </w:pPr>
          </w:p>
        </w:tc>
        <w:tc>
          <w:tcPr>
            <w:tcW w:w="146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RSUs and</w:t>
            </w:r>
          </w:p>
        </w:tc>
        <w:tc>
          <w:tcPr>
            <w:tcW w:w="1860" w:type="dxa"/>
            <w:vAlign w:val="bottom"/>
            <w:gridSpan w:val="3"/>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rPr>
              <w:t>Unvested, In-the-Money</w:t>
            </w:r>
          </w:p>
        </w:tc>
        <w:tc>
          <w:tcPr>
            <w:tcW w:w="1540" w:type="dxa"/>
            <w:vAlign w:val="bottom"/>
            <w:vMerge w:val="restart"/>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Stock Option</w:t>
            </w:r>
          </w:p>
        </w:tc>
        <w:tc>
          <w:tcPr>
            <w:tcW w:w="0" w:type="dxa"/>
            <w:vAlign w:val="bottom"/>
          </w:tcPr>
          <w:p>
            <w:pPr>
              <w:spacing w:after="0"/>
              <w:rPr>
                <w:sz w:val="1"/>
                <w:szCs w:val="1"/>
                <w:color w:val="auto"/>
              </w:rPr>
            </w:pPr>
          </w:p>
        </w:tc>
      </w:tr>
      <w:tr>
        <w:trPr>
          <w:trHeight w:val="146"/>
        </w:trPr>
        <w:tc>
          <w:tcPr>
            <w:tcW w:w="4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760" w:type="dxa"/>
            <w:vAlign w:val="bottom"/>
            <w:gridSpan w:val="2"/>
            <w:vMerge w:val="continue"/>
          </w:tcPr>
          <w:p>
            <w:pPr>
              <w:spacing w:after="0"/>
              <w:rPr>
                <w:sz w:val="12"/>
                <w:szCs w:val="12"/>
                <w:color w:val="auto"/>
              </w:rPr>
            </w:pPr>
          </w:p>
        </w:tc>
        <w:tc>
          <w:tcPr>
            <w:tcW w:w="1780" w:type="dxa"/>
            <w:vAlign w:val="bottom"/>
            <w:gridSpan w:val="3"/>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PRSUs Acceleration Gain</w:t>
            </w:r>
          </w:p>
        </w:tc>
        <w:tc>
          <w:tcPr>
            <w:tcW w:w="1860" w:type="dxa"/>
            <w:vAlign w:val="bottom"/>
            <w:gridSpan w:val="3"/>
          </w:tcPr>
          <w:p>
            <w:pPr>
              <w:jc w:val="center"/>
              <w:ind w:right="150"/>
              <w:spacing w:after="0" w:line="146" w:lineRule="exact"/>
              <w:rPr>
                <w:sz w:val="20"/>
                <w:szCs w:val="20"/>
                <w:color w:val="auto"/>
              </w:rPr>
            </w:pPr>
            <w:r>
              <w:rPr>
                <w:rFonts w:ascii="Times New Roman" w:cs="Times New Roman" w:eastAsia="Times New Roman" w:hAnsi="Times New Roman"/>
                <w:sz w:val="14"/>
                <w:szCs w:val="14"/>
                <w:b w:val="1"/>
                <w:bCs w:val="1"/>
                <w:color w:val="auto"/>
              </w:rPr>
              <w:t>Stock Options as of</w:t>
            </w:r>
          </w:p>
        </w:tc>
        <w:tc>
          <w:tcPr>
            <w:tcW w:w="1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4240" w:type="dxa"/>
            <w:vAlign w:val="bottom"/>
            <w:vMerge w:val="continue"/>
          </w:tcPr>
          <w:p>
            <w:pPr>
              <w:spacing w:after="0"/>
              <w:rPr>
                <w:sz w:val="17"/>
                <w:szCs w:val="17"/>
                <w:color w:val="auto"/>
              </w:rPr>
            </w:pP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PRSUs as of July 31, 2025</w:t>
            </w:r>
          </w:p>
        </w:tc>
        <w:tc>
          <w:tcPr>
            <w:tcW w:w="320" w:type="dxa"/>
            <w:vAlign w:val="bottom"/>
          </w:tcPr>
          <w:p>
            <w:pPr>
              <w:spacing w:after="0"/>
              <w:rPr>
                <w:sz w:val="17"/>
                <w:szCs w:val="17"/>
                <w:color w:val="auto"/>
              </w:rPr>
            </w:pPr>
          </w:p>
        </w:tc>
        <w:tc>
          <w:tcPr>
            <w:tcW w:w="1340" w:type="dxa"/>
            <w:vAlign w:val="bottom"/>
          </w:tcPr>
          <w:p>
            <w:pPr>
              <w:jc w:val="center"/>
              <w:ind w:right="215"/>
              <w:spacing w:after="0"/>
              <w:rPr>
                <w:sz w:val="20"/>
                <w:szCs w:val="20"/>
                <w:color w:val="auto"/>
              </w:rPr>
            </w:pPr>
            <w:r>
              <w:rPr>
                <w:rFonts w:ascii="Times New Roman" w:cs="Times New Roman" w:eastAsia="Times New Roman" w:hAnsi="Times New Roman"/>
                <w:sz w:val="14"/>
                <w:szCs w:val="14"/>
                <w:b w:val="1"/>
                <w:bCs w:val="1"/>
                <w:color w:val="auto"/>
              </w:rPr>
              <w:t>$ (1)</w:t>
            </w:r>
          </w:p>
        </w:tc>
        <w:tc>
          <w:tcPr>
            <w:tcW w:w="120" w:type="dxa"/>
            <w:vAlign w:val="bottom"/>
          </w:tcPr>
          <w:p>
            <w:pPr>
              <w:spacing w:after="0"/>
              <w:rPr>
                <w:sz w:val="17"/>
                <w:szCs w:val="17"/>
                <w:color w:val="auto"/>
              </w:rPr>
            </w:pPr>
          </w:p>
        </w:tc>
        <w:tc>
          <w:tcPr>
            <w:tcW w:w="1860" w:type="dxa"/>
            <w:vAlign w:val="bottom"/>
            <w:gridSpan w:val="3"/>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rPr>
              <w:t>July 31, 2025</w:t>
            </w:r>
          </w:p>
        </w:tc>
        <w:tc>
          <w:tcPr>
            <w:tcW w:w="154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Acceleration Gain $ (2)</w:t>
            </w:r>
          </w:p>
        </w:tc>
        <w:tc>
          <w:tcPr>
            <w:tcW w:w="0" w:type="dxa"/>
            <w:vAlign w:val="bottom"/>
          </w:tcPr>
          <w:p>
            <w:pPr>
              <w:spacing w:after="0"/>
              <w:rPr>
                <w:sz w:val="1"/>
                <w:szCs w:val="1"/>
                <w:color w:val="auto"/>
              </w:rPr>
            </w:pPr>
          </w:p>
        </w:tc>
      </w:tr>
      <w:tr>
        <w:trPr>
          <w:trHeight w:val="228"/>
        </w:trPr>
        <w:tc>
          <w:tcPr>
            <w:tcW w:w="4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R.R. Shaller</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139,566</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9,849,173</w:t>
            </w:r>
          </w:p>
        </w:tc>
        <w:tc>
          <w:tcPr>
            <w:tcW w:w="12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A.E. Thornton</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22,061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1,556,845</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36,084</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 Bojarski</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25,190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1,777,658</w:t>
            </w:r>
          </w:p>
        </w:tc>
        <w:tc>
          <w:tcPr>
            <w:tcW w:w="120" w:type="dxa"/>
            <w:vAlign w:val="bottom"/>
            <w:shd w:val="clear" w:color="auto" w:fill="CCEEFF"/>
          </w:tcPr>
          <w:p>
            <w:pPr>
              <w:spacing w:after="0"/>
              <w:rPr>
                <w:sz w:val="19"/>
                <w:szCs w:val="19"/>
                <w:color w:val="auto"/>
              </w:rPr>
            </w:pPr>
          </w:p>
        </w:tc>
        <w:tc>
          <w:tcPr>
            <w:tcW w:w="1860" w:type="dxa"/>
            <w:vAlign w:val="bottom"/>
            <w:gridSpan w:val="3"/>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T.F. DeBruine</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835,549</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45,586</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A.T. Gorman</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854,744</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54,654</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left="660" w:hanging="328"/>
        <w:spacing w:after="0" w:line="257" w:lineRule="auto"/>
        <w:tabs>
          <w:tab w:leader="none" w:pos="65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closing market price of $70.57 on unvested RSUs and PRSUs awards that would vest due to death or disability. The restricted stock unit acceleration gain for PRSUs is based on the number of shares earned based on actual performance for the fiscal 2023 award and target performance for the fiscal 2024 and 2025 awards.</w:t>
      </w:r>
    </w:p>
    <w:p>
      <w:pPr>
        <w:spacing w:after="0" w:line="1" w:lineRule="exact"/>
        <w:rPr>
          <w:rFonts w:ascii="Times New Roman" w:cs="Times New Roman" w:eastAsia="Times New Roman" w:hAnsi="Times New Roman"/>
          <w:sz w:val="18"/>
          <w:szCs w:val="18"/>
          <w:color w:val="auto"/>
        </w:rPr>
      </w:pPr>
    </w:p>
    <w:p>
      <w:pPr>
        <w:ind w:left="660" w:right="220" w:hanging="328"/>
        <w:spacing w:after="0" w:line="260" w:lineRule="auto"/>
        <w:tabs>
          <w:tab w:leader="none" w:pos="65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difference between the closing market price of $70.57 and the exercise price on unvested, in-the-money stock options that would vest due to death or disability.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CEO Pay Ratio Disclosure</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Summarized below is the ratio of the total compensation of our CEO, Russell R. Shaller, to the total compensation of our median employee.</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fiscal 2025:</w:t>
      </w:r>
    </w:p>
    <w:p>
      <w:pPr>
        <w:spacing w:after="0" w:line="171" w:lineRule="exact"/>
        <w:rPr>
          <w:sz w:val="20"/>
          <w:szCs w:val="20"/>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median of the annual total compensation of all of our employees, other than the CEO, was $55,173; and</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total compensation of our CEO, as reported in the Summary Compensation Table, was $7,597,366.</w:t>
      </w:r>
    </w:p>
    <w:p>
      <w:pPr>
        <w:spacing w:after="0" w:line="15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Accordingly, the ratio of the CEO’s annual total compensation to the median of the annual total compensation of all other employees was approximately 138:1.</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our median employee, we elected to use the same employee identified as the median employee in fiscal 2024 for calculating the pay ratio in fiscal 2025. There were no material changes in our employee population or compensation arrangements that we reasonably believe would result in a significant change in our pay ratio disclosures since we identified the median employee for determination of the CEO pay ratio in fiscal 2024.</w:t>
      </w:r>
    </w:p>
    <w:p>
      <w:pPr>
        <w:spacing w:after="0" w:line="12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To identify our median in 2024, as well as to determine the annual total compensation of our median employee in 2025, we used the following methodology and assumptions:</w:t>
      </w:r>
    </w:p>
    <w:p>
      <w:pPr>
        <w:spacing w:after="0" w:line="108" w:lineRule="exact"/>
        <w:rPr>
          <w:sz w:val="20"/>
          <w:szCs w:val="20"/>
          <w:color w:val="auto"/>
        </w:rPr>
      </w:pPr>
    </w:p>
    <w:p>
      <w:pPr>
        <w:jc w:val="both"/>
        <w:ind w:left="660" w:hanging="328"/>
        <w:spacing w:after="0" w:line="257" w:lineRule="auto"/>
        <w:tabs>
          <w:tab w:leader="none" w:pos="65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measurement date of May 31, 2024 was used to identify our median employee, which is within three months of the Company's fiscal 2024 year end. As of this date, the Company's total employee population, excluding the CEO, consisted of 5,660 individuals, which comprised all full-time and part-time employees.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employee population consisted of 5,660 individuals, of which 1,577 were in the United States and 4,083 were outside of the United States.</w:t>
      </w:r>
    </w:p>
    <w:p>
      <w:pPr>
        <w:spacing w:after="0" w:line="9" w:lineRule="exact"/>
        <w:rPr>
          <w:rFonts w:ascii="Times New Roman" w:cs="Times New Roman" w:eastAsia="Times New Roman" w:hAnsi="Times New Roman"/>
          <w:sz w:val="18"/>
          <w:szCs w:val="18"/>
          <w:color w:val="auto"/>
        </w:rPr>
      </w:pPr>
    </w:p>
    <w:p>
      <w:pPr>
        <w:jc w:val="both"/>
        <w:ind w:left="660" w:right="20" w:hanging="328"/>
        <w:spacing w:after="0" w:line="250" w:lineRule="auto"/>
        <w:tabs>
          <w:tab w:leader="none" w:pos="65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used annual total cash compensation earned by our employees, as compiled from our payroll records, as the consistently applied compensation measure by which to determine the median employee. This reflects the principal forms of compensation delivered to all of our employees and is readily available in each country.</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annualized the compensation of employees for the full fiscal year and for employees hired during the fiscal year.</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employees outside of the United States, we used applicable currency exchange rates based on the average exchange rate over the period to convert all compensation data.</w:t>
      </w:r>
    </w:p>
    <w:p>
      <w:pPr>
        <w:ind w:left="660" w:right="20" w:hanging="328"/>
        <w:spacing w:after="0" w:line="260" w:lineRule="auto"/>
        <w:tabs>
          <w:tab w:leader="none" w:pos="65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median employee's total compensation for 2025 was calculated in the same manner as total compensation for each of the NEOs within the Summary Compensation Table and includes contributions to health and welfare benefits.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 Versus Performance</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following Pay Versus Performance table summarizes compensation for our principal executive officers (“PEOs”) and the average compensation amounts to all other non-PEO NEOs as reported in the Summary Compensation Table (“SCT”) for the past five fiscal years, as well as amounts for Compensation Actually Paid (“CAP”) to these groups calculated and reported as required under new SEC disclosure requirements. The below table also includes the Company's Total Shareholder Return (“TSR”) results, Peer Group TSR, net income and the Company selected performance measure - Operating Income. We have selected Operating Income as our primary financial measure we consider to be most important in linking performance to compensation actually paid as the Company's overall NEO compensation structure is designed to drive profitable growth leading to long-term shareholder value creation.</w:t>
      </w:r>
    </w:p>
    <w:p>
      <w:pPr>
        <w:spacing w:after="0" w:line="1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u w:val="single" w:color="auto"/>
          <w:color w:val="auto"/>
        </w:rPr>
        <w:t>Pay Versus Performance Table (1) (2)</w:t>
      </w:r>
    </w:p>
    <w:p>
      <w:pPr>
        <w:sectPr>
          <w:pgSz w:w="11900" w:h="16838" w:orient="portrait"/>
          <w:cols w:equalWidth="0" w:num="1">
            <w:col w:w="11240"/>
          </w:cols>
          <w:pgMar w:left="320" w:top="118" w:right="339" w:bottom="1440" w:gutter="0" w:footer="0" w:header="0"/>
        </w:sectPr>
      </w:pPr>
    </w:p>
    <w:p>
      <w:pPr>
        <w:spacing w:after="0" w:line="70"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480" w:type="dxa"/>
            <w:vAlign w:val="bottom"/>
          </w:tcPr>
          <w:p>
            <w:pPr>
              <w:spacing w:after="0"/>
              <w:rPr>
                <w:sz w:val="13"/>
                <w:szCs w:val="13"/>
                <w:color w:val="auto"/>
              </w:rPr>
            </w:pPr>
          </w:p>
        </w:tc>
        <w:tc>
          <w:tcPr>
            <w:tcW w:w="20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Summary Compensation Table</w:t>
            </w:r>
          </w:p>
        </w:tc>
        <w:tc>
          <w:tcPr>
            <w:tcW w:w="1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 Actually Paid</w:t>
            </w:r>
          </w:p>
        </w:tc>
        <w:tc>
          <w:tcPr>
            <w:tcW w:w="1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480" w:type="dxa"/>
            <w:vAlign w:val="bottom"/>
          </w:tcPr>
          <w:p>
            <w:pPr>
              <w:spacing w:after="0"/>
              <w:rPr>
                <w:sz w:val="16"/>
                <w:szCs w:val="16"/>
                <w:color w:val="auto"/>
              </w:rPr>
            </w:pPr>
          </w:p>
        </w:tc>
        <w:tc>
          <w:tcPr>
            <w:tcW w:w="20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 for PEO ($)</w:t>
            </w:r>
          </w:p>
        </w:tc>
        <w:tc>
          <w:tcPr>
            <w:tcW w:w="1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to PEO ($) (3)</w:t>
            </w:r>
          </w:p>
        </w:tc>
        <w:tc>
          <w:tcPr>
            <w:tcW w:w="1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48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Avg. Summary</w:t>
            </w:r>
          </w:p>
        </w:tc>
        <w:tc>
          <w:tcPr>
            <w:tcW w:w="1140" w:type="dxa"/>
            <w:vAlign w:val="bottom"/>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w w:val="93"/>
              </w:rPr>
              <w:t>Avg.</w:t>
            </w:r>
          </w:p>
        </w:tc>
        <w:tc>
          <w:tcPr>
            <w:tcW w:w="0" w:type="dxa"/>
            <w:vAlign w:val="bottom"/>
          </w:tcPr>
          <w:p>
            <w:pPr>
              <w:spacing w:after="0"/>
              <w:rPr>
                <w:sz w:val="1"/>
                <w:szCs w:val="1"/>
                <w:color w:val="auto"/>
              </w:rPr>
            </w:pPr>
          </w:p>
        </w:tc>
      </w:tr>
      <w:tr>
        <w:trPr>
          <w:trHeight w:val="146"/>
        </w:trPr>
        <w:tc>
          <w:tcPr>
            <w:tcW w:w="4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3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140" w:type="dxa"/>
            <w:vAlign w:val="bottom"/>
          </w:tcPr>
          <w:p>
            <w:pPr>
              <w:jc w:val="center"/>
              <w:ind w:left="88"/>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137"/>
        </w:trPr>
        <w:tc>
          <w:tcPr>
            <w:tcW w:w="480" w:type="dxa"/>
            <w:vAlign w:val="bottom"/>
          </w:tcPr>
          <w:p>
            <w:pPr>
              <w:spacing w:after="0"/>
              <w:rPr>
                <w:sz w:val="11"/>
                <w:szCs w:val="11"/>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Russell R.</w:t>
            </w:r>
          </w:p>
        </w:tc>
        <w:tc>
          <w:tcPr>
            <w:tcW w:w="10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J. Michael</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Russell R.</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J. Michael</w:t>
            </w:r>
          </w:p>
        </w:tc>
        <w:tc>
          <w:tcPr>
            <w:tcW w:w="132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Table total for</w:t>
            </w:r>
          </w:p>
        </w:tc>
        <w:tc>
          <w:tcPr>
            <w:tcW w:w="1140" w:type="dxa"/>
            <w:vAlign w:val="bottom"/>
          </w:tcPr>
          <w:p>
            <w:pPr>
              <w:jc w:val="center"/>
              <w:ind w:left="88"/>
              <w:spacing w:after="0" w:line="137" w:lineRule="exact"/>
              <w:rPr>
                <w:sz w:val="20"/>
                <w:szCs w:val="20"/>
                <w:color w:val="auto"/>
              </w:rPr>
            </w:pPr>
            <w:r>
              <w:rPr>
                <w:rFonts w:ascii="Times New Roman" w:cs="Times New Roman" w:eastAsia="Times New Roman" w:hAnsi="Times New Roman"/>
                <w:sz w:val="14"/>
                <w:szCs w:val="14"/>
                <w:b w:val="1"/>
                <w:bCs w:val="1"/>
                <w:color w:val="auto"/>
              </w:rPr>
              <w:t>Actually Paid to</w:t>
            </w:r>
          </w:p>
        </w:tc>
        <w:tc>
          <w:tcPr>
            <w:tcW w:w="0" w:type="dxa"/>
            <w:vAlign w:val="bottom"/>
          </w:tcPr>
          <w:p>
            <w:pPr>
              <w:spacing w:after="0"/>
              <w:rPr>
                <w:sz w:val="1"/>
                <w:szCs w:val="1"/>
                <w:color w:val="auto"/>
              </w:rPr>
            </w:pPr>
          </w:p>
        </w:tc>
      </w:tr>
      <w:tr>
        <w:trPr>
          <w:trHeight w:val="148"/>
        </w:trPr>
        <w:tc>
          <w:tcPr>
            <w:tcW w:w="4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960" w:type="dxa"/>
            <w:vAlign w:val="bottom"/>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non-PEO NEOs</w:t>
            </w:r>
          </w:p>
        </w:tc>
        <w:tc>
          <w:tcPr>
            <w:tcW w:w="1140" w:type="dxa"/>
            <w:vAlign w:val="bottom"/>
          </w:tcPr>
          <w:p>
            <w:pPr>
              <w:jc w:val="center"/>
              <w:ind w:left="88"/>
              <w:spacing w:after="0" w:line="149" w:lineRule="exact"/>
              <w:rPr>
                <w:sz w:val="20"/>
                <w:szCs w:val="20"/>
                <w:color w:val="auto"/>
              </w:rPr>
            </w:pPr>
            <w:r>
              <w:rPr>
                <w:rFonts w:ascii="Times New Roman" w:cs="Times New Roman" w:eastAsia="Times New Roman" w:hAnsi="Times New Roman"/>
                <w:sz w:val="14"/>
                <w:szCs w:val="14"/>
                <w:b w:val="1"/>
                <w:bCs w:val="1"/>
                <w:color w:val="auto"/>
              </w:rPr>
              <w:t>non-PEO NEOs</w:t>
            </w:r>
          </w:p>
        </w:tc>
        <w:tc>
          <w:tcPr>
            <w:tcW w:w="0" w:type="dxa"/>
            <w:vAlign w:val="bottom"/>
          </w:tcPr>
          <w:p>
            <w:pPr>
              <w:spacing w:after="0"/>
              <w:rPr>
                <w:sz w:val="1"/>
                <w:szCs w:val="1"/>
                <w:color w:val="auto"/>
              </w:rPr>
            </w:pPr>
          </w:p>
        </w:tc>
      </w:tr>
      <w:tr>
        <w:trPr>
          <w:trHeight w:val="190"/>
        </w:trPr>
        <w:tc>
          <w:tcPr>
            <w:tcW w:w="480" w:type="dxa"/>
            <w:vAlign w:val="bottom"/>
            <w:vMerge w:val="continue"/>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Shaller</w:t>
            </w: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Nauman</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Shaller</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Nauman</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140" w:type="dxa"/>
            <w:vAlign w:val="bottom"/>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 (3)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jc w:val="center"/>
        <w:ind w:right="2080"/>
        <w:spacing w:after="0"/>
        <w:rPr>
          <w:sz w:val="20"/>
          <w:szCs w:val="20"/>
          <w:color w:val="auto"/>
        </w:rPr>
      </w:pPr>
      <w:r>
        <w:rPr>
          <w:rFonts w:ascii="Times New Roman" w:cs="Times New Roman" w:eastAsia="Times New Roman" w:hAnsi="Times New Roman"/>
          <w:sz w:val="14"/>
          <w:szCs w:val="14"/>
          <w:b w:val="1"/>
          <w:bCs w:val="1"/>
          <w:color w:val="auto"/>
        </w:rPr>
        <w:t>Value of Initial Fixed $100</w:t>
      </w:r>
    </w:p>
    <w:p>
      <w:pPr>
        <w:spacing w:after="0" w:line="6" w:lineRule="exact"/>
        <w:rPr>
          <w:sz w:val="20"/>
          <w:szCs w:val="20"/>
          <w:color w:val="auto"/>
        </w:rPr>
      </w:pPr>
    </w:p>
    <w:p>
      <w:pPr>
        <w:jc w:val="center"/>
        <w:ind w:right="2080"/>
        <w:spacing w:after="0"/>
        <w:rPr>
          <w:sz w:val="20"/>
          <w:szCs w:val="20"/>
          <w:color w:val="auto"/>
        </w:rPr>
      </w:pPr>
      <w:r>
        <w:rPr>
          <w:rFonts w:ascii="Times New Roman" w:cs="Times New Roman" w:eastAsia="Times New Roman" w:hAnsi="Times New Roman"/>
          <w:sz w:val="14"/>
          <w:szCs w:val="14"/>
          <w:b w:val="1"/>
          <w:bCs w:val="1"/>
          <w:color w:val="auto"/>
        </w:rPr>
        <w:t>Investment Based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13335</wp:posOffset>
            </wp:positionV>
            <wp:extent cx="132016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Peer Group</w:t>
            </w:r>
          </w:p>
        </w:tc>
        <w:tc>
          <w:tcPr>
            <w:tcW w:w="1080" w:type="dxa"/>
            <w:vAlign w:val="bottom"/>
          </w:tcPr>
          <w:p>
            <w:pPr>
              <w:spacing w:after="0"/>
              <w:rPr>
                <w:sz w:val="13"/>
                <w:szCs w:val="13"/>
                <w:color w:val="auto"/>
              </w:rPr>
            </w:pPr>
          </w:p>
        </w:tc>
        <w:tc>
          <w:tcPr>
            <w:tcW w:w="740" w:type="dxa"/>
            <w:vAlign w:val="bottom"/>
            <w:vMerge w:val="restart"/>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0" w:type="dxa"/>
            <w:vAlign w:val="bottom"/>
          </w:tcPr>
          <w:p>
            <w:pPr>
              <w:spacing w:after="0"/>
              <w:rPr>
                <w:sz w:val="1"/>
                <w:szCs w:val="1"/>
                <w:color w:val="auto"/>
              </w:rPr>
            </w:pPr>
          </w:p>
        </w:tc>
      </w:tr>
      <w:tr>
        <w:trPr>
          <w:trHeight w:val="146"/>
        </w:trPr>
        <w:tc>
          <w:tcPr>
            <w:tcW w:w="940" w:type="dxa"/>
            <w:vAlign w:val="bottom"/>
            <w:vMerge w:val="continue"/>
          </w:tcPr>
          <w:p>
            <w:pPr>
              <w:spacing w:after="0"/>
              <w:rPr>
                <w:sz w:val="12"/>
                <w:szCs w:val="12"/>
                <w:color w:val="auto"/>
              </w:rPr>
            </w:pPr>
          </w:p>
        </w:tc>
        <w:tc>
          <w:tcPr>
            <w:tcW w:w="10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Total</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4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Shareholder</w:t>
            </w: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Shareholder</w:t>
            </w:r>
          </w:p>
        </w:tc>
        <w:tc>
          <w:tcPr>
            <w:tcW w:w="1080" w:type="dxa"/>
            <w:vAlign w:val="bottom"/>
            <w:vMerge w:val="continue"/>
          </w:tcPr>
          <w:p>
            <w:pPr>
              <w:spacing w:after="0"/>
              <w:rPr>
                <w:sz w:val="12"/>
                <w:szCs w:val="12"/>
                <w:color w:val="auto"/>
              </w:rPr>
            </w:pPr>
          </w:p>
        </w:tc>
        <w:tc>
          <w:tcPr>
            <w:tcW w:w="740" w:type="dxa"/>
            <w:vAlign w:val="bottom"/>
          </w:tcPr>
          <w:p>
            <w:pPr>
              <w:jc w:val="center"/>
              <w:ind w:left="8"/>
              <w:spacing w:after="0" w:line="149" w:lineRule="exact"/>
              <w:rPr>
                <w:sz w:val="20"/>
                <w:szCs w:val="20"/>
                <w:color w:val="auto"/>
              </w:rPr>
            </w:pPr>
            <w:r>
              <w:rPr>
                <w:rFonts w:ascii="Times New Roman" w:cs="Times New Roman" w:eastAsia="Times New Roman" w:hAnsi="Times New Roman"/>
                <w:sz w:val="14"/>
                <w:szCs w:val="14"/>
                <w:b w:val="1"/>
                <w:bCs w:val="1"/>
                <w:color w:val="auto"/>
              </w:rPr>
              <w:t>Income (in</w:t>
            </w:r>
          </w:p>
        </w:tc>
        <w:tc>
          <w:tcPr>
            <w:tcW w:w="0" w:type="dxa"/>
            <w:vAlign w:val="bottom"/>
          </w:tcPr>
          <w:p>
            <w:pPr>
              <w:spacing w:after="0"/>
              <w:rPr>
                <w:sz w:val="1"/>
                <w:szCs w:val="1"/>
                <w:color w:val="auto"/>
              </w:rPr>
            </w:pPr>
          </w:p>
        </w:tc>
      </w:tr>
      <w:tr>
        <w:trPr>
          <w:trHeight w:val="193"/>
        </w:trPr>
        <w:tc>
          <w:tcPr>
            <w:tcW w:w="94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Return ($) (4)</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Return ($) (4)</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4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838" w:orient="portrait"/>
          <w:cols w:equalWidth="0" w:num="2">
            <w:col w:w="6980" w:space="300"/>
            <w:col w:w="3960"/>
          </w:cols>
          <w:pgMar w:left="320" w:top="118" w:right="3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r>
      <w:tr>
        <w:trPr>
          <w:trHeight w:val="186"/>
        </w:trPr>
        <w:tc>
          <w:tcPr>
            <w:tcW w:w="4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7,597,366</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3"/>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8,643,105</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   $</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1,563,983</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1,768,230</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440" w:type="dxa"/>
            <w:vAlign w:val="bottom"/>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189,256</w:t>
            </w:r>
          </w:p>
        </w:tc>
        <w:tc>
          <w:tcPr>
            <w:tcW w:w="2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236,638</w:t>
            </w:r>
          </w:p>
        </w:tc>
      </w:tr>
      <w:tr>
        <w:trPr>
          <w:trHeight w:val="195"/>
        </w:trPr>
        <w:tc>
          <w:tcPr>
            <w:tcW w:w="4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6,047,628</w:t>
            </w:r>
          </w:p>
        </w:tc>
        <w:tc>
          <w:tcPr>
            <w:tcW w:w="240" w:type="dxa"/>
            <w:vAlign w:val="bottom"/>
          </w:tcPr>
          <w:p>
            <w:pPr>
              <w:spacing w:after="0"/>
              <w:rPr>
                <w:sz w:val="16"/>
                <w:szCs w:val="16"/>
                <w:color w:val="auto"/>
              </w:rPr>
            </w:pPr>
          </w:p>
        </w:tc>
        <w:tc>
          <w:tcPr>
            <w:tcW w:w="106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8,594,765</w:t>
            </w:r>
          </w:p>
        </w:tc>
        <w:tc>
          <w:tcPr>
            <w:tcW w:w="240" w:type="dxa"/>
            <w:vAlign w:val="bottom"/>
          </w:tcPr>
          <w:p>
            <w:pPr>
              <w:spacing w:after="0"/>
              <w:rPr>
                <w:sz w:val="16"/>
                <w:szCs w:val="16"/>
                <w:color w:val="auto"/>
              </w:rPr>
            </w:pPr>
          </w:p>
        </w:tc>
        <w:tc>
          <w:tcPr>
            <w:tcW w:w="1160" w:type="dxa"/>
            <w:vAlign w:val="bottom"/>
            <w:gridSpan w:val="3"/>
          </w:tcPr>
          <w:p>
            <w:pPr>
              <w:jc w:val="right"/>
              <w:ind w:right="48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1,344,912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1,708,664</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4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197,215</w:t>
            </w:r>
          </w:p>
        </w:tc>
        <w:tc>
          <w:tcPr>
            <w:tcW w:w="2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243,414</w:t>
            </w:r>
          </w:p>
        </w:tc>
      </w:tr>
      <w:tr>
        <w:trPr>
          <w:trHeight w:val="210"/>
        </w:trPr>
        <w:tc>
          <w:tcPr>
            <w:tcW w:w="4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3,242,497</w:t>
            </w:r>
          </w:p>
        </w:tc>
        <w:tc>
          <w:tcPr>
            <w:tcW w:w="2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3,538,707</w:t>
            </w:r>
          </w:p>
        </w:tc>
        <w:tc>
          <w:tcPr>
            <w:tcW w:w="2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1,451,355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1,168,258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174,857</w:t>
            </w: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225,213</w:t>
            </w:r>
          </w:p>
        </w:tc>
      </w:tr>
      <w:tr>
        <w:trPr>
          <w:trHeight w:val="195"/>
        </w:trPr>
        <w:tc>
          <w:tcPr>
            <w:tcW w:w="4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3,968,554</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5,196,015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3,495,286</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1,943,107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1,033,900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737,420</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4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149,979</w:t>
            </w:r>
          </w:p>
        </w:tc>
        <w:tc>
          <w:tcPr>
            <w:tcW w:w="2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193,012</w:t>
            </w:r>
          </w:p>
        </w:tc>
      </w:tr>
      <w:tr>
        <w:trPr>
          <w:trHeight w:val="210"/>
        </w:trPr>
        <w:tc>
          <w:tcPr>
            <w:tcW w:w="4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6,006,185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7,053,521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1,454,883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1,664,845</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129,659</w:t>
            </w: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167,127</w:t>
            </w:r>
          </w:p>
        </w:tc>
      </w:tr>
    </w:tbl>
    <w:p>
      <w:pPr>
        <w:spacing w:after="0" w:line="238" w:lineRule="exact"/>
        <w:rPr>
          <w:sz w:val="20"/>
          <w:szCs w:val="20"/>
          <w:color w:val="auto"/>
        </w:rPr>
      </w:pPr>
    </w:p>
    <w:p>
      <w:pPr>
        <w:jc w:val="both"/>
        <w:ind w:left="660" w:hanging="328"/>
        <w:spacing w:after="0" w:line="257" w:lineRule="auto"/>
        <w:tabs>
          <w:tab w:leader="none" w:pos="65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fiscal 2022, J. Michael Nauman retired as the Company's PEO effective April 1, 2022. Effective that same day, Russell R. Shaller was appointed the Company's new PEO. Compensation information is provided separately for each PEO. Mr. Nauman was also the Company's PEO for fiscal 2021.</w:t>
      </w:r>
    </w:p>
    <w:p>
      <w:pPr>
        <w:spacing w:after="0" w:line="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non-PEO NEOs for each fiscal year were as follows:</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2025: Ann E. Thornton, Olivier Bojarski, Thomas F. DeBruine, and Andrew T. Gorman</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2024: Ann E. Thornton, Olivier Bojarski, Thomas F. DeBruine, and Andrew T. Gorman</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2023: Ann E. Thornton, Olivier Bojarski, Bentley N. Curran, Andrew T. Gorman, Pascal Deman, and Aaron J. Pearce</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2022: Aaron J. Pearce, Bentley N. Curran, Pascal Deman, Andrew T. Gorman, and Helena R. Nelligan</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2021: Aaron J. Pearce, Bentley N. Curran, Helena R. Nelligan, and Russell R. Shaller</w:t>
      </w:r>
    </w:p>
    <w:p>
      <w:pPr>
        <w:spacing w:after="0" w:line="9" w:lineRule="exact"/>
        <w:rPr>
          <w:sz w:val="20"/>
          <w:szCs w:val="20"/>
          <w:color w:val="auto"/>
        </w:rPr>
      </w:pPr>
    </w:p>
    <w:p>
      <w:pPr>
        <w:jc w:val="both"/>
        <w:ind w:left="660" w:hanging="328"/>
        <w:spacing w:after="0" w:line="250" w:lineRule="auto"/>
        <w:tabs>
          <w:tab w:leader="none" w:pos="65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shown for CAP have been calculated in accordance with Item 402(v) of Regulation S-K and do not reflect compensation actually realized or received by the Company’s NEOs. These amounts reflect total compensation as set forth in the Summary Compensation Table above for each year, adjusted as described in the reconciliation tables below.</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5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Peer Group TSR set forth in this table utilizes the S&amp;P SmallCap 600 Industrials Index, which we also utilize in the stock performance graph required by Item 201(e) of Regulation S-K included in Item 5. Market for Registrant’s Common Equity, Related Stockholder Matters and Issuer Purchases of Equity Securities above. The comparison assumes $100 was invested for the period starting July 31, 2020, through the end of the listed year in the Company and in the S&amp;P SmallCap 600 Industrials Index, respectively. Historical stock performance is not necessarily indicative of future stock performance.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Reconciliation of PEO SCT Total to CAP Reconciliation</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i w:val="1"/>
                <w:iCs w:val="1"/>
                <w:color w:val="auto"/>
              </w:rPr>
              <w:t>Less:</w:t>
            </w:r>
          </w:p>
        </w:tc>
        <w:tc>
          <w:tcPr>
            <w:tcW w:w="420" w:type="dxa"/>
            <w:vAlign w:val="bottom"/>
          </w:tcPr>
          <w:p>
            <w:pPr>
              <w:spacing w:after="0"/>
              <w:rPr>
                <w:sz w:val="13"/>
                <w:szCs w:val="13"/>
                <w:color w:val="auto"/>
              </w:rPr>
            </w:pPr>
          </w:p>
        </w:tc>
        <w:tc>
          <w:tcPr>
            <w:tcW w:w="148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i w:val="1"/>
                <w:iCs w:val="1"/>
                <w:color w:val="auto"/>
              </w:rPr>
              <w:t>Plus:</w:t>
            </w:r>
          </w:p>
        </w:tc>
        <w:tc>
          <w:tcPr>
            <w:tcW w:w="3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940" w:type="dxa"/>
            <w:vAlign w:val="bottom"/>
            <w:gridSpan w:val="2"/>
            <w:vMerge w:val="restart"/>
          </w:tcPr>
          <w:p>
            <w:pPr>
              <w:ind w:left="78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88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PEO Name</w:t>
            </w:r>
          </w:p>
        </w:tc>
        <w:tc>
          <w:tcPr>
            <w:tcW w:w="320" w:type="dxa"/>
            <w:vAlign w:val="bottom"/>
          </w:tcPr>
          <w:p>
            <w:pPr>
              <w:spacing w:after="0"/>
              <w:rPr>
                <w:sz w:val="11"/>
                <w:szCs w:val="11"/>
                <w:color w:val="auto"/>
              </w:rPr>
            </w:pPr>
          </w:p>
        </w:tc>
        <w:tc>
          <w:tcPr>
            <w:tcW w:w="15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SCT Total</w:t>
            </w:r>
          </w:p>
        </w:tc>
        <w:tc>
          <w:tcPr>
            <w:tcW w:w="80" w:type="dxa"/>
            <w:vAlign w:val="bottom"/>
          </w:tcPr>
          <w:p>
            <w:pPr>
              <w:spacing w:after="0"/>
              <w:rPr>
                <w:sz w:val="11"/>
                <w:szCs w:val="11"/>
                <w:color w:val="auto"/>
              </w:rPr>
            </w:pPr>
          </w:p>
        </w:tc>
        <w:tc>
          <w:tcPr>
            <w:tcW w:w="1780" w:type="dxa"/>
            <w:vAlign w:val="bottom"/>
            <w:gridSpan w:val="2"/>
          </w:tcPr>
          <w:p>
            <w:pPr>
              <w:jc w:val="center"/>
              <w:ind w:right="180"/>
              <w:spacing w:after="0" w:line="137" w:lineRule="exact"/>
              <w:rPr>
                <w:sz w:val="20"/>
                <w:szCs w:val="20"/>
                <w:color w:val="auto"/>
              </w:rPr>
            </w:pPr>
            <w:r>
              <w:rPr>
                <w:rFonts w:ascii="Times New Roman" w:cs="Times New Roman" w:eastAsia="Times New Roman" w:hAnsi="Times New Roman"/>
                <w:sz w:val="14"/>
                <w:szCs w:val="14"/>
                <w:b w:val="1"/>
                <w:bCs w:val="1"/>
                <w:color w:val="auto"/>
              </w:rPr>
              <w:t>Reported Value of Equity</w:t>
            </w:r>
          </w:p>
        </w:tc>
        <w:tc>
          <w:tcPr>
            <w:tcW w:w="1900" w:type="dxa"/>
            <w:vAlign w:val="bottom"/>
            <w:gridSpan w:val="3"/>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Equity Award Adjustments</w:t>
            </w:r>
          </w:p>
        </w:tc>
        <w:tc>
          <w:tcPr>
            <w:tcW w:w="300" w:type="dxa"/>
            <w:vAlign w:val="bottom"/>
          </w:tcPr>
          <w:p>
            <w:pPr>
              <w:spacing w:after="0"/>
              <w:rPr>
                <w:sz w:val="11"/>
                <w:szCs w:val="11"/>
                <w:color w:val="auto"/>
              </w:rPr>
            </w:pPr>
          </w:p>
        </w:tc>
        <w:tc>
          <w:tcPr>
            <w:tcW w:w="1480" w:type="dxa"/>
            <w:vAlign w:val="bottom"/>
            <w:vMerge w:val="restart"/>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CAP to PEO</w:t>
            </w:r>
          </w:p>
        </w:tc>
        <w:tc>
          <w:tcPr>
            <w:tcW w:w="0" w:type="dxa"/>
            <w:vAlign w:val="bottom"/>
          </w:tcPr>
          <w:p>
            <w:pPr>
              <w:spacing w:after="0"/>
              <w:rPr>
                <w:sz w:val="1"/>
                <w:szCs w:val="1"/>
                <w:color w:val="auto"/>
              </w:rPr>
            </w:pPr>
          </w:p>
        </w:tc>
      </w:tr>
      <w:tr>
        <w:trPr>
          <w:trHeight w:val="190"/>
        </w:trPr>
        <w:tc>
          <w:tcPr>
            <w:tcW w:w="1940" w:type="dxa"/>
            <w:vAlign w:val="bottom"/>
            <w:gridSpan w:val="2"/>
            <w:vMerge w:val="continue"/>
          </w:tcPr>
          <w:p>
            <w:pPr>
              <w:spacing w:after="0"/>
              <w:rPr>
                <w:sz w:val="16"/>
                <w:szCs w:val="16"/>
                <w:color w:val="auto"/>
              </w:rPr>
            </w:pPr>
          </w:p>
        </w:tc>
        <w:tc>
          <w:tcPr>
            <w:tcW w:w="188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7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Awards (1)</w:t>
            </w:r>
          </w:p>
        </w:tc>
        <w:tc>
          <w:tcPr>
            <w:tcW w:w="420" w:type="dxa"/>
            <w:vAlign w:val="bottom"/>
          </w:tcPr>
          <w:p>
            <w:pPr>
              <w:spacing w:after="0"/>
              <w:rPr>
                <w:sz w:val="16"/>
                <w:szCs w:val="16"/>
                <w:color w:val="auto"/>
              </w:rPr>
            </w:pPr>
          </w:p>
        </w:tc>
        <w:tc>
          <w:tcPr>
            <w:tcW w:w="1360" w:type="dxa"/>
            <w:vAlign w:val="bottom"/>
          </w:tcPr>
          <w:p>
            <w:pPr>
              <w:jc w:val="center"/>
              <w:ind w:right="328"/>
              <w:spacing w:after="0"/>
              <w:rPr>
                <w:sz w:val="20"/>
                <w:szCs w:val="20"/>
                <w:color w:val="auto"/>
              </w:rPr>
            </w:pPr>
            <w:r>
              <w:rPr>
                <w:rFonts w:ascii="Times New Roman" w:cs="Times New Roman" w:eastAsia="Times New Roman" w:hAnsi="Times New Roman"/>
                <w:sz w:val="14"/>
                <w:szCs w:val="14"/>
                <w:b w:val="1"/>
                <w:bCs w:val="1"/>
                <w:color w:val="auto"/>
                <w:w w:val="97"/>
              </w:rPr>
              <w:t>(2)</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840" w:type="dxa"/>
            <w:vAlign w:val="bottom"/>
            <w:shd w:val="clear" w:color="auto" w:fill="CCEEFF"/>
          </w:tcPr>
          <w:p>
            <w:pPr>
              <w:jc w:val="right"/>
              <w:ind w:right="1448"/>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shd w:val="clear" w:color="auto" w:fill="CCEEFF"/>
          </w:tcPr>
          <w:p>
            <w:pPr>
              <w:spacing w:after="0"/>
              <w:rPr>
                <w:sz w:val="17"/>
                <w:szCs w:val="17"/>
                <w:color w:val="auto"/>
              </w:rPr>
            </w:pPr>
          </w:p>
        </w:tc>
        <w:tc>
          <w:tcPr>
            <w:tcW w:w="1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Russel R. Shaller</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7,597,366</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4,990,208</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6,035,947</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8,643,105</w:t>
            </w:r>
          </w:p>
        </w:tc>
        <w:tc>
          <w:tcPr>
            <w:tcW w:w="0" w:type="dxa"/>
            <w:vAlign w:val="bottom"/>
          </w:tcPr>
          <w:p>
            <w:pPr>
              <w:spacing w:after="0"/>
              <w:rPr>
                <w:sz w:val="1"/>
                <w:szCs w:val="1"/>
                <w:color w:val="auto"/>
              </w:rPr>
            </w:pPr>
          </w:p>
        </w:tc>
      </w:tr>
      <w:tr>
        <w:trPr>
          <w:trHeight w:val="195"/>
        </w:trPr>
        <w:tc>
          <w:tcPr>
            <w:tcW w:w="1840" w:type="dxa"/>
            <w:vAlign w:val="bottom"/>
          </w:tcPr>
          <w:p>
            <w:pPr>
              <w:jc w:val="right"/>
              <w:ind w:right="1448"/>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6"/>
                <w:szCs w:val="16"/>
                <w:color w:val="auto"/>
              </w:rPr>
            </w:pPr>
          </w:p>
        </w:tc>
        <w:tc>
          <w:tcPr>
            <w:tcW w:w="1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Russell R. Shaller</w:t>
            </w:r>
          </w:p>
        </w:tc>
        <w:tc>
          <w:tcPr>
            <w:tcW w:w="3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6,047,628</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3,551,028</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6,098,165</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8,594,765</w:t>
            </w:r>
          </w:p>
        </w:tc>
        <w:tc>
          <w:tcPr>
            <w:tcW w:w="0" w:type="dxa"/>
            <w:vAlign w:val="bottom"/>
          </w:tcPr>
          <w:p>
            <w:pPr>
              <w:spacing w:after="0"/>
              <w:rPr>
                <w:sz w:val="1"/>
                <w:szCs w:val="1"/>
                <w:color w:val="auto"/>
              </w:rPr>
            </w:pPr>
          </w:p>
        </w:tc>
      </w:tr>
      <w:tr>
        <w:trPr>
          <w:trHeight w:val="210"/>
        </w:trPr>
        <w:tc>
          <w:tcPr>
            <w:tcW w:w="1840" w:type="dxa"/>
            <w:vAlign w:val="bottom"/>
            <w:shd w:val="clear" w:color="auto" w:fill="CCEEFF"/>
          </w:tcPr>
          <w:p>
            <w:pPr>
              <w:jc w:val="right"/>
              <w:ind w:right="1448"/>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Russell R. Shaller</w:t>
            </w: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3,242,497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1,164,390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1,460,600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3,538,707</w:t>
            </w:r>
          </w:p>
        </w:tc>
        <w:tc>
          <w:tcPr>
            <w:tcW w:w="0" w:type="dxa"/>
            <w:vAlign w:val="bottom"/>
          </w:tcPr>
          <w:p>
            <w:pPr>
              <w:spacing w:after="0"/>
              <w:rPr>
                <w:sz w:val="1"/>
                <w:szCs w:val="1"/>
                <w:color w:val="auto"/>
              </w:rPr>
            </w:pPr>
          </w:p>
        </w:tc>
      </w:tr>
      <w:tr>
        <w:trPr>
          <w:trHeight w:val="195"/>
        </w:trPr>
        <w:tc>
          <w:tcPr>
            <w:tcW w:w="1840" w:type="dxa"/>
            <w:vAlign w:val="bottom"/>
          </w:tcPr>
          <w:p>
            <w:pPr>
              <w:jc w:val="right"/>
              <w:ind w:right="1448"/>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Pr>
          <w:p>
            <w:pPr>
              <w:spacing w:after="0"/>
              <w:rPr>
                <w:sz w:val="16"/>
                <w:szCs w:val="16"/>
                <w:color w:val="auto"/>
              </w:rPr>
            </w:pPr>
          </w:p>
        </w:tc>
        <w:tc>
          <w:tcPr>
            <w:tcW w:w="1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Russell R. Shaller</w:t>
            </w:r>
          </w:p>
        </w:tc>
        <w:tc>
          <w:tcPr>
            <w:tcW w:w="3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3,968,554</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2,608,892</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2,135,624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3,495,286</w:t>
            </w:r>
          </w:p>
        </w:tc>
        <w:tc>
          <w:tcPr>
            <w:tcW w:w="0" w:type="dxa"/>
            <w:vAlign w:val="bottom"/>
          </w:tcPr>
          <w:p>
            <w:pPr>
              <w:spacing w:after="0"/>
              <w:rPr>
                <w:sz w:val="1"/>
                <w:szCs w:val="1"/>
                <w:color w:val="auto"/>
              </w:rPr>
            </w:pPr>
          </w:p>
        </w:tc>
      </w:tr>
      <w:tr>
        <w:trPr>
          <w:trHeight w:val="210"/>
        </w:trPr>
        <w:tc>
          <w:tcPr>
            <w:tcW w:w="1840" w:type="dxa"/>
            <w:vAlign w:val="bottom"/>
            <w:shd w:val="clear" w:color="auto" w:fill="CCEEFF"/>
          </w:tcPr>
          <w:p>
            <w:pPr>
              <w:jc w:val="right"/>
              <w:ind w:right="1448"/>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 Michael Nauman</w:t>
            </w: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5,196,015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3,319,962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67,054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1,943,107</w:t>
            </w:r>
          </w:p>
        </w:tc>
        <w:tc>
          <w:tcPr>
            <w:tcW w:w="0" w:type="dxa"/>
            <w:vAlign w:val="bottom"/>
          </w:tcPr>
          <w:p>
            <w:pPr>
              <w:spacing w:after="0"/>
              <w:rPr>
                <w:sz w:val="1"/>
                <w:szCs w:val="1"/>
                <w:color w:val="auto"/>
              </w:rPr>
            </w:pPr>
          </w:p>
        </w:tc>
      </w:tr>
      <w:tr>
        <w:trPr>
          <w:trHeight w:val="188"/>
        </w:trPr>
        <w:tc>
          <w:tcPr>
            <w:tcW w:w="1840" w:type="dxa"/>
            <w:vAlign w:val="bottom"/>
          </w:tcPr>
          <w:p>
            <w:pPr>
              <w:jc w:val="right"/>
              <w:ind w:right="1448"/>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Pr>
          <w:p>
            <w:pPr>
              <w:spacing w:after="0"/>
              <w:rPr>
                <w:sz w:val="16"/>
                <w:szCs w:val="16"/>
                <w:color w:val="auto"/>
              </w:rPr>
            </w:pPr>
          </w:p>
        </w:tc>
        <w:tc>
          <w:tcPr>
            <w:tcW w:w="1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J. Michael Nauman</w:t>
            </w:r>
          </w:p>
        </w:tc>
        <w:tc>
          <w:tcPr>
            <w:tcW w:w="3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6,006,185</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3,303,853</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4,351,189</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7,053,521</w:t>
            </w:r>
          </w:p>
        </w:tc>
        <w:tc>
          <w:tcPr>
            <w:tcW w:w="0" w:type="dxa"/>
            <w:vAlign w:val="bottom"/>
          </w:tcPr>
          <w:p>
            <w:pPr>
              <w:spacing w:after="0"/>
              <w:rPr>
                <w:sz w:val="1"/>
                <w:szCs w:val="1"/>
                <w:color w:val="auto"/>
              </w:rPr>
            </w:pPr>
          </w:p>
        </w:tc>
      </w:tr>
    </w:tbl>
    <w:p>
      <w:pPr>
        <w:spacing w:after="0" w:line="239" w:lineRule="exact"/>
        <w:rPr>
          <w:sz w:val="20"/>
          <w:szCs w:val="20"/>
          <w:color w:val="auto"/>
        </w:rPr>
      </w:pPr>
    </w:p>
    <w:p>
      <w:pPr>
        <w:jc w:val="both"/>
        <w:ind w:left="660" w:hanging="328"/>
        <w:spacing w:after="0" w:line="266" w:lineRule="auto"/>
        <w:tabs>
          <w:tab w:leader="none" w:pos="65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reported value of equity awards represents the grant date fair value of equity-based awards granted each year. The total of the amounts reported in this column are the totals from the “Stock Awards” and “Option Awards” columns in the Summary Compensation Table for each applicable year.</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89" w:name="page90"/>
    <w:bookmarkEnd w:id="8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660" w:hanging="328"/>
        <w:spacing w:after="0" w:line="266" w:lineRule="auto"/>
        <w:tabs>
          <w:tab w:leader="none" w:pos="65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equity award adjustments reflects the value of equity calculated in accordance with the SEC methodology for determining CAP for each year shown. These equity award adjustments are set forth in the PEO Equity Award Adjustments table below. For the equity values included in the below table, the valuation assumptions used to calculate fair values did not materially differ from those disclosed at the time of the grant.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PEO Equity Award Adjustments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Fair Value of</w:t>
            </w:r>
          </w:p>
        </w:tc>
        <w:tc>
          <w:tcPr>
            <w:tcW w:w="100" w:type="dxa"/>
            <w:vAlign w:val="bottom"/>
          </w:tcPr>
          <w:p>
            <w:pPr>
              <w:spacing w:after="0"/>
              <w:rPr>
                <w:sz w:val="13"/>
                <w:szCs w:val="13"/>
                <w:color w:val="auto"/>
              </w:rPr>
            </w:pPr>
          </w:p>
        </w:tc>
        <w:tc>
          <w:tcPr>
            <w:tcW w:w="14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Year over Year</w:t>
            </w:r>
          </w:p>
        </w:tc>
        <w:tc>
          <w:tcPr>
            <w:tcW w:w="120" w:type="dxa"/>
            <w:vAlign w:val="bottom"/>
          </w:tcPr>
          <w:p>
            <w:pPr>
              <w:spacing w:after="0"/>
              <w:rPr>
                <w:sz w:val="13"/>
                <w:szCs w:val="13"/>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Year over Year</w:t>
            </w:r>
          </w:p>
        </w:tc>
        <w:tc>
          <w:tcPr>
            <w:tcW w:w="14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Fair Value of Awards</w:t>
            </w: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480" w:type="dxa"/>
            <w:vAlign w:val="bottom"/>
            <w:gridSpan w:val="3"/>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Change in Fair Value</w:t>
            </w:r>
          </w:p>
        </w:tc>
        <w:tc>
          <w:tcPr>
            <w:tcW w:w="14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Incremental Fair</w:t>
            </w:r>
          </w:p>
        </w:tc>
        <w:tc>
          <w:tcPr>
            <w:tcW w:w="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and</w:t>
            </w:r>
          </w:p>
        </w:tc>
        <w:tc>
          <w:tcPr>
            <w:tcW w:w="150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Change in Fair Value</w:t>
            </w:r>
          </w:p>
        </w:tc>
        <w:tc>
          <w:tcPr>
            <w:tcW w:w="120" w:type="dxa"/>
            <w:vAlign w:val="bottom"/>
          </w:tcPr>
          <w:p>
            <w:pPr>
              <w:spacing w:after="0"/>
              <w:rPr>
                <w:sz w:val="12"/>
                <w:szCs w:val="12"/>
                <w:color w:val="auto"/>
              </w:rPr>
            </w:pPr>
          </w:p>
        </w:tc>
        <w:tc>
          <w:tcPr>
            <w:tcW w:w="13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of Equity Awards</w:t>
            </w:r>
          </w:p>
        </w:tc>
        <w:tc>
          <w:tcPr>
            <w:tcW w:w="120" w:type="dxa"/>
            <w:vAlign w:val="bottom"/>
          </w:tcPr>
          <w:p>
            <w:pPr>
              <w:spacing w:after="0"/>
              <w:rPr>
                <w:sz w:val="12"/>
                <w:szCs w:val="12"/>
                <w:color w:val="auto"/>
              </w:rPr>
            </w:pPr>
          </w:p>
        </w:tc>
        <w:tc>
          <w:tcPr>
            <w:tcW w:w="13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Granted in Prior</w:t>
            </w:r>
          </w:p>
        </w:tc>
        <w:tc>
          <w:tcPr>
            <w:tcW w:w="1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4"/>
                <w:szCs w:val="14"/>
                <w:b w:val="1"/>
                <w:bCs w:val="1"/>
                <w:color w:val="auto"/>
              </w:rPr>
              <w:t>Unvested Equity</w:t>
            </w:r>
          </w:p>
        </w:tc>
        <w:tc>
          <w:tcPr>
            <w:tcW w:w="100" w:type="dxa"/>
            <w:vAlign w:val="bottom"/>
          </w:tcPr>
          <w:p>
            <w:pPr>
              <w:spacing w:after="0"/>
              <w:rPr>
                <w:sz w:val="11"/>
                <w:szCs w:val="11"/>
                <w:color w:val="auto"/>
              </w:rPr>
            </w:pPr>
          </w:p>
        </w:tc>
        <w:tc>
          <w:tcPr>
            <w:tcW w:w="14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4"/>
                <w:szCs w:val="14"/>
                <w:b w:val="1"/>
                <w:bCs w:val="1"/>
                <w:color w:val="auto"/>
              </w:rPr>
              <w:t>of Outstanding and</w:t>
            </w:r>
          </w:p>
        </w:tc>
        <w:tc>
          <w:tcPr>
            <w:tcW w:w="120" w:type="dxa"/>
            <w:vAlign w:val="bottom"/>
          </w:tcPr>
          <w:p>
            <w:pPr>
              <w:spacing w:after="0"/>
              <w:rPr>
                <w:sz w:val="11"/>
                <w:szCs w:val="11"/>
                <w:color w:val="auto"/>
              </w:rPr>
            </w:pPr>
          </w:p>
        </w:tc>
        <w:tc>
          <w:tcPr>
            <w:tcW w:w="136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Granted in Prior</w:t>
            </w:r>
          </w:p>
        </w:tc>
        <w:tc>
          <w:tcPr>
            <w:tcW w:w="120" w:type="dxa"/>
            <w:vAlign w:val="bottom"/>
          </w:tcPr>
          <w:p>
            <w:pPr>
              <w:spacing w:after="0"/>
              <w:rPr>
                <w:sz w:val="11"/>
                <w:szCs w:val="11"/>
                <w:color w:val="auto"/>
              </w:rPr>
            </w:pPr>
          </w:p>
        </w:tc>
        <w:tc>
          <w:tcPr>
            <w:tcW w:w="136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Years that were</w:t>
            </w:r>
          </w:p>
        </w:tc>
        <w:tc>
          <w:tcPr>
            <w:tcW w:w="140" w:type="dxa"/>
            <w:vAlign w:val="bottom"/>
          </w:tcPr>
          <w:p>
            <w:pPr>
              <w:spacing w:after="0"/>
              <w:rPr>
                <w:sz w:val="11"/>
                <w:szCs w:val="11"/>
                <w:color w:val="auto"/>
              </w:rPr>
            </w:pPr>
          </w:p>
        </w:tc>
        <w:tc>
          <w:tcPr>
            <w:tcW w:w="134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Value of Awards</w:t>
            </w:r>
          </w:p>
        </w:tc>
        <w:tc>
          <w:tcPr>
            <w:tcW w:w="180" w:type="dxa"/>
            <w:vAlign w:val="bottom"/>
          </w:tcPr>
          <w:p>
            <w:pPr>
              <w:spacing w:after="0"/>
              <w:rPr>
                <w:sz w:val="11"/>
                <w:szCs w:val="11"/>
                <w:color w:val="auto"/>
              </w:rPr>
            </w:pPr>
          </w:p>
        </w:tc>
        <w:tc>
          <w:tcPr>
            <w:tcW w:w="122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Equity Award</w:t>
            </w:r>
          </w:p>
        </w:tc>
        <w:tc>
          <w:tcPr>
            <w:tcW w:w="0" w:type="dxa"/>
            <w:vAlign w:val="bottom"/>
          </w:tcPr>
          <w:p>
            <w:pPr>
              <w:spacing w:after="0"/>
              <w:rPr>
                <w:sz w:val="1"/>
                <w:szCs w:val="1"/>
                <w:color w:val="auto"/>
              </w:rPr>
            </w:pPr>
          </w:p>
        </w:tc>
      </w:tr>
      <w:tr>
        <w:trPr>
          <w:trHeight w:val="149"/>
        </w:trPr>
        <w:tc>
          <w:tcPr>
            <w:tcW w:w="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78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PEO Name</w:t>
            </w:r>
          </w:p>
        </w:tc>
        <w:tc>
          <w:tcPr>
            <w:tcW w:w="100" w:type="dxa"/>
            <w:vAlign w:val="bottom"/>
          </w:tcPr>
          <w:p>
            <w:pPr>
              <w:spacing w:after="0"/>
              <w:rPr>
                <w:sz w:val="12"/>
                <w:szCs w:val="12"/>
                <w:color w:val="auto"/>
              </w:rPr>
            </w:pPr>
          </w:p>
        </w:tc>
        <w:tc>
          <w:tcPr>
            <w:tcW w:w="13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Awards Granted in</w:t>
            </w:r>
          </w:p>
        </w:tc>
        <w:tc>
          <w:tcPr>
            <w:tcW w:w="100" w:type="dxa"/>
            <w:vAlign w:val="bottom"/>
          </w:tcPr>
          <w:p>
            <w:pPr>
              <w:spacing w:after="0"/>
              <w:rPr>
                <w:sz w:val="12"/>
                <w:szCs w:val="12"/>
                <w:color w:val="auto"/>
              </w:rPr>
            </w:pPr>
          </w:p>
        </w:tc>
        <w:tc>
          <w:tcPr>
            <w:tcW w:w="14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Unvested Equity</w:t>
            </w:r>
          </w:p>
        </w:tc>
        <w:tc>
          <w:tcPr>
            <w:tcW w:w="148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Years that Vested in</w:t>
            </w:r>
          </w:p>
        </w:tc>
        <w:tc>
          <w:tcPr>
            <w:tcW w:w="148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Forfeited During the</w:t>
            </w:r>
          </w:p>
        </w:tc>
        <w:tc>
          <w:tcPr>
            <w:tcW w:w="148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Modified During the</w:t>
            </w:r>
          </w:p>
        </w:tc>
        <w:tc>
          <w:tcPr>
            <w:tcW w:w="18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600" w:type="dxa"/>
            <w:vAlign w:val="bottom"/>
            <w:gridSpan w:val="2"/>
            <w:vMerge w:val="continue"/>
          </w:tcPr>
          <w:p>
            <w:pPr>
              <w:spacing w:after="0"/>
              <w:rPr>
                <w:sz w:val="17"/>
                <w:szCs w:val="17"/>
                <w:color w:val="auto"/>
              </w:rPr>
            </w:pPr>
          </w:p>
        </w:tc>
        <w:tc>
          <w:tcPr>
            <w:tcW w:w="17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the Year</w:t>
            </w:r>
          </w:p>
        </w:tc>
        <w:tc>
          <w:tcPr>
            <w:tcW w:w="100" w:type="dxa"/>
            <w:vAlign w:val="bottom"/>
          </w:tcPr>
          <w:p>
            <w:pPr>
              <w:spacing w:after="0"/>
              <w:rPr>
                <w:sz w:val="17"/>
                <w:szCs w:val="17"/>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120" w:type="dxa"/>
            <w:vAlign w:val="bottom"/>
          </w:tcPr>
          <w:p>
            <w:pPr>
              <w:spacing w:after="0"/>
              <w:rPr>
                <w:sz w:val="17"/>
                <w:szCs w:val="17"/>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the Year</w:t>
            </w:r>
          </w:p>
        </w:tc>
        <w:tc>
          <w:tcPr>
            <w:tcW w:w="120" w:type="dxa"/>
            <w:vAlign w:val="bottom"/>
          </w:tcPr>
          <w:p>
            <w:pPr>
              <w:spacing w:after="0"/>
              <w:rPr>
                <w:sz w:val="17"/>
                <w:szCs w:val="17"/>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4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80" w:type="dxa"/>
            <w:vAlign w:val="bottom"/>
          </w:tcPr>
          <w:p>
            <w:pPr>
              <w:spacing w:after="0"/>
              <w:rPr>
                <w:sz w:val="17"/>
                <w:szCs w:val="17"/>
                <w:color w:val="auto"/>
              </w:rPr>
            </w:pPr>
          </w:p>
        </w:tc>
        <w:tc>
          <w:tcPr>
            <w:tcW w:w="122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0" w:type="dxa"/>
            <w:vAlign w:val="bottom"/>
          </w:tcPr>
          <w:p>
            <w:pPr>
              <w:spacing w:after="0"/>
              <w:rPr>
                <w:sz w:val="1"/>
                <w:szCs w:val="1"/>
                <w:color w:val="auto"/>
              </w:rPr>
            </w:pPr>
          </w:p>
        </w:tc>
      </w:tr>
      <w:tr>
        <w:trPr>
          <w:trHeight w:val="201"/>
        </w:trPr>
        <w:tc>
          <w:tcPr>
            <w:tcW w:w="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Russell R. Shaller</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5,076,737</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764,246</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4,002</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190,962</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6,035,947</w:t>
            </w:r>
          </w:p>
        </w:tc>
        <w:tc>
          <w:tcPr>
            <w:tcW w:w="0" w:type="dxa"/>
            <w:vAlign w:val="bottom"/>
          </w:tcPr>
          <w:p>
            <w:pPr>
              <w:spacing w:after="0"/>
              <w:rPr>
                <w:sz w:val="1"/>
                <w:szCs w:val="1"/>
                <w:color w:val="auto"/>
              </w:rPr>
            </w:pPr>
          </w:p>
        </w:tc>
      </w:tr>
      <w:tr>
        <w:trPr>
          <w:trHeight w:val="195"/>
        </w:trPr>
        <w:tc>
          <w:tcPr>
            <w:tcW w:w="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6"/>
                <w:szCs w:val="16"/>
                <w:color w:val="auto"/>
              </w:rPr>
            </w:pPr>
          </w:p>
        </w:tc>
        <w:tc>
          <w:tcPr>
            <w:tcW w:w="1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Russell R. Shaller</w:t>
            </w: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4,800,356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1,046,520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251,289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6,098,165</w:t>
            </w:r>
          </w:p>
        </w:tc>
        <w:tc>
          <w:tcPr>
            <w:tcW w:w="0" w:type="dxa"/>
            <w:vAlign w:val="bottom"/>
          </w:tcPr>
          <w:p>
            <w:pPr>
              <w:spacing w:after="0"/>
              <w:rPr>
                <w:sz w:val="1"/>
                <w:szCs w:val="1"/>
                <w:color w:val="auto"/>
              </w:rPr>
            </w:pPr>
          </w:p>
        </w:tc>
      </w:tr>
      <w:tr>
        <w:trPr>
          <w:trHeight w:val="210"/>
        </w:trPr>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Russell R. Shaller</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1,097,234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278,966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84,400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1,460,600</w:t>
            </w:r>
          </w:p>
        </w:tc>
        <w:tc>
          <w:tcPr>
            <w:tcW w:w="0" w:type="dxa"/>
            <w:vAlign w:val="bottom"/>
          </w:tcPr>
          <w:p>
            <w:pPr>
              <w:spacing w:after="0"/>
              <w:rPr>
                <w:sz w:val="1"/>
                <w:szCs w:val="1"/>
                <w:color w:val="auto"/>
              </w:rPr>
            </w:pPr>
          </w:p>
        </w:tc>
      </w:tr>
      <w:tr>
        <w:trPr>
          <w:trHeight w:val="195"/>
        </w:trPr>
        <w:tc>
          <w:tcPr>
            <w:tcW w:w="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Pr>
          <w:p>
            <w:pPr>
              <w:spacing w:after="0"/>
              <w:rPr>
                <w:sz w:val="16"/>
                <w:szCs w:val="16"/>
                <w:color w:val="auto"/>
              </w:rPr>
            </w:pPr>
          </w:p>
        </w:tc>
        <w:tc>
          <w:tcPr>
            <w:tcW w:w="1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Russell R. Shaller</w:t>
            </w: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2,561,417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(326,071)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(99,722)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2,135,624</w:t>
            </w:r>
          </w:p>
        </w:tc>
        <w:tc>
          <w:tcPr>
            <w:tcW w:w="0" w:type="dxa"/>
            <w:vAlign w:val="bottom"/>
          </w:tcPr>
          <w:p>
            <w:pPr>
              <w:spacing w:after="0"/>
              <w:rPr>
                <w:sz w:val="1"/>
                <w:szCs w:val="1"/>
                <w:color w:val="auto"/>
              </w:rPr>
            </w:pPr>
          </w:p>
        </w:tc>
      </w:tr>
      <w:tr>
        <w:trPr>
          <w:trHeight w:val="210"/>
        </w:trPr>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 Michael Nauman</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1,854,533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(1,058,794)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(385,483)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(343,202)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67,054</w:t>
            </w:r>
          </w:p>
        </w:tc>
        <w:tc>
          <w:tcPr>
            <w:tcW w:w="0" w:type="dxa"/>
            <w:vAlign w:val="bottom"/>
          </w:tcPr>
          <w:p>
            <w:pPr>
              <w:spacing w:after="0"/>
              <w:rPr>
                <w:sz w:val="1"/>
                <w:szCs w:val="1"/>
                <w:color w:val="auto"/>
              </w:rPr>
            </w:pPr>
          </w:p>
        </w:tc>
      </w:tr>
      <w:tr>
        <w:trPr>
          <w:trHeight w:val="188"/>
        </w:trPr>
        <w:tc>
          <w:tcPr>
            <w:tcW w:w="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Pr>
          <w:p>
            <w:pPr>
              <w:spacing w:after="0"/>
              <w:rPr>
                <w:sz w:val="16"/>
                <w:szCs w:val="16"/>
                <w:color w:val="auto"/>
              </w:rPr>
            </w:pPr>
          </w:p>
        </w:tc>
        <w:tc>
          <w:tcPr>
            <w:tcW w:w="1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J. Michael Nauman</w:t>
            </w: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4,429,964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286,408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(365,183)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4,351,189</w:t>
            </w:r>
          </w:p>
        </w:tc>
        <w:tc>
          <w:tcPr>
            <w:tcW w:w="0" w:type="dxa"/>
            <w:vAlign w:val="bottom"/>
          </w:tcPr>
          <w:p>
            <w:pPr>
              <w:spacing w:after="0"/>
              <w:rPr>
                <w:sz w:val="1"/>
                <w:szCs w:val="1"/>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Reconciliation of non-PEO NEOs (average) SCT Total to CAP Reconciliation</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76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i w:val="1"/>
                <w:iCs w:val="1"/>
                <w:color w:val="auto"/>
              </w:rPr>
              <w:t>Less:</w:t>
            </w:r>
          </w:p>
        </w:tc>
        <w:tc>
          <w:tcPr>
            <w:tcW w:w="120" w:type="dxa"/>
            <w:vAlign w:val="bottom"/>
          </w:tcPr>
          <w:p>
            <w:pPr>
              <w:spacing w:after="0"/>
              <w:rPr>
                <w:sz w:val="13"/>
                <w:szCs w:val="13"/>
                <w:color w:val="auto"/>
              </w:rPr>
            </w:pPr>
          </w:p>
        </w:tc>
        <w:tc>
          <w:tcPr>
            <w:tcW w:w="21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i w:val="1"/>
                <w:iCs w:val="1"/>
                <w:color w:val="auto"/>
              </w:rPr>
              <w:t>Plus:</w:t>
            </w:r>
          </w:p>
        </w:tc>
        <w:tc>
          <w:tcPr>
            <w:tcW w:w="24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240" w:type="dxa"/>
            <w:vAlign w:val="bottom"/>
            <w:gridSpan w:val="2"/>
            <w:vMerge w:val="restart"/>
          </w:tcPr>
          <w:p>
            <w:pPr>
              <w:ind w:left="940"/>
              <w:spacing w:after="0"/>
              <w:rPr>
                <w:sz w:val="20"/>
                <w:szCs w:val="20"/>
                <w:color w:val="auto"/>
              </w:rPr>
            </w:pPr>
            <w:r>
              <w:rPr>
                <w:rFonts w:ascii="Times New Roman" w:cs="Times New Roman" w:eastAsia="Times New Roman" w:hAnsi="Times New Roman"/>
                <w:sz w:val="14"/>
                <w:szCs w:val="14"/>
                <w:b w:val="1"/>
                <w:bCs w:val="1"/>
                <w:color w:val="auto"/>
              </w:rPr>
              <w:t>Year</w:t>
            </w:r>
          </w:p>
        </w:tc>
        <w:tc>
          <w:tcPr>
            <w:tcW w:w="440" w:type="dxa"/>
            <w:vAlign w:val="bottom"/>
          </w:tcPr>
          <w:p>
            <w:pPr>
              <w:spacing w:after="0"/>
              <w:rPr>
                <w:sz w:val="12"/>
                <w:szCs w:val="12"/>
                <w:color w:val="auto"/>
              </w:rPr>
            </w:pPr>
          </w:p>
        </w:tc>
        <w:tc>
          <w:tcPr>
            <w:tcW w:w="184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SCT Total</w:t>
            </w:r>
          </w:p>
        </w:tc>
        <w:tc>
          <w:tcPr>
            <w:tcW w:w="226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Reported Value of Equity Awards</w:t>
            </w:r>
          </w:p>
        </w:tc>
        <w:tc>
          <w:tcPr>
            <w:tcW w:w="120" w:type="dxa"/>
            <w:vAlign w:val="bottom"/>
          </w:tcPr>
          <w:p>
            <w:pPr>
              <w:spacing w:after="0"/>
              <w:rPr>
                <w:sz w:val="12"/>
                <w:szCs w:val="12"/>
                <w:color w:val="auto"/>
              </w:rPr>
            </w:pPr>
          </w:p>
        </w:tc>
        <w:tc>
          <w:tcPr>
            <w:tcW w:w="21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CAP to NEO (average)</w:t>
            </w:r>
          </w:p>
        </w:tc>
        <w:tc>
          <w:tcPr>
            <w:tcW w:w="0" w:type="dxa"/>
            <w:vAlign w:val="bottom"/>
          </w:tcPr>
          <w:p>
            <w:pPr>
              <w:spacing w:after="0"/>
              <w:rPr>
                <w:sz w:val="1"/>
                <w:szCs w:val="1"/>
                <w:color w:val="auto"/>
              </w:rPr>
            </w:pPr>
          </w:p>
        </w:tc>
      </w:tr>
      <w:tr>
        <w:trPr>
          <w:trHeight w:val="196"/>
        </w:trPr>
        <w:tc>
          <w:tcPr>
            <w:tcW w:w="2240" w:type="dxa"/>
            <w:vAlign w:val="bottom"/>
            <w:gridSpan w:val="2"/>
            <w:vMerge w:val="continue"/>
          </w:tcPr>
          <w:p>
            <w:pPr>
              <w:spacing w:after="0"/>
              <w:rPr>
                <w:sz w:val="17"/>
                <w:szCs w:val="17"/>
                <w:color w:val="auto"/>
              </w:rPr>
            </w:pPr>
          </w:p>
        </w:tc>
        <w:tc>
          <w:tcPr>
            <w:tcW w:w="440" w:type="dxa"/>
            <w:vAlign w:val="bottom"/>
          </w:tcPr>
          <w:p>
            <w:pPr>
              <w:spacing w:after="0"/>
              <w:rPr>
                <w:sz w:val="17"/>
                <w:szCs w:val="17"/>
                <w:color w:val="auto"/>
              </w:rPr>
            </w:pPr>
          </w:p>
        </w:tc>
        <w:tc>
          <w:tcPr>
            <w:tcW w:w="1840" w:type="dxa"/>
            <w:vAlign w:val="bottom"/>
            <w:gridSpan w:val="2"/>
            <w:vMerge w:val="continue"/>
          </w:tcPr>
          <w:p>
            <w:pPr>
              <w:spacing w:after="0"/>
              <w:rPr>
                <w:sz w:val="17"/>
                <w:szCs w:val="17"/>
                <w:color w:val="auto"/>
              </w:rPr>
            </w:pPr>
          </w:p>
        </w:tc>
        <w:tc>
          <w:tcPr>
            <w:tcW w:w="500" w:type="dxa"/>
            <w:vAlign w:val="bottom"/>
          </w:tcPr>
          <w:p>
            <w:pPr>
              <w:spacing w:after="0"/>
              <w:rPr>
                <w:sz w:val="17"/>
                <w:szCs w:val="17"/>
                <w:color w:val="auto"/>
              </w:rPr>
            </w:pPr>
          </w:p>
        </w:tc>
        <w:tc>
          <w:tcPr>
            <w:tcW w:w="1660" w:type="dxa"/>
            <w:vAlign w:val="bottom"/>
          </w:tcPr>
          <w:p>
            <w:pPr>
              <w:jc w:val="center"/>
              <w:ind w:right="428"/>
              <w:spacing w:after="0"/>
              <w:rPr>
                <w:sz w:val="20"/>
                <w:szCs w:val="20"/>
                <w:color w:val="auto"/>
              </w:rPr>
            </w:pPr>
            <w:r>
              <w:rPr>
                <w:rFonts w:ascii="Times New Roman" w:cs="Times New Roman" w:eastAsia="Times New Roman" w:hAnsi="Times New Roman"/>
                <w:sz w:val="14"/>
                <w:szCs w:val="14"/>
                <w:b w:val="1"/>
                <w:bCs w:val="1"/>
                <w:color w:val="auto"/>
                <w:w w:val="97"/>
              </w:rPr>
              <w:t>(1)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Equity Award Adjustments (2)</w:t>
            </w:r>
          </w:p>
        </w:tc>
        <w:tc>
          <w:tcPr>
            <w:tcW w:w="240" w:type="dxa"/>
            <w:vAlign w:val="bottom"/>
          </w:tcPr>
          <w:p>
            <w:pPr>
              <w:spacing w:after="0"/>
              <w:rPr>
                <w:sz w:val="17"/>
                <w:szCs w:val="17"/>
                <w:color w:val="auto"/>
              </w:rPr>
            </w:pPr>
          </w:p>
        </w:tc>
        <w:tc>
          <w:tcPr>
            <w:tcW w:w="1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140" w:type="dxa"/>
            <w:vAlign w:val="bottom"/>
            <w:tcBorders>
              <w:top w:val="single" w:sz="8" w:color="auto"/>
            </w:tcBorders>
            <w:shd w:val="clear" w:color="auto" w:fill="CCEEFF"/>
          </w:tcPr>
          <w:p>
            <w:pPr>
              <w:jc w:val="right"/>
              <w:ind w:right="1748"/>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1,563,983</w:t>
            </w:r>
          </w:p>
        </w:tc>
        <w:tc>
          <w:tcPr>
            <w:tcW w:w="1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602,289</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806,536</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1,768,230</w:t>
            </w:r>
          </w:p>
        </w:tc>
        <w:tc>
          <w:tcPr>
            <w:tcW w:w="0" w:type="dxa"/>
            <w:vAlign w:val="bottom"/>
          </w:tcPr>
          <w:p>
            <w:pPr>
              <w:spacing w:after="0"/>
              <w:rPr>
                <w:sz w:val="1"/>
                <w:szCs w:val="1"/>
                <w:color w:val="auto"/>
              </w:rPr>
            </w:pPr>
          </w:p>
        </w:tc>
      </w:tr>
      <w:tr>
        <w:trPr>
          <w:trHeight w:val="195"/>
        </w:trPr>
        <w:tc>
          <w:tcPr>
            <w:tcW w:w="2140" w:type="dxa"/>
            <w:vAlign w:val="bottom"/>
          </w:tcPr>
          <w:p>
            <w:pPr>
              <w:jc w:val="right"/>
              <w:ind w:right="1748"/>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1,344,912</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473,056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836,808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1,708,664</w:t>
            </w:r>
          </w:p>
        </w:tc>
        <w:tc>
          <w:tcPr>
            <w:tcW w:w="0" w:type="dxa"/>
            <w:vAlign w:val="bottom"/>
          </w:tcPr>
          <w:p>
            <w:pPr>
              <w:spacing w:after="0"/>
              <w:rPr>
                <w:sz w:val="1"/>
                <w:szCs w:val="1"/>
                <w:color w:val="auto"/>
              </w:rPr>
            </w:pPr>
          </w:p>
        </w:tc>
      </w:tr>
      <w:tr>
        <w:trPr>
          <w:trHeight w:val="210"/>
        </w:trPr>
        <w:tc>
          <w:tcPr>
            <w:tcW w:w="2140" w:type="dxa"/>
            <w:vAlign w:val="bottom"/>
            <w:shd w:val="clear" w:color="auto" w:fill="CCEEFF"/>
          </w:tcPr>
          <w:p>
            <w:pPr>
              <w:jc w:val="right"/>
              <w:ind w:right="1748"/>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1,451,355</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660,855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377,758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1,168,258</w:t>
            </w:r>
          </w:p>
        </w:tc>
        <w:tc>
          <w:tcPr>
            <w:tcW w:w="0" w:type="dxa"/>
            <w:vAlign w:val="bottom"/>
          </w:tcPr>
          <w:p>
            <w:pPr>
              <w:spacing w:after="0"/>
              <w:rPr>
                <w:sz w:val="1"/>
                <w:szCs w:val="1"/>
                <w:color w:val="auto"/>
              </w:rPr>
            </w:pPr>
          </w:p>
        </w:tc>
      </w:tr>
      <w:tr>
        <w:trPr>
          <w:trHeight w:val="195"/>
        </w:trPr>
        <w:tc>
          <w:tcPr>
            <w:tcW w:w="2140" w:type="dxa"/>
            <w:vAlign w:val="bottom"/>
          </w:tcPr>
          <w:p>
            <w:pPr>
              <w:jc w:val="right"/>
              <w:ind w:right="1748"/>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1,033,900</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381,363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84,883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737,420</w:t>
            </w:r>
          </w:p>
        </w:tc>
        <w:tc>
          <w:tcPr>
            <w:tcW w:w="0" w:type="dxa"/>
            <w:vAlign w:val="bottom"/>
          </w:tcPr>
          <w:p>
            <w:pPr>
              <w:spacing w:after="0"/>
              <w:rPr>
                <w:sz w:val="1"/>
                <w:szCs w:val="1"/>
                <w:color w:val="auto"/>
              </w:rPr>
            </w:pPr>
          </w:p>
        </w:tc>
      </w:tr>
      <w:tr>
        <w:trPr>
          <w:trHeight w:val="210"/>
        </w:trPr>
        <w:tc>
          <w:tcPr>
            <w:tcW w:w="2140" w:type="dxa"/>
            <w:vAlign w:val="bottom"/>
            <w:shd w:val="clear" w:color="auto" w:fill="CCEEFF"/>
          </w:tcPr>
          <w:p>
            <w:pPr>
              <w:jc w:val="right"/>
              <w:ind w:right="1748"/>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1,454,883</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571,339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781,301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1,664,845</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left="660" w:hanging="328"/>
        <w:spacing w:after="0" w:line="257" w:lineRule="auto"/>
        <w:tabs>
          <w:tab w:leader="none" w:pos="65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reported value of equity awards represents the grant date fair value of equity-based awards granted each year. The total of the amounts reported in this column are the totals from the “Stock Awards” and “Option Awards” columns in the Summary Compensation Table for each applicable year.</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5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equity award adjustments reflects the value of equity calculated in accordance with the SEC methodology for determining CAP for each year shown. These equity award adjustments are set forth in the PEO Equity Award Adjustments table below. For the equity values included in the below table, the valuation assumptions used to calculate fair values did not materially differ from those disclosed at the time of the grant.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Non-PEO NEOs (average) Equity Award Adjustments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Fair Value of</w:t>
            </w:r>
          </w:p>
        </w:tc>
        <w:tc>
          <w:tcPr>
            <w:tcW w:w="16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 over Year Change</w:t>
            </w:r>
          </w:p>
        </w:tc>
        <w:tc>
          <w:tcPr>
            <w:tcW w:w="15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Year over Year Change</w:t>
            </w:r>
          </w:p>
        </w:tc>
        <w:tc>
          <w:tcPr>
            <w:tcW w:w="158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Fair Value of Awards</w:t>
            </w: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Outstanding and</w:t>
            </w:r>
          </w:p>
        </w:tc>
        <w:tc>
          <w:tcPr>
            <w:tcW w:w="160" w:type="dxa"/>
            <w:vAlign w:val="bottom"/>
          </w:tcPr>
          <w:p>
            <w:pPr>
              <w:spacing w:after="0"/>
              <w:rPr>
                <w:sz w:val="12"/>
                <w:szCs w:val="12"/>
                <w:color w:val="auto"/>
              </w:rPr>
            </w:pPr>
          </w:p>
        </w:tc>
        <w:tc>
          <w:tcPr>
            <w:tcW w:w="144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in Fair Value of</w:t>
            </w:r>
          </w:p>
        </w:tc>
        <w:tc>
          <w:tcPr>
            <w:tcW w:w="1580" w:type="dxa"/>
            <w:vAlign w:val="bottom"/>
            <w:gridSpan w:val="3"/>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in Fair Value of Equity</w:t>
            </w:r>
          </w:p>
        </w:tc>
        <w:tc>
          <w:tcPr>
            <w:tcW w:w="1580" w:type="dxa"/>
            <w:vAlign w:val="bottom"/>
            <w:gridSpan w:val="3"/>
            <w:vMerge w:val="continue"/>
          </w:tcPr>
          <w:p>
            <w:pPr>
              <w:spacing w:after="0"/>
              <w:rPr>
                <w:sz w:val="12"/>
                <w:szCs w:val="12"/>
                <w:color w:val="auto"/>
              </w:rPr>
            </w:pPr>
          </w:p>
        </w:tc>
        <w:tc>
          <w:tcPr>
            <w:tcW w:w="15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Incremental Fair Value</w:t>
            </w:r>
          </w:p>
        </w:tc>
        <w:tc>
          <w:tcPr>
            <w:tcW w:w="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Unvested Equity</w:t>
            </w:r>
          </w:p>
        </w:tc>
        <w:tc>
          <w:tcPr>
            <w:tcW w:w="160" w:type="dxa"/>
            <w:vAlign w:val="bottom"/>
          </w:tcPr>
          <w:p>
            <w:pPr>
              <w:spacing w:after="0"/>
              <w:rPr>
                <w:sz w:val="12"/>
                <w:szCs w:val="12"/>
                <w:color w:val="auto"/>
              </w:rPr>
            </w:pPr>
          </w:p>
        </w:tc>
        <w:tc>
          <w:tcPr>
            <w:tcW w:w="14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and</w:t>
            </w:r>
          </w:p>
        </w:tc>
        <w:tc>
          <w:tcPr>
            <w:tcW w:w="120" w:type="dxa"/>
            <w:vAlign w:val="bottom"/>
          </w:tcPr>
          <w:p>
            <w:pPr>
              <w:spacing w:after="0"/>
              <w:rPr>
                <w:sz w:val="12"/>
                <w:szCs w:val="12"/>
                <w:color w:val="auto"/>
              </w:rPr>
            </w:pPr>
          </w:p>
        </w:tc>
        <w:tc>
          <w:tcPr>
            <w:tcW w:w="14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Awards Granted in</w:t>
            </w:r>
          </w:p>
        </w:tc>
        <w:tc>
          <w:tcPr>
            <w:tcW w:w="158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Granted in Prior Years</w:t>
            </w:r>
          </w:p>
        </w:tc>
        <w:tc>
          <w:tcPr>
            <w:tcW w:w="158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Equity Award</w:t>
            </w:r>
          </w:p>
        </w:tc>
        <w:tc>
          <w:tcPr>
            <w:tcW w:w="0" w:type="dxa"/>
            <w:vAlign w:val="bottom"/>
          </w:tcPr>
          <w:p>
            <w:pPr>
              <w:spacing w:after="0"/>
              <w:rPr>
                <w:sz w:val="1"/>
                <w:szCs w:val="1"/>
                <w:color w:val="auto"/>
              </w:rPr>
            </w:pPr>
          </w:p>
        </w:tc>
      </w:tr>
      <w:tr>
        <w:trPr>
          <w:trHeight w:val="135"/>
        </w:trPr>
        <w:tc>
          <w:tcPr>
            <w:tcW w:w="1760" w:type="dxa"/>
            <w:vAlign w:val="bottom"/>
            <w:gridSpan w:val="2"/>
            <w:vMerge w:val="restart"/>
          </w:tcPr>
          <w:p>
            <w:pPr>
              <w:ind w:left="68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580" w:type="dxa"/>
            <w:vAlign w:val="bottom"/>
            <w:gridSpan w:val="3"/>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Awards Granted in the</w:t>
            </w:r>
          </w:p>
        </w:tc>
        <w:tc>
          <w:tcPr>
            <w:tcW w:w="160" w:type="dxa"/>
            <w:vAlign w:val="bottom"/>
          </w:tcPr>
          <w:p>
            <w:pPr>
              <w:spacing w:after="0"/>
              <w:rPr>
                <w:sz w:val="11"/>
                <w:szCs w:val="11"/>
                <w:color w:val="auto"/>
              </w:rPr>
            </w:pPr>
          </w:p>
        </w:tc>
        <w:tc>
          <w:tcPr>
            <w:tcW w:w="144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Unvested Equity</w:t>
            </w:r>
          </w:p>
        </w:tc>
        <w:tc>
          <w:tcPr>
            <w:tcW w:w="1580" w:type="dxa"/>
            <w:vAlign w:val="bottom"/>
            <w:gridSpan w:val="3"/>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Prior Years that Vested</w:t>
            </w:r>
          </w:p>
        </w:tc>
        <w:tc>
          <w:tcPr>
            <w:tcW w:w="120" w:type="dxa"/>
            <w:vAlign w:val="bottom"/>
          </w:tcPr>
          <w:p>
            <w:pPr>
              <w:spacing w:after="0"/>
              <w:rPr>
                <w:sz w:val="11"/>
                <w:szCs w:val="11"/>
                <w:color w:val="auto"/>
              </w:rPr>
            </w:pPr>
          </w:p>
        </w:tc>
        <w:tc>
          <w:tcPr>
            <w:tcW w:w="146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that were Forfeited</w:t>
            </w:r>
          </w:p>
        </w:tc>
        <w:tc>
          <w:tcPr>
            <w:tcW w:w="100" w:type="dxa"/>
            <w:vAlign w:val="bottom"/>
          </w:tcPr>
          <w:p>
            <w:pPr>
              <w:spacing w:after="0"/>
              <w:rPr>
                <w:sz w:val="11"/>
                <w:szCs w:val="11"/>
                <w:color w:val="auto"/>
              </w:rPr>
            </w:pPr>
          </w:p>
        </w:tc>
        <w:tc>
          <w:tcPr>
            <w:tcW w:w="14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rPr>
              <w:t>of Awards Modified</w:t>
            </w:r>
          </w:p>
        </w:tc>
        <w:tc>
          <w:tcPr>
            <w:tcW w:w="20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17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160" w:type="dxa"/>
            <w:vAlign w:val="bottom"/>
          </w:tcPr>
          <w:p>
            <w:pPr>
              <w:spacing w:after="0"/>
              <w:rPr>
                <w:sz w:val="17"/>
                <w:szCs w:val="17"/>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120" w:type="dxa"/>
            <w:vAlign w:val="bottom"/>
          </w:tcPr>
          <w:p>
            <w:pPr>
              <w:spacing w:after="0"/>
              <w:rPr>
                <w:sz w:val="17"/>
                <w:szCs w:val="17"/>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in the Year</w:t>
            </w:r>
          </w:p>
        </w:tc>
        <w:tc>
          <w:tcPr>
            <w:tcW w:w="120" w:type="dxa"/>
            <w:vAlign w:val="bottom"/>
          </w:tcPr>
          <w:p>
            <w:pPr>
              <w:spacing w:after="0"/>
              <w:rPr>
                <w:sz w:val="17"/>
                <w:szCs w:val="17"/>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During the Year</w:t>
            </w:r>
          </w:p>
        </w:tc>
        <w:tc>
          <w:tcPr>
            <w:tcW w:w="100" w:type="dxa"/>
            <w:vAlign w:val="bottom"/>
          </w:tcPr>
          <w:p>
            <w:pPr>
              <w:spacing w:after="0"/>
              <w:rPr>
                <w:sz w:val="17"/>
                <w:szCs w:val="17"/>
                <w:color w:val="auto"/>
              </w:rPr>
            </w:pP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During the Year</w:t>
            </w:r>
          </w:p>
        </w:tc>
        <w:tc>
          <w:tcPr>
            <w:tcW w:w="200" w:type="dxa"/>
            <w:vAlign w:val="bottom"/>
          </w:tcPr>
          <w:p>
            <w:pPr>
              <w:spacing w:after="0"/>
              <w:rPr>
                <w:sz w:val="17"/>
                <w:szCs w:val="17"/>
                <w:color w:val="auto"/>
              </w:rPr>
            </w:pPr>
          </w:p>
        </w:tc>
        <w:tc>
          <w:tcPr>
            <w:tcW w:w="130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0" w:type="dxa"/>
            <w:vAlign w:val="bottom"/>
          </w:tcPr>
          <w:p>
            <w:pPr>
              <w:spacing w:after="0"/>
              <w:rPr>
                <w:sz w:val="1"/>
                <w:szCs w:val="1"/>
                <w:color w:val="auto"/>
              </w:rPr>
            </w:pPr>
          </w:p>
        </w:tc>
      </w:tr>
      <w:tr>
        <w:trPr>
          <w:trHeight w:val="201"/>
        </w:trPr>
        <w:tc>
          <w:tcPr>
            <w:tcW w:w="1660" w:type="dxa"/>
            <w:vAlign w:val="bottom"/>
            <w:tcBorders>
              <w:top w:val="single" w:sz="8" w:color="auto"/>
            </w:tcBorders>
            <w:shd w:val="clear" w:color="auto" w:fill="CCEEFF"/>
          </w:tcPr>
          <w:p>
            <w:pPr>
              <w:jc w:val="right"/>
              <w:ind w:right="1268"/>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628,028</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162,548</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7,436</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8,524</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806,536</w:t>
            </w:r>
          </w:p>
        </w:tc>
        <w:tc>
          <w:tcPr>
            <w:tcW w:w="0" w:type="dxa"/>
            <w:vAlign w:val="bottom"/>
          </w:tcPr>
          <w:p>
            <w:pPr>
              <w:spacing w:after="0"/>
              <w:rPr>
                <w:sz w:val="1"/>
                <w:szCs w:val="1"/>
                <w:color w:val="auto"/>
              </w:rPr>
            </w:pPr>
          </w:p>
        </w:tc>
      </w:tr>
      <w:tr>
        <w:trPr>
          <w:trHeight w:val="195"/>
        </w:trPr>
        <w:tc>
          <w:tcPr>
            <w:tcW w:w="1660" w:type="dxa"/>
            <w:vAlign w:val="bottom"/>
          </w:tcPr>
          <w:p>
            <w:pPr>
              <w:jc w:val="right"/>
              <w:ind w:right="1268"/>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639,487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167,092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30,229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3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836,808</w:t>
            </w:r>
          </w:p>
        </w:tc>
        <w:tc>
          <w:tcPr>
            <w:tcW w:w="0" w:type="dxa"/>
            <w:vAlign w:val="bottom"/>
          </w:tcPr>
          <w:p>
            <w:pPr>
              <w:spacing w:after="0"/>
              <w:rPr>
                <w:sz w:val="1"/>
                <w:szCs w:val="1"/>
                <w:color w:val="auto"/>
              </w:rPr>
            </w:pPr>
          </w:p>
        </w:tc>
      </w:tr>
      <w:tr>
        <w:trPr>
          <w:trHeight w:val="210"/>
        </w:trPr>
        <w:tc>
          <w:tcPr>
            <w:tcW w:w="1660" w:type="dxa"/>
            <w:vAlign w:val="bottom"/>
            <w:shd w:val="clear" w:color="auto" w:fill="CCEEFF"/>
          </w:tcPr>
          <w:p>
            <w:pPr>
              <w:jc w:val="right"/>
              <w:ind w:right="1268"/>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217,810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12,409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(8,435)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(108,981)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264,955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377,758</w:t>
            </w:r>
          </w:p>
        </w:tc>
        <w:tc>
          <w:tcPr>
            <w:tcW w:w="0" w:type="dxa"/>
            <w:vAlign w:val="bottom"/>
          </w:tcPr>
          <w:p>
            <w:pPr>
              <w:spacing w:after="0"/>
              <w:rPr>
                <w:sz w:val="1"/>
                <w:szCs w:val="1"/>
                <w:color w:val="auto"/>
              </w:rPr>
            </w:pPr>
          </w:p>
        </w:tc>
      </w:tr>
      <w:tr>
        <w:trPr>
          <w:trHeight w:val="195"/>
        </w:trPr>
        <w:tc>
          <w:tcPr>
            <w:tcW w:w="1660" w:type="dxa"/>
            <w:vAlign w:val="bottom"/>
          </w:tcPr>
          <w:p>
            <w:pPr>
              <w:jc w:val="right"/>
              <w:ind w:right="1268"/>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307,242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(128,663)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(50,433)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(43,263)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3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84,883</w:t>
            </w:r>
          </w:p>
        </w:tc>
        <w:tc>
          <w:tcPr>
            <w:tcW w:w="0" w:type="dxa"/>
            <w:vAlign w:val="bottom"/>
          </w:tcPr>
          <w:p>
            <w:pPr>
              <w:spacing w:after="0"/>
              <w:rPr>
                <w:sz w:val="1"/>
                <w:szCs w:val="1"/>
                <w:color w:val="auto"/>
              </w:rPr>
            </w:pPr>
          </w:p>
        </w:tc>
      </w:tr>
      <w:tr>
        <w:trPr>
          <w:trHeight w:val="210"/>
        </w:trPr>
        <w:tc>
          <w:tcPr>
            <w:tcW w:w="1660" w:type="dxa"/>
            <w:vAlign w:val="bottom"/>
            <w:shd w:val="clear" w:color="auto" w:fill="CCEEFF"/>
          </w:tcPr>
          <w:p>
            <w:pPr>
              <w:jc w:val="right"/>
              <w:ind w:right="1268"/>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766,068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86,768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(71,535)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781,301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Description of Relationship Between NEO CAP and Company TSR</w:t>
      </w:r>
    </w:p>
    <w:p>
      <w:pPr>
        <w:spacing w:after="0" w:line="173"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chart sets forth the relationship between CAP to our PEO, the average of CAP to our other NEOs, and the Company’s cumulative TSR over the five-year period from fiscal 2021 through fiscal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131445</wp:posOffset>
            </wp:positionV>
            <wp:extent cx="5760720" cy="32658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760720" cy="3265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Description of Relationship Between NEO CAP and Net Income</w:t>
      </w:r>
    </w:p>
    <w:p>
      <w:pPr>
        <w:spacing w:after="0" w:line="173"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chart sets forth the relationship between CAP to our PEO, the average of CAP to our other NEOs, and our net income during fiscal 2021 through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131445</wp:posOffset>
            </wp:positionV>
            <wp:extent cx="5760720" cy="32658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760720" cy="326580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91" w:name="page92"/>
    <w:bookmarkEnd w:id="9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Description of Relationship Between NEO CAP and Operating Income</w:t>
      </w:r>
    </w:p>
    <w:p>
      <w:pPr>
        <w:spacing w:after="0" w:line="173"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chart sets forth the relationship between CAP to our PEO, the average of CAP to our other NEOs, and our operating income during fiscal 2021 through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131445</wp:posOffset>
            </wp:positionV>
            <wp:extent cx="5760720" cy="32658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760720" cy="3265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Description of Relationship Between Company TSR and Peer Group TSR</w:t>
      </w:r>
    </w:p>
    <w:p>
      <w:pPr>
        <w:spacing w:after="0" w:line="173"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chart compares our cumulative TSR over the five-year period from 2020 through 2025 to that of the S&amp;P SmallCap 600 Industrials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80010</wp:posOffset>
            </wp:positionV>
            <wp:extent cx="5760720" cy="32575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760720" cy="325755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92" w:name="page93"/>
    <w:bookmarkEnd w:id="9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2025 Tabular List of Most Important Financial Performance Measures</w:t>
      </w:r>
    </w:p>
    <w:p>
      <w:pPr>
        <w:spacing w:after="0" w:line="17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financial performance measures that the Company considers to have been the most important in linking Compensation Actually Paid to our PEO and other NEOs in fiscal 2025 to Company performance. The measures in this table are not ranked.</w:t>
      </w:r>
    </w:p>
    <w:p>
      <w:pPr>
        <w:spacing w:after="0" w:line="14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u w:val="single" w:color="auto"/>
          <w:color w:val="auto"/>
        </w:rPr>
        <w:t>Most Important Performance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1590675</wp:posOffset>
            </wp:positionH>
            <wp:positionV relativeFrom="paragraph">
              <wp:posOffset>19685</wp:posOffset>
            </wp:positionV>
            <wp:extent cx="4166235" cy="1454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166235" cy="145415"/>
                    </a:xfrm>
                    <a:prstGeom prst="rect">
                      <a:avLst/>
                    </a:prstGeom>
                    <a:noFill/>
                  </pic:spPr>
                </pic:pic>
              </a:graphicData>
            </a:graphic>
          </wp:anchor>
        </w:drawing>
      </w:r>
    </w:p>
    <w:p>
      <w:pPr>
        <w:spacing w:after="0" w:line="11"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8"/>
          <w:szCs w:val="18"/>
          <w:color w:val="auto"/>
        </w:rPr>
        <w:t>Operating Income</w:t>
      </w:r>
    </w:p>
    <w:p>
      <w:pPr>
        <w:spacing w:after="0" w:line="23"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8"/>
          <w:szCs w:val="18"/>
          <w:color w:val="auto"/>
        </w:rPr>
        <w:t>Organic Sales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1590675</wp:posOffset>
            </wp:positionH>
            <wp:positionV relativeFrom="paragraph">
              <wp:posOffset>14605</wp:posOffset>
            </wp:positionV>
            <wp:extent cx="4166235" cy="1454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4166235" cy="145415"/>
                    </a:xfrm>
                    <a:prstGeom prst="rect">
                      <a:avLst/>
                    </a:prstGeom>
                    <a:noFill/>
                  </pic:spPr>
                </pic:pic>
              </a:graphicData>
            </a:graphic>
          </wp:anchor>
        </w:drawing>
      </w:r>
    </w:p>
    <w:p>
      <w:pPr>
        <w:spacing w:after="0" w:line="3"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8"/>
          <w:szCs w:val="18"/>
          <w:color w:val="auto"/>
        </w:rPr>
        <w:t>Total Shareholder Return</w:t>
      </w:r>
    </w:p>
    <w:p>
      <w:pPr>
        <w:spacing w:after="0" w:line="23"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8"/>
          <w:szCs w:val="18"/>
          <w:color w:val="auto"/>
        </w:rPr>
        <w:t>Earnings Per Share</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of Directors Compensation</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To ensure competitive compensation for the Board of Directors, compensation is reviewed every other year and market surveys prepared by various consulting firms and the National Association of Corporate Directors are reviewed by the Corporate Governance Committee and the Management Development and Compensation Committee, and they confer with the Board’s independent compensation consultant in making recommendations to the Board of Directors regarding director compensation. Directors who are employees of the Company receive no additional compensation for service on the Board or on any committee of the Board.</w:t>
      </w:r>
    </w:p>
    <w:p>
      <w:pPr>
        <w:spacing w:after="0" w:line="1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fiscal 2025, the annual cash retainer paid to non-management directors was $72,500. Each member of the Audit Committee received an annual retainer of $15,000, and an additional annual retainer of $15,000 was paid to the Chair of the Audit Committee; each member of the Management Development and Compensation Committee received an annual retainer of $12,000, and an additional annual retainer of $12,000 was paid to the Chair; and each member of the Corporate Governance, Finance and Technology Committees received an annual retainer of $10,000, and an additional annual retainer of $10,000 was paid to each committee chair. Non-management directors do not receive meeting fees. The annual cash retainers are pro-rated in situations where there are changes to committee members or committee chairs that take place during the fiscal year. Non-management directors are eligible to receive compensation of up to $1,000 per day for special assignments required by management or the Board of Directors, so long as the compensation does not impair independence and is approved by the Board as required. No such special assignment fees were paid in fiscal year 2025.</w:t>
      </w:r>
    </w:p>
    <w:p>
      <w:pPr>
        <w:spacing w:after="0" w:line="1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fiscal 2025, the Chair of the Board, Bradley C. Richardson, was paid an annual fee of $100,000.</w:t>
      </w:r>
    </w:p>
    <w:p>
      <w:pPr>
        <w:spacing w:after="0" w:line="17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Board has established stock ownership requirements for directors. The ownership requirement for each director is five times the annual Board retainer. Directors have five years to achieve their stock ownership requirements. Mr. Hix (elected to the Board in May 2024) and Mses. Cusack (elected to the Board in September 2024) and De Greef-Safft (elected to the Board in February 2025) have not yet met their stock ownership requirements. All other directors have met their stock ownership requirements.</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Under the terms of the Brady Corporation 2023 Omnibus Incentive Stock Plan, 5,000,000 shares of the Company's Class A Common Stock have been authorized for issuance to directors and employees. The Board has full and final authority to designate the non-management directors to whom awards will be granted, the date on which awards will be granted and the number of shares of stock covered by each grant.</w:t>
      </w:r>
    </w:p>
    <w:p>
      <w:pPr>
        <w:spacing w:after="0" w:line="12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May 20, 2024, the Board approved an annual stock-based compensation award of $135,000 fair value of unrestricted shares of Class A Common Stock with a grant date fair value of $74.63 per share, for each non-management director, effective October 2, 2024.</w:t>
      </w:r>
    </w:p>
    <w:p>
      <w:pPr>
        <w:spacing w:after="0" w:line="10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Directors are also eligible to defer portions of their fees into the Brady Corporation Director Deferred Compensation Plan (“Director Deferred Compensation Plan”), the value of which is measured by the fair value of the underlying investments. The assets of the Director Deferred Compensation Plan are held in a Rabbi Trust and are invested by the trustee as directed by the participant in several investment funds as permitted by the Director Deferred Compensation Plan. The investment funds available include Brady Corporation Class A Nonvoting Common Stock and various mutual funds that are offered in the employee Matched 401(k) Plan. Directors may elect whether to receive their account balance following termination in a single lump sum payment or by means of distribution under an annual installment method. Distributions of the Brady Corporation Class A Nonvoting Common Stock are made in-kind; distributions of mutual funds are made in cash.</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Compensation Table — Fiscal 2025</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Fees Earned or Paid</w:t>
            </w:r>
          </w:p>
        </w:tc>
        <w:tc>
          <w:tcPr>
            <w:tcW w:w="14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Stock Awards ($) (1)</w:t>
            </w:r>
          </w:p>
        </w:tc>
        <w:tc>
          <w:tcPr>
            <w:tcW w:w="260" w:type="dxa"/>
            <w:vAlign w:val="bottom"/>
          </w:tcPr>
          <w:p>
            <w:pPr>
              <w:spacing w:after="0"/>
              <w:rPr>
                <w:sz w:val="13"/>
                <w:szCs w:val="13"/>
                <w:color w:val="auto"/>
              </w:rPr>
            </w:pPr>
          </w:p>
        </w:tc>
        <w:tc>
          <w:tcPr>
            <w:tcW w:w="1080" w:type="dxa"/>
            <w:vAlign w:val="bottom"/>
            <w:vMerge w:val="restart"/>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95"/>
        </w:trPr>
        <w:tc>
          <w:tcPr>
            <w:tcW w:w="70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 Cash ($)</w:t>
            </w:r>
          </w:p>
        </w:tc>
        <w:tc>
          <w:tcPr>
            <w:tcW w:w="1440" w:type="dxa"/>
            <w:vAlign w:val="bottom"/>
            <w:gridSpan w:val="3"/>
            <w:vMerge w:val="continue"/>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Patrick W. Allender</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117,500</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135,010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252,510</w:t>
            </w:r>
          </w:p>
        </w:tc>
        <w:tc>
          <w:tcPr>
            <w:tcW w:w="0" w:type="dxa"/>
            <w:vAlign w:val="bottom"/>
          </w:tcPr>
          <w:p>
            <w:pPr>
              <w:spacing w:after="0"/>
              <w:rPr>
                <w:sz w:val="1"/>
                <w:szCs w:val="1"/>
                <w:color w:val="auto"/>
              </w:rPr>
            </w:pPr>
          </w:p>
        </w:tc>
      </w:tr>
      <w:tr>
        <w:trPr>
          <w:trHeight w:val="230"/>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David S. Bem</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109,500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135,010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244,510</w:t>
            </w:r>
          </w:p>
        </w:tc>
        <w:tc>
          <w:tcPr>
            <w:tcW w:w="0" w:type="dxa"/>
            <w:vAlign w:val="bottom"/>
          </w:tcPr>
          <w:p>
            <w:pPr>
              <w:spacing w:after="0"/>
              <w:rPr>
                <w:sz w:val="1"/>
                <w:szCs w:val="1"/>
                <w:color w:val="auto"/>
              </w:rPr>
            </w:pPr>
          </w:p>
        </w:tc>
      </w:tr>
      <w:tr>
        <w:trPr>
          <w:trHeight w:val="229"/>
        </w:trPr>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Elizabeth P. Bruno</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122,403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135,010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257,413</w:t>
            </w:r>
          </w:p>
        </w:tc>
        <w:tc>
          <w:tcPr>
            <w:tcW w:w="0" w:type="dxa"/>
            <w:vAlign w:val="bottom"/>
          </w:tcPr>
          <w:p>
            <w:pPr>
              <w:spacing w:after="0"/>
              <w:rPr>
                <w:sz w:val="1"/>
                <w:szCs w:val="1"/>
                <w:color w:val="auto"/>
              </w:rPr>
            </w:pPr>
          </w:p>
        </w:tc>
      </w:tr>
      <w:tr>
        <w:trPr>
          <w:trHeight w:val="229"/>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Joanne Collins Smee</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111,150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135,010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246,160</w:t>
            </w:r>
          </w:p>
        </w:tc>
        <w:tc>
          <w:tcPr>
            <w:tcW w:w="0" w:type="dxa"/>
            <w:vAlign w:val="bottom"/>
          </w:tcPr>
          <w:p>
            <w:pPr>
              <w:spacing w:after="0"/>
              <w:rPr>
                <w:sz w:val="1"/>
                <w:szCs w:val="1"/>
                <w:color w:val="auto"/>
              </w:rPr>
            </w:pPr>
          </w:p>
        </w:tc>
      </w:tr>
      <w:tr>
        <w:trPr>
          <w:trHeight w:val="230"/>
        </w:trPr>
        <w:tc>
          <w:tcPr>
            <w:tcW w:w="702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Deidre E. Cusack </w:t>
            </w:r>
            <w:r>
              <w:rPr>
                <w:rFonts w:ascii="Times New Roman" w:cs="Times New Roman" w:eastAsia="Times New Roman" w:hAnsi="Times New Roman"/>
                <w:sz w:val="23"/>
                <w:szCs w:val="23"/>
                <w:color w:val="auto"/>
                <w:vertAlign w:val="superscript"/>
              </w:rPr>
              <w:t>(2)</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88,688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135,010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223,698</w:t>
            </w:r>
          </w:p>
        </w:tc>
        <w:tc>
          <w:tcPr>
            <w:tcW w:w="0" w:type="dxa"/>
            <w:vAlign w:val="bottom"/>
          </w:tcPr>
          <w:p>
            <w:pPr>
              <w:spacing w:after="0"/>
              <w:rPr>
                <w:sz w:val="1"/>
                <w:szCs w:val="1"/>
                <w:color w:val="auto"/>
              </w:rPr>
            </w:pPr>
          </w:p>
        </w:tc>
      </w:tr>
      <w:tr>
        <w:trPr>
          <w:trHeight w:val="229"/>
        </w:trPr>
        <w:tc>
          <w:tcPr>
            <w:tcW w:w="70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Anne De Greef-Safft </w:t>
            </w:r>
            <w:r>
              <w:rPr>
                <w:rFonts w:ascii="Times New Roman" w:cs="Times New Roman" w:eastAsia="Times New Roman" w:hAnsi="Times New Roman"/>
                <w:sz w:val="23"/>
                <w:szCs w:val="23"/>
                <w:color w:val="auto"/>
                <w:vertAlign w:val="superscript"/>
              </w:rPr>
              <w:t>(3)</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52,083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135,027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187,110</w:t>
            </w:r>
          </w:p>
        </w:tc>
        <w:tc>
          <w:tcPr>
            <w:tcW w:w="0" w:type="dxa"/>
            <w:vAlign w:val="bottom"/>
          </w:tcPr>
          <w:p>
            <w:pPr>
              <w:spacing w:after="0"/>
              <w:rPr>
                <w:sz w:val="1"/>
                <w:szCs w:val="1"/>
                <w:color w:val="auto"/>
              </w:rPr>
            </w:pPr>
          </w:p>
        </w:tc>
      </w:tr>
      <w:tr>
        <w:trPr>
          <w:trHeight w:val="229"/>
        </w:trPr>
        <w:tc>
          <w:tcPr>
            <w:tcW w:w="702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Nancy L. Gioia </w:t>
            </w:r>
            <w:r>
              <w:rPr>
                <w:rFonts w:ascii="Times New Roman" w:cs="Times New Roman" w:eastAsia="Times New Roman" w:hAnsi="Times New Roman"/>
                <w:sz w:val="23"/>
                <w:szCs w:val="23"/>
                <w:color w:val="auto"/>
                <w:vertAlign w:val="superscript"/>
              </w:rPr>
              <w:t>(4)</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18,609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23,360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41,969</w:t>
            </w:r>
          </w:p>
        </w:tc>
        <w:tc>
          <w:tcPr>
            <w:tcW w:w="0" w:type="dxa"/>
            <w:vAlign w:val="bottom"/>
          </w:tcPr>
          <w:p>
            <w:pPr>
              <w:spacing w:after="0"/>
              <w:rPr>
                <w:sz w:val="1"/>
                <w:szCs w:val="1"/>
                <w:color w:val="auto"/>
              </w:rPr>
            </w:pPr>
          </w:p>
        </w:tc>
      </w:tr>
      <w:tr>
        <w:trPr>
          <w:trHeight w:val="230"/>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Christopher M. Hix</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109,879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135,010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244,889</w:t>
            </w:r>
          </w:p>
        </w:tc>
        <w:tc>
          <w:tcPr>
            <w:tcW w:w="0" w:type="dxa"/>
            <w:vAlign w:val="bottom"/>
          </w:tcPr>
          <w:p>
            <w:pPr>
              <w:spacing w:after="0"/>
              <w:rPr>
                <w:sz w:val="1"/>
                <w:szCs w:val="1"/>
                <w:color w:val="auto"/>
              </w:rPr>
            </w:pPr>
          </w:p>
        </w:tc>
      </w:tr>
      <w:tr>
        <w:trPr>
          <w:trHeight w:val="229"/>
        </w:trPr>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Vineet Nargolwala</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94,500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135,010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229,510</w:t>
            </w:r>
          </w:p>
        </w:tc>
        <w:tc>
          <w:tcPr>
            <w:tcW w:w="0" w:type="dxa"/>
            <w:vAlign w:val="bottom"/>
          </w:tcPr>
          <w:p>
            <w:pPr>
              <w:spacing w:after="0"/>
              <w:rPr>
                <w:sz w:val="1"/>
                <w:szCs w:val="1"/>
                <w:color w:val="auto"/>
              </w:rPr>
            </w:pPr>
          </w:p>
        </w:tc>
      </w:tr>
      <w:tr>
        <w:trPr>
          <w:trHeight w:val="230"/>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Bradley C. Richardson</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222,121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135,010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357,131</w:t>
            </w:r>
          </w:p>
        </w:tc>
        <w:tc>
          <w:tcPr>
            <w:tcW w:w="0" w:type="dxa"/>
            <w:vAlign w:val="bottom"/>
          </w:tcPr>
          <w:p>
            <w:pPr>
              <w:spacing w:after="0"/>
              <w:rPr>
                <w:sz w:val="1"/>
                <w:szCs w:val="1"/>
                <w:color w:val="auto"/>
              </w:rPr>
            </w:pPr>
          </w:p>
        </w:tc>
      </w:tr>
      <w:tr>
        <w:trPr>
          <w:trHeight w:val="229"/>
        </w:trPr>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Michelle E. Williams</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108,347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135,010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243,357</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left="660" w:hanging="328"/>
        <w:spacing w:after="0" w:line="257" w:lineRule="auto"/>
        <w:tabs>
          <w:tab w:leader="none" w:pos="65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fair value of shares of Brady Corporation Class A Non-Voting Common Stock granted in fiscal 2025 as compensation for their services. The shares of unrestricted stock granted to the non-management directors were valued at the average of the high and low market price of $74.63 on October 2, 2024, for those non-management directors on the board as of that grant date.</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Cusack was appointed to the Board on September 4, 2024. As such, the value of her compensation reported in the table above is prorated for her time served on the Board during fiscal 2025.</w:t>
      </w:r>
    </w:p>
    <w:p>
      <w:pPr>
        <w:jc w:val="both"/>
        <w:ind w:left="660" w:hanging="328"/>
        <w:spacing w:after="0" w:line="250" w:lineRule="auto"/>
        <w:tabs>
          <w:tab w:leader="none" w:pos="65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De Greef-Safft was appointed to the Board on February 25, 2025. As such, the value of her compensation reported in the table above is prorated for her time served on the Board during fiscal 2025. As part of her appointment, Ms. De Greef-Safft also received a grant of unrestricted stock valued at the average of the high and low market price of $72.60 on February 25, 2025.</w:t>
      </w:r>
    </w:p>
    <w:p>
      <w:pPr>
        <w:spacing w:after="0" w:line="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Gioia retired from the Board on December 4, 2024.</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12. </w:t>
      </w:r>
      <w:r>
        <w:rPr>
          <w:rFonts w:ascii="Times New Roman" w:cs="Times New Roman" w:eastAsia="Times New Roman" w:hAnsi="Times New Roman"/>
          <w:sz w:val="18"/>
          <w:szCs w:val="18"/>
          <w:b w:val="1"/>
          <w:bCs w:val="1"/>
          <w:i w:val="1"/>
          <w:iCs w:val="1"/>
          <w:color w:val="auto"/>
        </w:rPr>
        <w:t>Security Ownership of Certain Beneficial Owners and Management and Related Stockholder Matters</w:t>
      </w:r>
    </w:p>
    <w:p>
      <w:pPr>
        <w:spacing w:after="0" w:line="171" w:lineRule="exact"/>
        <w:rPr>
          <w:sz w:val="20"/>
          <w:szCs w:val="20"/>
          <w:color w:val="auto"/>
        </w:rPr>
      </w:pPr>
    </w:p>
    <w:p>
      <w:pPr>
        <w:ind w:left="260" w:hanging="252"/>
        <w:spacing w:after="0"/>
        <w:tabs>
          <w:tab w:leader="none" w:pos="26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Security Ownership of Certain Beneficial Owners</w:t>
      </w:r>
    </w:p>
    <w:p>
      <w:pPr>
        <w:spacing w:after="0" w:line="175"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current beneficial ownership of shareholders who are known by the Company to own more than five percent (5%) of any class of the Company’s voting shares on July 31, 2025. As of that date, nearly all of the voting stock of the Company was held by two trusts controlled by direct descendants of the Company’s founder, William H. Brady,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Title of Class</w:t>
            </w:r>
          </w:p>
        </w:tc>
        <w:tc>
          <w:tcPr>
            <w:tcW w:w="4340" w:type="dxa"/>
            <w:vAlign w:val="bottom"/>
            <w:gridSpan w:val="2"/>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w:t>
            </w:r>
          </w:p>
        </w:tc>
        <w:tc>
          <w:tcPr>
            <w:tcW w:w="19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Amount of Beneficial</w:t>
            </w:r>
          </w:p>
        </w:tc>
        <w:tc>
          <w:tcPr>
            <w:tcW w:w="1980" w:type="dxa"/>
            <w:vAlign w:val="bottom"/>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Percent of</w:t>
            </w:r>
          </w:p>
        </w:tc>
        <w:tc>
          <w:tcPr>
            <w:tcW w:w="0" w:type="dxa"/>
            <w:vAlign w:val="bottom"/>
          </w:tcPr>
          <w:p>
            <w:pPr>
              <w:spacing w:after="0"/>
              <w:rPr>
                <w:sz w:val="1"/>
                <w:szCs w:val="1"/>
                <w:color w:val="auto"/>
              </w:rPr>
            </w:pPr>
          </w:p>
        </w:tc>
      </w:tr>
      <w:tr>
        <w:trPr>
          <w:trHeight w:val="196"/>
        </w:trPr>
        <w:tc>
          <w:tcPr>
            <w:tcW w:w="2920" w:type="dxa"/>
            <w:vAlign w:val="bottom"/>
            <w:gridSpan w:val="2"/>
            <w:vMerge w:val="continue"/>
          </w:tcPr>
          <w:p>
            <w:pPr>
              <w:spacing w:after="0"/>
              <w:rPr>
                <w:sz w:val="17"/>
                <w:szCs w:val="17"/>
                <w:color w:val="auto"/>
              </w:rPr>
            </w:pPr>
          </w:p>
        </w:tc>
        <w:tc>
          <w:tcPr>
            <w:tcW w:w="4340" w:type="dxa"/>
            <w:vAlign w:val="bottom"/>
            <w:gridSpan w:val="2"/>
            <w:vMerge w:val="continue"/>
          </w:tcPr>
          <w:p>
            <w:pPr>
              <w:spacing w:after="0"/>
              <w:rPr>
                <w:sz w:val="17"/>
                <w:szCs w:val="17"/>
                <w:color w:val="auto"/>
              </w:rPr>
            </w:pPr>
          </w:p>
        </w:tc>
        <w:tc>
          <w:tcPr>
            <w:tcW w:w="19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1980" w:type="dxa"/>
            <w:vAlign w:val="bottom"/>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Ownership (2)</w:t>
            </w:r>
          </w:p>
        </w:tc>
        <w:tc>
          <w:tcPr>
            <w:tcW w:w="0" w:type="dxa"/>
            <w:vAlign w:val="bottom"/>
          </w:tcPr>
          <w:p>
            <w:pPr>
              <w:spacing w:after="0"/>
              <w:rPr>
                <w:sz w:val="1"/>
                <w:szCs w:val="1"/>
                <w:color w:val="auto"/>
              </w:rPr>
            </w:pPr>
          </w:p>
        </w:tc>
      </w:tr>
      <w:tr>
        <w:trPr>
          <w:trHeight w:val="175"/>
        </w:trPr>
        <w:tc>
          <w:tcPr>
            <w:tcW w:w="2800" w:type="dxa"/>
            <w:vAlign w:val="bottom"/>
            <w:tcBorders>
              <w:top w:val="single" w:sz="8" w:color="auto"/>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Class B Common Stock</w:t>
            </w:r>
          </w:p>
        </w:tc>
        <w:tc>
          <w:tcPr>
            <w:tcW w:w="120" w:type="dxa"/>
            <w:vAlign w:val="bottom"/>
            <w:tcBorders>
              <w:top w:val="single" w:sz="8" w:color="CCEEFF"/>
            </w:tcBorders>
            <w:shd w:val="clear" w:color="auto" w:fill="CCEEFF"/>
          </w:tcPr>
          <w:p>
            <w:pPr>
              <w:spacing w:after="0"/>
              <w:rPr>
                <w:sz w:val="15"/>
                <w:szCs w:val="15"/>
                <w:color w:val="auto"/>
              </w:rPr>
            </w:pPr>
          </w:p>
        </w:tc>
        <w:tc>
          <w:tcPr>
            <w:tcW w:w="422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EBL GST Non-Exempt Stock B Trust (1) c/o Elizabeth P.</w:t>
            </w:r>
          </w:p>
        </w:tc>
        <w:tc>
          <w:tcPr>
            <w:tcW w:w="120" w:type="dxa"/>
            <w:vAlign w:val="bottom"/>
            <w:tcBorders>
              <w:top w:val="single" w:sz="8" w:color="CCEEFF"/>
            </w:tcBorders>
            <w:shd w:val="clear" w:color="auto" w:fill="CCEEFF"/>
          </w:tcPr>
          <w:p>
            <w:pPr>
              <w:spacing w:after="0"/>
              <w:rPr>
                <w:sz w:val="15"/>
                <w:szCs w:val="15"/>
                <w:color w:val="auto"/>
              </w:rPr>
            </w:pPr>
          </w:p>
        </w:tc>
        <w:tc>
          <w:tcPr>
            <w:tcW w:w="1840" w:type="dxa"/>
            <w:vAlign w:val="bottom"/>
            <w:tcBorders>
              <w:top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1,769,304</w:t>
            </w:r>
          </w:p>
        </w:tc>
        <w:tc>
          <w:tcPr>
            <w:tcW w:w="100" w:type="dxa"/>
            <w:vAlign w:val="bottom"/>
            <w:tcBorders>
              <w:top w:val="single" w:sz="8" w:color="CCEEFF"/>
            </w:tcBorders>
            <w:shd w:val="clear" w:color="auto" w:fill="CCEEFF"/>
          </w:tcPr>
          <w:p>
            <w:pPr>
              <w:spacing w:after="0"/>
              <w:rPr>
                <w:sz w:val="15"/>
                <w:szCs w:val="15"/>
                <w:color w:val="auto"/>
              </w:rPr>
            </w:pPr>
          </w:p>
        </w:tc>
        <w:tc>
          <w:tcPr>
            <w:tcW w:w="1980" w:type="dxa"/>
            <w:vAlign w:val="bottom"/>
            <w:tcBorders>
              <w:top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50 %</w:t>
            </w:r>
          </w:p>
        </w:tc>
        <w:tc>
          <w:tcPr>
            <w:tcW w:w="0" w:type="dxa"/>
            <w:vAlign w:val="bottom"/>
          </w:tcPr>
          <w:p>
            <w:pPr>
              <w:spacing w:after="0"/>
              <w:rPr>
                <w:sz w:val="1"/>
                <w:szCs w:val="1"/>
                <w:color w:val="auto"/>
              </w:rPr>
            </w:pPr>
          </w:p>
        </w:tc>
      </w:tr>
      <w:tr>
        <w:trPr>
          <w:trHeight w:val="234"/>
        </w:trPr>
        <w:tc>
          <w:tcPr>
            <w:tcW w:w="2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Bruno 2002 S. Hawick Ct. Chapel Hill, NC 27516</w:t>
            </w:r>
          </w:p>
        </w:tc>
        <w:tc>
          <w:tcPr>
            <w:tcW w:w="1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3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William H. Brady III Living Trust dated November 1,</w:t>
            </w:r>
          </w:p>
        </w:tc>
        <w:tc>
          <w:tcPr>
            <w:tcW w:w="18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1,769,304</w:t>
            </w:r>
          </w:p>
        </w:tc>
        <w:tc>
          <w:tcPr>
            <w:tcW w:w="100" w:type="dxa"/>
            <w:vAlign w:val="bottom"/>
          </w:tcPr>
          <w:p>
            <w:pPr>
              <w:spacing w:after="0"/>
              <w:rPr>
                <w:sz w:val="15"/>
                <w:szCs w:val="15"/>
                <w:color w:val="auto"/>
              </w:rPr>
            </w:pPr>
          </w:p>
        </w:tc>
        <w:tc>
          <w:tcPr>
            <w:tcW w:w="19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50 %</w:t>
            </w:r>
          </w:p>
        </w:tc>
        <w:tc>
          <w:tcPr>
            <w:tcW w:w="0" w:type="dxa"/>
            <w:vAlign w:val="bottom"/>
          </w:tcPr>
          <w:p>
            <w:pPr>
              <w:spacing w:after="0"/>
              <w:rPr>
                <w:sz w:val="1"/>
                <w:szCs w:val="1"/>
                <w:color w:val="auto"/>
              </w:rPr>
            </w:pPr>
          </w:p>
        </w:tc>
      </w:tr>
      <w:tr>
        <w:trPr>
          <w:trHeight w:val="234"/>
        </w:trPr>
        <w:tc>
          <w:tcPr>
            <w:tcW w:w="2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2013 (3)</w:t>
            </w:r>
          </w:p>
        </w:tc>
        <w:tc>
          <w:tcPr>
            <w:tcW w:w="1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2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34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color w:val="auto"/>
              </w:rPr>
              <w:t>c/o William H. Brady III</w:t>
            </w:r>
          </w:p>
        </w:tc>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3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249 Rosemont Ave.</w:t>
            </w:r>
          </w:p>
        </w:tc>
        <w:tc>
          <w:tcPr>
            <w:tcW w:w="1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Pasadena, CA 91103</w:t>
            </w: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660" w:hanging="328"/>
        <w:spacing w:after="0" w:line="261" w:lineRule="auto"/>
        <w:tabs>
          <w:tab w:leader="none" w:pos="65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is Elizabeth P. Bruno, who has sole voting and dispositive power and who is the remainder beneficiary. Elizabeth Bruno is the great-granddaughter of William H. Brady and currently serves on the Company’s Board of Directors.</w:t>
      </w:r>
    </w:p>
    <w:p>
      <w:pPr>
        <w:ind w:left="640" w:hanging="308"/>
        <w:spacing w:after="0"/>
        <w:tabs>
          <w:tab w:leader="none" w:pos="6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20 shares are owned by a third trust with different trustees.</w:t>
      </w:r>
    </w:p>
    <w:p>
      <w:pPr>
        <w:spacing w:after="0" w:line="9" w:lineRule="exact"/>
        <w:rPr>
          <w:rFonts w:ascii="Times New Roman" w:cs="Times New Roman" w:eastAsia="Times New Roman" w:hAnsi="Times New Roman"/>
          <w:sz w:val="18"/>
          <w:szCs w:val="18"/>
          <w:color w:val="auto"/>
        </w:rPr>
      </w:pPr>
    </w:p>
    <w:p>
      <w:pPr>
        <w:ind w:left="660" w:right="20" w:hanging="328"/>
        <w:spacing w:after="0" w:line="260" w:lineRule="auto"/>
        <w:tabs>
          <w:tab w:leader="none" w:pos="65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William H. Brady III is grantor of this revocable trust and shares voting and dispositive powers with respect to these shares with his co-trustee. William H. Brady III is the grandson of William H. Brady.</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280" w:hanging="272"/>
        <w:spacing w:after="0"/>
        <w:tabs>
          <w:tab w:leader="none" w:pos="28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Security Ownership of Management</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current beneficial ownership of each class of equity securities of the Company by each director and NEO individually and by all directors and Officers of the Company as a group as of July 31, 2025. Unless otherwise noted, the address for each of the listed persons is c/o Brady Corporation, 6555 West Good Hope Road, Milwaukee, Wisconsin 53223. Except as otherwise indicated, all shares are owned directly.</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gridSpan w:val="2"/>
            <w:vMerge w:val="restart"/>
          </w:tcPr>
          <w:p>
            <w:pPr>
              <w:ind w:left="800"/>
              <w:spacing w:after="0"/>
              <w:rPr>
                <w:sz w:val="20"/>
                <w:szCs w:val="20"/>
                <w:color w:val="auto"/>
              </w:rPr>
            </w:pPr>
            <w:r>
              <w:rPr>
                <w:rFonts w:ascii="Times New Roman" w:cs="Times New Roman" w:eastAsia="Times New Roman" w:hAnsi="Times New Roman"/>
                <w:sz w:val="14"/>
                <w:szCs w:val="14"/>
                <w:b w:val="1"/>
                <w:bCs w:val="1"/>
                <w:color w:val="auto"/>
              </w:rPr>
              <w:t>Title of Class</w:t>
            </w:r>
          </w:p>
        </w:tc>
        <w:tc>
          <w:tcPr>
            <w:tcW w:w="480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Name of Beneficial Owner &amp; Nature of Beneficial Ownership</w:t>
            </w:r>
          </w:p>
        </w:tc>
        <w:tc>
          <w:tcPr>
            <w:tcW w:w="19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Amount of Beneficial</w:t>
            </w:r>
          </w:p>
        </w:tc>
        <w:tc>
          <w:tcPr>
            <w:tcW w:w="1980" w:type="dxa"/>
            <w:vAlign w:val="bottom"/>
            <w:vMerge w:val="restart"/>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Percent of Ownership</w:t>
            </w:r>
          </w:p>
        </w:tc>
        <w:tc>
          <w:tcPr>
            <w:tcW w:w="0" w:type="dxa"/>
            <w:vAlign w:val="bottom"/>
          </w:tcPr>
          <w:p>
            <w:pPr>
              <w:spacing w:after="0"/>
              <w:rPr>
                <w:sz w:val="1"/>
                <w:szCs w:val="1"/>
                <w:color w:val="auto"/>
              </w:rPr>
            </w:pPr>
          </w:p>
        </w:tc>
      </w:tr>
      <w:tr>
        <w:trPr>
          <w:trHeight w:val="195"/>
        </w:trPr>
        <w:tc>
          <w:tcPr>
            <w:tcW w:w="2520" w:type="dxa"/>
            <w:vAlign w:val="bottom"/>
            <w:gridSpan w:val="2"/>
            <w:vMerge w:val="continue"/>
          </w:tcPr>
          <w:p>
            <w:pPr>
              <w:spacing w:after="0"/>
              <w:rPr>
                <w:sz w:val="16"/>
                <w:szCs w:val="16"/>
                <w:color w:val="auto"/>
              </w:rPr>
            </w:pPr>
          </w:p>
        </w:tc>
        <w:tc>
          <w:tcPr>
            <w:tcW w:w="4800" w:type="dxa"/>
            <w:vAlign w:val="bottom"/>
            <w:gridSpan w:val="2"/>
            <w:vMerge w:val="continue"/>
          </w:tcPr>
          <w:p>
            <w:pPr>
              <w:spacing w:after="0"/>
              <w:rPr>
                <w:sz w:val="16"/>
                <w:szCs w:val="16"/>
                <w:color w:val="auto"/>
              </w:rPr>
            </w:pPr>
          </w:p>
        </w:tc>
        <w:tc>
          <w:tcPr>
            <w:tcW w:w="19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Ownership (3)(4)(5)</w:t>
            </w:r>
          </w:p>
        </w:tc>
        <w:tc>
          <w:tcPr>
            <w:tcW w:w="1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A Common Stock</w:t>
            </w:r>
          </w:p>
        </w:tc>
        <w:tc>
          <w:tcPr>
            <w:tcW w:w="100" w:type="dxa"/>
            <w:vAlign w:val="bottom"/>
            <w:tcBorders>
              <w:top w:val="single" w:sz="8" w:color="CCEEFF"/>
            </w:tcBorders>
            <w:shd w:val="clear" w:color="auto" w:fill="CCEEFF"/>
          </w:tcPr>
          <w:p>
            <w:pPr>
              <w:spacing w:after="0"/>
              <w:rPr>
                <w:sz w:val="19"/>
                <w:szCs w:val="19"/>
                <w:color w:val="auto"/>
              </w:rPr>
            </w:pPr>
          </w:p>
        </w:tc>
        <w:tc>
          <w:tcPr>
            <w:tcW w:w="4700" w:type="dxa"/>
            <w:vAlign w:val="bottom"/>
            <w:tcBorders>
              <w:top w:val="single" w:sz="8" w:color="auto"/>
            </w:tcBorders>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Elizabeth P. Bruno </w:t>
            </w:r>
            <w:r>
              <w:rPr>
                <w:rFonts w:ascii="Times New Roman" w:cs="Times New Roman" w:eastAsia="Times New Roman" w:hAnsi="Times New Roman"/>
                <w:sz w:val="23"/>
                <w:szCs w:val="23"/>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939,130</w:t>
            </w:r>
          </w:p>
        </w:tc>
        <w:tc>
          <w:tcPr>
            <w:tcW w:w="100" w:type="dxa"/>
            <w:vAlign w:val="bottom"/>
            <w:tcBorders>
              <w:top w:val="single" w:sz="8" w:color="CCEEFF"/>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0" w:type="dxa"/>
            <w:vAlign w:val="bottom"/>
          </w:tcPr>
          <w:p>
            <w:pPr>
              <w:spacing w:after="0"/>
              <w:rPr>
                <w:sz w:val="1"/>
                <w:szCs w:val="1"/>
                <w:color w:val="auto"/>
              </w:rPr>
            </w:pPr>
          </w:p>
        </w:tc>
      </w:tr>
      <w:tr>
        <w:trPr>
          <w:trHeight w:val="230"/>
        </w:trPr>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Russell R. Shaller</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262,455</w:t>
            </w: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0" w:type="dxa"/>
            <w:vAlign w:val="bottom"/>
          </w:tcPr>
          <w:p>
            <w:pPr>
              <w:spacing w:after="0"/>
              <w:rPr>
                <w:sz w:val="1"/>
                <w:szCs w:val="1"/>
                <w:color w:val="auto"/>
              </w:rPr>
            </w:pPr>
          </w:p>
        </w:tc>
      </w:tr>
      <w:tr>
        <w:trPr>
          <w:trHeight w:val="229"/>
        </w:trPr>
        <w:tc>
          <w:tcPr>
            <w:tcW w:w="2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Patrick W. Allender </w:t>
            </w:r>
            <w:r>
              <w:rPr>
                <w:rFonts w:ascii="Times New Roman" w:cs="Times New Roman" w:eastAsia="Times New Roman" w:hAnsi="Times New Roman"/>
                <w:sz w:val="23"/>
                <w:szCs w:val="23"/>
                <w:color w:val="auto"/>
                <w:vertAlign w:val="superscript"/>
              </w:rPr>
              <w:t>(2)</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134,947</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0" w:type="dxa"/>
            <w:vAlign w:val="bottom"/>
          </w:tcPr>
          <w:p>
            <w:pPr>
              <w:spacing w:after="0"/>
              <w:rPr>
                <w:sz w:val="1"/>
                <w:szCs w:val="1"/>
                <w:color w:val="auto"/>
              </w:rPr>
            </w:pPr>
          </w:p>
        </w:tc>
      </w:tr>
      <w:tr>
        <w:trPr>
          <w:trHeight w:val="229"/>
        </w:trPr>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Bradley C. Richardson</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79,354</w:t>
            </w: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Ann E. Thornton</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41,881</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0" w:type="dxa"/>
            <w:vAlign w:val="bottom"/>
          </w:tcPr>
          <w:p>
            <w:pPr>
              <w:spacing w:after="0"/>
              <w:rPr>
                <w:sz w:val="1"/>
                <w:szCs w:val="1"/>
                <w:color w:val="auto"/>
              </w:rPr>
            </w:pPr>
          </w:p>
        </w:tc>
      </w:tr>
      <w:tr>
        <w:trPr>
          <w:trHeight w:val="229"/>
        </w:trPr>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Michelle E. Williams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21,871</w:t>
            </w: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0" w:type="dxa"/>
            <w:vAlign w:val="bottom"/>
          </w:tcPr>
          <w:p>
            <w:pPr>
              <w:spacing w:after="0"/>
              <w:rPr>
                <w:sz w:val="1"/>
                <w:szCs w:val="1"/>
                <w:color w:val="auto"/>
              </w:rPr>
            </w:pPr>
          </w:p>
        </w:tc>
      </w:tr>
      <w:tr>
        <w:trPr>
          <w:trHeight w:val="229"/>
        </w:trPr>
        <w:tc>
          <w:tcPr>
            <w:tcW w:w="2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Andrew T. Gorman</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21,764</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David S. Bem</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15,893</w:t>
            </w: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Thomas F. DeBruine</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14,150</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Olivier Bojarski</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9,521</w:t>
            </w: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Joanne Collins Smee</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9,310</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Vineet Nargolwala</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9,310</w:t>
            </w: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Christopher Hix</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3,566</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Anne De Greef-Safft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1,860</w:t>
            </w: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Deidre E. Cusack</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1,827</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All Officers and Directors as a Group (16 persons)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1,582,393</w:t>
            </w: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0" w:type="dxa"/>
            <w:vAlign w:val="bottom"/>
          </w:tcPr>
          <w:p>
            <w:pPr>
              <w:spacing w:after="0"/>
              <w:rPr>
                <w:sz w:val="1"/>
                <w:szCs w:val="1"/>
                <w:color w:val="auto"/>
              </w:rPr>
            </w:pPr>
          </w:p>
        </w:tc>
      </w:tr>
      <w:tr>
        <w:trPr>
          <w:trHeight w:val="257"/>
        </w:trPr>
        <w:tc>
          <w:tcPr>
            <w:tcW w:w="24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9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06"/>
        </w:trPr>
        <w:tc>
          <w:tcPr>
            <w:tcW w:w="2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Class B Common Stock</w:t>
            </w:r>
          </w:p>
        </w:tc>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Elizabeth P. Bruno </w:t>
            </w:r>
            <w:r>
              <w:rPr>
                <w:rFonts w:ascii="Times New Roman" w:cs="Times New Roman" w:eastAsia="Times New Roman" w:hAnsi="Times New Roman"/>
                <w:sz w:val="23"/>
                <w:szCs w:val="23"/>
                <w:color w:val="auto"/>
                <w:vertAlign w:val="superscript"/>
              </w:rPr>
              <w:t>(1)</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1,769,304</w:t>
            </w:r>
          </w:p>
        </w:tc>
        <w:tc>
          <w:tcPr>
            <w:tcW w:w="100" w:type="dxa"/>
            <w:vAlign w:val="bottom"/>
          </w:tcPr>
          <w:p>
            <w:pPr>
              <w:spacing w:after="0"/>
              <w:rPr>
                <w:sz w:val="24"/>
                <w:szCs w:val="24"/>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50.0 %</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80" w:hanging="411"/>
        <w:spacing w:after="0"/>
        <w:tabs>
          <w:tab w:leader="none" w:pos="68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less than one-tenth of one percent.</w:t>
      </w:r>
    </w:p>
    <w:p>
      <w:pPr>
        <w:spacing w:after="0" w:line="252"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54" w:val="left"/>
        </w:tabs>
        <w:numPr>
          <w:ilvl w:val="2"/>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Bruno’s holdings of Class A Common Stock include 600,000 shares owned by a trust for which she is a trustee and has sole dispositive and voting authority and 8,220 shares owned by trusts in which she is a co-trustee. Ms. Bruno’s holdings of Class B Common Stock include 1,769,304 shares owned by a trust over which she has sole dispositive and voting authority.</w:t>
      </w:r>
    </w:p>
    <w:p>
      <w:pPr>
        <w:spacing w:after="0" w:line="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2"/>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Allender's holdings of Class A Common Stock include 37,486 shares owned by the Patrick and Deborah Allender Irrevocable Trust.</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4" w:val="left"/>
        </w:tabs>
        <w:numPr>
          <w:ilvl w:val="2"/>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shown for all officers and directors individually and as a group (16 persons) includes options to acquire a total of 231,045 shares of Class A Common Stock, which are currently exercisable or will be exercisable within 60 days of July 31, 2025, including the following: Mr. Shaller, 172,952 shares; Ms. Thornton, 25,867 shares; Mr. Gorman, 12,528 shares; and Mr. DeBruine, 5,013 shares. It does not include other options for Class A Common Stock which have been granted at later dates and are not exercisable within 60 days of July 31, 2025.</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4" w:val="left"/>
        </w:tabs>
        <w:numPr>
          <w:ilvl w:val="2"/>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shown for all officers and directors individually and as a group (16 persons) includes unvested restricted stock units to acquire 26,378 shares of Class A Common stock, which will vest within 60 days of July 31, 2025, including the following: Mr. Shaller, 17,414 units; Ms. Thornton, 383 units; Mr. Gorman, 2,315 units; Mr. DeBruine, 1,834 units; and Mr. Bojarski, 4,087 units; It does not include unvested restricted stock awards or restricted stock units to acquire Class A Common Stock which have been granted at later dates and will not vest within 60 days of July 31, 2025.</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54" w:val="left"/>
        </w:tabs>
        <w:numPr>
          <w:ilvl w:val="2"/>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shown for all officers and directors individually and as a group (16 persons) includes Class A Common Stock owned in deferred compensation plans totaling 223,479 shares of Class A Common Stock, including the following: Ms. Bruno, 2,923 shares; Mr. Allender, 97,461 shares; Mr. Richardson, 79,354 shares; Dr. Williams, 19,728 shares; Ms. Collins Smee, 9,310 shares; Mr. Nargolwala, 9,310 shares; Mr. Hix, 3,566 shares; and Ms. Cusack, 1,827 shares.</w:t>
      </w:r>
    </w:p>
    <w:p>
      <w:pPr>
        <w:spacing w:after="0" w:line="130"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Changes in Control</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 arrangements are known to the Company, which may, at a subsequent date, result in a change of control of the Company.</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280" w:hanging="272"/>
        <w:spacing w:after="0"/>
        <w:tabs>
          <w:tab w:leader="none" w:pos="280" w:val="left"/>
        </w:tabs>
        <w:numPr>
          <w:ilvl w:val="0"/>
          <w:numId w:val="6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i w:val="1"/>
          <w:iCs w:val="1"/>
          <w:color w:val="auto"/>
        </w:rPr>
        <w:t>Equity Compensation Plan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Plan Category</w:t>
      </w:r>
    </w:p>
    <w:p>
      <w:pPr>
        <w:spacing w:after="0" w:line="48" w:lineRule="exact"/>
        <w:rPr>
          <w:sz w:val="20"/>
          <w:szCs w:val="20"/>
          <w:color w:val="auto"/>
        </w:rPr>
      </w:pPr>
    </w:p>
    <w:p>
      <w:pPr>
        <w:ind w:left="20" w:right="300"/>
        <w:spacing w:after="0" w:line="237" w:lineRule="auto"/>
        <w:rPr>
          <w:sz w:val="20"/>
          <w:szCs w:val="20"/>
          <w:color w:val="auto"/>
        </w:rPr>
      </w:pPr>
      <w:r>
        <w:rPr>
          <w:rFonts w:ascii="Times New Roman" w:cs="Times New Roman" w:eastAsia="Times New Roman" w:hAnsi="Times New Roman"/>
          <w:sz w:val="18"/>
          <w:szCs w:val="18"/>
          <w:color w:val="auto"/>
        </w:rPr>
        <w:t>Equity compensation plans approved by security holders</w:t>
      </w:r>
    </w:p>
    <w:p>
      <w:pPr>
        <w:spacing w:after="0" w:line="10" w:lineRule="exact"/>
        <w:rPr>
          <w:sz w:val="20"/>
          <w:szCs w:val="20"/>
          <w:color w:val="auto"/>
        </w:rPr>
      </w:pPr>
    </w:p>
    <w:p>
      <w:pPr>
        <w:ind w:left="20" w:right="40"/>
        <w:spacing w:after="0" w:line="237" w:lineRule="auto"/>
        <w:rPr>
          <w:sz w:val="20"/>
          <w:szCs w:val="20"/>
          <w:color w:val="auto"/>
        </w:rPr>
      </w:pPr>
      <w:r>
        <w:rPr>
          <w:rFonts w:ascii="Times New Roman" w:cs="Times New Roman" w:eastAsia="Times New Roman" w:hAnsi="Times New Roman"/>
          <w:sz w:val="18"/>
          <w:szCs w:val="18"/>
          <w:color w:val="auto"/>
        </w:rPr>
        <w:t>Equity compensation plans not approved by security holders</w:t>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As of July 31, 2025</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25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24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560" w:type="dxa"/>
            <w:vAlign w:val="bottom"/>
            <w:tcBorders>
              <w:top w:val="single" w:sz="8" w:color="auto"/>
            </w:tcBorders>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46"/>
        </w:trPr>
        <w:tc>
          <w:tcPr>
            <w:tcW w:w="26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 of securities to be issued upon</w:t>
            </w:r>
          </w:p>
        </w:tc>
        <w:tc>
          <w:tcPr>
            <w:tcW w:w="160" w:type="dxa"/>
            <w:vAlign w:val="bottom"/>
          </w:tcPr>
          <w:p>
            <w:pPr>
              <w:spacing w:after="0"/>
              <w:rPr>
                <w:sz w:val="12"/>
                <w:szCs w:val="12"/>
                <w:color w:val="auto"/>
              </w:rPr>
            </w:pPr>
          </w:p>
        </w:tc>
        <w:tc>
          <w:tcPr>
            <w:tcW w:w="25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Weighted-average exercise price of</w:t>
            </w:r>
          </w:p>
        </w:tc>
        <w:tc>
          <w:tcPr>
            <w:tcW w:w="25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remaining available for future issuance</w:t>
            </w:r>
          </w:p>
        </w:tc>
        <w:tc>
          <w:tcPr>
            <w:tcW w:w="0" w:type="dxa"/>
            <w:vAlign w:val="bottom"/>
          </w:tcPr>
          <w:p>
            <w:pPr>
              <w:spacing w:after="0"/>
              <w:rPr>
                <w:sz w:val="1"/>
                <w:szCs w:val="1"/>
                <w:color w:val="auto"/>
              </w:rPr>
            </w:pPr>
          </w:p>
        </w:tc>
      </w:tr>
      <w:tr>
        <w:trPr>
          <w:trHeight w:val="137"/>
        </w:trPr>
        <w:tc>
          <w:tcPr>
            <w:tcW w:w="26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2500" w:type="dxa"/>
            <w:vAlign w:val="bottom"/>
            <w:gridSpan w:val="2"/>
            <w:vMerge w:val="continue"/>
          </w:tcPr>
          <w:p>
            <w:pPr>
              <w:spacing w:after="0"/>
              <w:rPr>
                <w:sz w:val="11"/>
                <w:szCs w:val="11"/>
                <w:color w:val="auto"/>
              </w:rPr>
            </w:pPr>
          </w:p>
        </w:tc>
        <w:tc>
          <w:tcPr>
            <w:tcW w:w="256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under equity compensation plans</w:t>
            </w:r>
          </w:p>
        </w:tc>
        <w:tc>
          <w:tcPr>
            <w:tcW w:w="0" w:type="dxa"/>
            <w:vAlign w:val="bottom"/>
          </w:tcPr>
          <w:p>
            <w:pPr>
              <w:spacing w:after="0"/>
              <w:rPr>
                <w:sz w:val="1"/>
                <w:szCs w:val="1"/>
                <w:color w:val="auto"/>
              </w:rPr>
            </w:pPr>
          </w:p>
        </w:tc>
      </w:tr>
      <w:tr>
        <w:trPr>
          <w:trHeight w:val="146"/>
        </w:trPr>
        <w:tc>
          <w:tcPr>
            <w:tcW w:w="266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exercise of outstanding options,</w:t>
            </w:r>
          </w:p>
        </w:tc>
        <w:tc>
          <w:tcPr>
            <w:tcW w:w="2660" w:type="dxa"/>
            <w:vAlign w:val="bottom"/>
            <w:gridSpan w:val="3"/>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outstanding options, warrants and rights</w:t>
            </w:r>
          </w:p>
        </w:tc>
        <w:tc>
          <w:tcPr>
            <w:tcW w:w="25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(excluding securities reflected in column</w:t>
            </w:r>
          </w:p>
        </w:tc>
        <w:tc>
          <w:tcPr>
            <w:tcW w:w="0" w:type="dxa"/>
            <w:vAlign w:val="bottom"/>
          </w:tcPr>
          <w:p>
            <w:pPr>
              <w:spacing w:after="0"/>
              <w:rPr>
                <w:sz w:val="1"/>
                <w:szCs w:val="1"/>
                <w:color w:val="auto"/>
              </w:rPr>
            </w:pPr>
          </w:p>
        </w:tc>
      </w:tr>
      <w:tr>
        <w:trPr>
          <w:trHeight w:val="198"/>
        </w:trPr>
        <w:tc>
          <w:tcPr>
            <w:tcW w:w="26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warrants and rights (a)</w:t>
            </w:r>
          </w:p>
        </w:tc>
        <w:tc>
          <w:tcPr>
            <w:tcW w:w="160" w:type="dxa"/>
            <w:vAlign w:val="bottom"/>
          </w:tcPr>
          <w:p>
            <w:pPr>
              <w:spacing w:after="0"/>
              <w:rPr>
                <w:sz w:val="17"/>
                <w:szCs w:val="17"/>
                <w:color w:val="auto"/>
              </w:rPr>
            </w:pPr>
          </w:p>
        </w:tc>
        <w:tc>
          <w:tcPr>
            <w:tcW w:w="25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w:t>
            </w:r>
          </w:p>
        </w:tc>
        <w:tc>
          <w:tcPr>
            <w:tcW w:w="2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 (c)</w:t>
            </w:r>
          </w:p>
        </w:tc>
        <w:tc>
          <w:tcPr>
            <w:tcW w:w="0" w:type="dxa"/>
            <w:vAlign w:val="bottom"/>
          </w:tcPr>
          <w:p>
            <w:pPr>
              <w:spacing w:after="0"/>
              <w:rPr>
                <w:sz w:val="1"/>
                <w:szCs w:val="1"/>
                <w:color w:val="auto"/>
              </w:rPr>
            </w:pPr>
          </w:p>
        </w:tc>
      </w:tr>
      <w:tr>
        <w:trPr>
          <w:trHeight w:val="404"/>
        </w:trPr>
        <w:tc>
          <w:tcPr>
            <w:tcW w:w="2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1,367,247</w:t>
            </w:r>
          </w:p>
        </w:tc>
        <w:tc>
          <w:tcPr>
            <w:tcW w:w="100" w:type="dxa"/>
            <w:vAlign w:val="bottom"/>
          </w:tcPr>
          <w:p>
            <w:pPr>
              <w:spacing w:after="0"/>
              <w:rPr>
                <w:sz w:val="24"/>
                <w:szCs w:val="24"/>
                <w:color w:val="auto"/>
              </w:rPr>
            </w:pPr>
          </w:p>
        </w:tc>
        <w:tc>
          <w:tcPr>
            <w:tcW w:w="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49.19</w:t>
            </w:r>
          </w:p>
        </w:tc>
        <w:tc>
          <w:tcPr>
            <w:tcW w:w="100" w:type="dxa"/>
            <w:vAlign w:val="bottom"/>
          </w:tcPr>
          <w:p>
            <w:pPr>
              <w:spacing w:after="0"/>
              <w:rPr>
                <w:sz w:val="24"/>
                <w:szCs w:val="24"/>
                <w:color w:val="auto"/>
              </w:rPr>
            </w:pPr>
          </w:p>
        </w:tc>
        <w:tc>
          <w:tcPr>
            <w:tcW w:w="256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4,721,007</w:t>
            </w:r>
          </w:p>
        </w:tc>
        <w:tc>
          <w:tcPr>
            <w:tcW w:w="0" w:type="dxa"/>
            <w:vAlign w:val="bottom"/>
          </w:tcPr>
          <w:p>
            <w:pPr>
              <w:spacing w:after="0"/>
              <w:rPr>
                <w:sz w:val="1"/>
                <w:szCs w:val="1"/>
                <w:color w:val="auto"/>
              </w:rPr>
            </w:pPr>
          </w:p>
        </w:tc>
      </w:tr>
      <w:tr>
        <w:trPr>
          <w:trHeight w:val="418"/>
        </w:trPr>
        <w:tc>
          <w:tcPr>
            <w:tcW w:w="2660" w:type="dxa"/>
            <w:vAlign w:val="bottom"/>
            <w:gridSpan w:val="2"/>
          </w:tcPr>
          <w:p>
            <w:pPr>
              <w:ind w:left="2160"/>
              <w:spacing w:after="0"/>
              <w:rPr>
                <w:sz w:val="20"/>
                <w:szCs w:val="20"/>
                <w:color w:val="auto"/>
              </w:rPr>
            </w:pPr>
            <w:r>
              <w:rPr>
                <w:rFonts w:ascii="Times New Roman" w:cs="Times New Roman" w:eastAsia="Times New Roman" w:hAnsi="Times New Roman"/>
                <w:sz w:val="18"/>
                <w:szCs w:val="18"/>
                <w:color w:val="auto"/>
              </w:rPr>
              <w:t>None</w:t>
            </w:r>
          </w:p>
        </w:tc>
        <w:tc>
          <w:tcPr>
            <w:tcW w:w="160" w:type="dxa"/>
            <w:vAlign w:val="bottom"/>
          </w:tcPr>
          <w:p>
            <w:pPr>
              <w:spacing w:after="0"/>
              <w:rPr>
                <w:sz w:val="24"/>
                <w:szCs w:val="24"/>
                <w:color w:val="auto"/>
              </w:rPr>
            </w:pPr>
          </w:p>
        </w:tc>
        <w:tc>
          <w:tcPr>
            <w:tcW w:w="250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rPr>
              <w:t>None</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None</w:t>
            </w:r>
          </w:p>
        </w:tc>
        <w:tc>
          <w:tcPr>
            <w:tcW w:w="0" w:type="dxa"/>
            <w:vAlign w:val="bottom"/>
          </w:tcPr>
          <w:p>
            <w:pPr>
              <w:spacing w:after="0"/>
              <w:rPr>
                <w:sz w:val="1"/>
                <w:szCs w:val="1"/>
                <w:color w:val="auto"/>
              </w:rPr>
            </w:pPr>
          </w:p>
        </w:tc>
      </w:tr>
      <w:tr>
        <w:trPr>
          <w:trHeight w:val="223"/>
        </w:trPr>
        <w:tc>
          <w:tcPr>
            <w:tcW w:w="2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1,367,247</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49.19</w:t>
            </w:r>
          </w:p>
        </w:tc>
        <w:tc>
          <w:tcPr>
            <w:tcW w:w="100" w:type="dxa"/>
            <w:vAlign w:val="bottom"/>
          </w:tcPr>
          <w:p>
            <w:pPr>
              <w:spacing w:after="0"/>
              <w:rPr>
                <w:sz w:val="19"/>
                <w:szCs w:val="19"/>
                <w:color w:val="auto"/>
              </w:rPr>
            </w:pPr>
          </w:p>
        </w:tc>
        <w:tc>
          <w:tcPr>
            <w:tcW w:w="25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4,721,007</w:t>
            </w:r>
          </w:p>
        </w:tc>
        <w:tc>
          <w:tcPr>
            <w:tcW w:w="0" w:type="dxa"/>
            <w:vAlign w:val="bottom"/>
          </w:tcPr>
          <w:p>
            <w:pPr>
              <w:spacing w:after="0"/>
              <w:rPr>
                <w:sz w:val="1"/>
                <w:szCs w:val="1"/>
                <w:color w:val="auto"/>
              </w:rPr>
            </w:pPr>
          </w:p>
        </w:tc>
      </w:tr>
      <w:tr>
        <w:trPr>
          <w:trHeight w:val="21"/>
        </w:trPr>
        <w:tc>
          <w:tcPr>
            <w:tcW w:w="2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-2102485</wp:posOffset>
            </wp:positionH>
            <wp:positionV relativeFrom="paragraph">
              <wp:posOffset>-719455</wp:posOffset>
            </wp:positionV>
            <wp:extent cx="7106285" cy="26543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06285" cy="265430"/>
                    </a:xfrm>
                    <a:prstGeom prst="rect">
                      <a:avLst/>
                    </a:prstGeom>
                    <a:noFill/>
                  </pic:spPr>
                </pic:pic>
              </a:graphicData>
            </a:graphic>
          </wp:anchor>
        </w:drawing>
        <w:drawing>
          <wp:anchor simplePos="0" relativeHeight="251657728" behindDoc="1" locked="0" layoutInCell="0" allowOverlap="1">
            <wp:simplePos x="0" y="0"/>
            <wp:positionH relativeFrom="column">
              <wp:posOffset>-2102485</wp:posOffset>
            </wp:positionH>
            <wp:positionV relativeFrom="paragraph">
              <wp:posOffset>-187960</wp:posOffset>
            </wp:positionV>
            <wp:extent cx="7106285" cy="1714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220" w:space="100"/>
            <w:col w:w="7920"/>
          </w:cols>
          <w:pgMar w:left="320" w:top="118" w:right="339" w:bottom="1440" w:gutter="0" w:footer="0" w:header="0"/>
        </w:sectPr>
      </w:pPr>
    </w:p>
    <w:p>
      <w:pPr>
        <w:spacing w:after="0" w:line="3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Company’s equity compensation plan allows the granting of stock options, restricted stock, RSUs, and unrestricted stock to various officers, directors and other employees of the Company at prices equal to fair market value at the date of grant. The Company has reserved 5,000,000 shares of Class A Nonvoting Common Stock for issuance under the Brady Corporation 2023 Omnibus Incentive Stock Plan. Generally, options will not be exercisable until one year after the date of grant, and will be exercisable thereafter, to the extent of one-third per year and have a maximum term of ten years. Generally, RSUs vest one-third per year for the first three years.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13. </w:t>
      </w:r>
      <w:r>
        <w:rPr>
          <w:rFonts w:ascii="Times New Roman" w:cs="Times New Roman" w:eastAsia="Times New Roman" w:hAnsi="Times New Roman"/>
          <w:sz w:val="18"/>
          <w:szCs w:val="18"/>
          <w:b w:val="1"/>
          <w:bCs w:val="1"/>
          <w:i w:val="1"/>
          <w:iCs w:val="1"/>
          <w:color w:val="auto"/>
        </w:rPr>
        <w:t>Certain Relationships and Related Transactions, and Director Independence</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Company annually solicits information from its directors in order to ensure there are no conflicts of interest. The information gathered annually is reviewed by the Company and if any transactions are not in accordance with the rules of the NYSE or are potentially in violation of the Company’s Corporate Governance Principles, the transactions are referred to the Corporate Governance Committee for approval or other action. Further, potential affiliated party transactions would be reported as a part of the Company’s quarterly disclosure process. In addition, pursuant to its charter, the Company’s Audit Committee periodically reviews reports and disclosures of insider and affiliated party transaction with the Company, if any. Furthermore, the Company’s directors are expected to be mindful of their fiduciary obligations to the Company and to report any potential conflicts to the Corporate Governance Committee for review. Based on the Company’s consideration of all relevant facts and circumstances, the Corporate Governance Committee will decide whether or not to approve such transactions and will approve only those transactions that are in the best interest of the Company. Additionally, the Company has processes in place to educate executives and employees about affiliated transactions. The Company maintains an anonymous hotline by which employees may report potential conflicts of interest such as affiliated party transactions.</w:t>
      </w:r>
    </w:p>
    <w:p>
      <w:pPr>
        <w:spacing w:after="0" w:line="14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undertaking its review of potential related party transactions, the Board considered the commercial relationships of the Company, if any, with those entities that have employed the Company’s directors. The commercial relationships, which involved the purchase and sale of products on customary terms, did not exceed the maximum amounts proscribed by the director independence rules of the NYSE. Furthermore, the compensation paid to the Company’s directors by their employers was not linked in any way to the commercial relationships their employers had with the Company in fiscal 2025. After consideration of these factors, the Board concluded that none of the directors whose employers had a commercial relationship with the Company had a material interest in the transactions and the commercial relationships were not material to the Company. Based on these factors, the Company has determined that it does not have material related party transactions that affect the results of operations, cash flow or financial condition. The Company has also determined that no transactions occurred in fiscal 2025, or are currently proposed, that would require disclosure under Item 404 (a) of Regulation S-K.</w:t>
      </w:r>
    </w:p>
    <w:p>
      <w:pPr>
        <w:spacing w:after="0" w:line="1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Item 10 above for a discussion of director independence.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96" w:name="page97"/>
    <w:bookmarkEnd w:id="9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14. </w:t>
      </w:r>
      <w:r>
        <w:rPr>
          <w:rFonts w:ascii="Times New Roman" w:cs="Times New Roman" w:eastAsia="Times New Roman" w:hAnsi="Times New Roman"/>
          <w:sz w:val="18"/>
          <w:szCs w:val="18"/>
          <w:b w:val="1"/>
          <w:bCs w:val="1"/>
          <w:i w:val="1"/>
          <w:iCs w:val="1"/>
          <w:color w:val="auto"/>
        </w:rPr>
        <w:t>Principal Accountant Fees and Services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aggregate fees incurred for professional services by Deloitte &amp; Touche LLP and Deloitte Tax LLP during the years ended July 31, 2025 and 2024. Other than as set forth below, no professional services were rendered or fees billed by Deloitte &amp; Touche LLP or Deloitte Tax LLP during the years ended July 31, 2025 and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20" w:type="dxa"/>
            <w:vAlign w:val="bottom"/>
          </w:tcPr>
          <w:p>
            <w:pPr>
              <w:spacing w:after="0"/>
              <w:rPr>
                <w:sz w:val="20"/>
                <w:szCs w:val="20"/>
                <w:color w:val="auto"/>
              </w:rPr>
            </w:pPr>
          </w:p>
        </w:tc>
        <w:tc>
          <w:tcPr>
            <w:tcW w:w="1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0" w:type="dxa"/>
            <w:vAlign w:val="bottom"/>
            <w:tcBorders>
              <w:bottom w:val="single" w:sz="8" w:color="auto"/>
            </w:tcBorders>
          </w:tcPr>
          <w:p>
            <w:pPr>
              <w:spacing w:after="0"/>
              <w:rPr>
                <w:sz w:val="20"/>
                <w:szCs w:val="20"/>
                <w:color w:val="auto"/>
              </w:rPr>
            </w:pPr>
          </w:p>
        </w:tc>
      </w:tr>
      <w:tr>
        <w:trPr>
          <w:trHeight w:val="223"/>
        </w:trPr>
        <w:tc>
          <w:tcPr>
            <w:tcW w:w="7520" w:type="dxa"/>
            <w:vAlign w:val="bottom"/>
          </w:tcPr>
          <w:p>
            <w:pPr>
              <w:spacing w:after="0"/>
              <w:rPr>
                <w:sz w:val="19"/>
                <w:szCs w:val="19"/>
                <w:color w:val="auto"/>
              </w:rPr>
            </w:pPr>
          </w:p>
        </w:tc>
        <w:tc>
          <w:tcPr>
            <w:tcW w:w="3080" w:type="dxa"/>
            <w:vAlign w:val="bottom"/>
            <w:gridSpan w:val="4"/>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600" w:type="dxa"/>
            <w:vAlign w:val="bottom"/>
          </w:tcPr>
          <w:p>
            <w:pPr>
              <w:spacing w:after="0"/>
              <w:rPr>
                <w:sz w:val="19"/>
                <w:szCs w:val="19"/>
                <w:color w:val="auto"/>
              </w:rPr>
            </w:pPr>
          </w:p>
        </w:tc>
      </w:tr>
      <w:tr>
        <w:trPr>
          <w:trHeight w:val="22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Audit, audit-related and tax compliance:</w:t>
            </w:r>
          </w:p>
        </w:tc>
        <w:tc>
          <w:tcPr>
            <w:tcW w:w="12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r>
      <w:tr>
        <w:trPr>
          <w:trHeight w:val="229"/>
        </w:trPr>
        <w:tc>
          <w:tcPr>
            <w:tcW w:w="7520" w:type="dxa"/>
            <w:vAlign w:val="bottom"/>
          </w:tcPr>
          <w:p>
            <w:pPr>
              <w:ind w:left="360"/>
              <w:spacing w:after="0" w:line="230" w:lineRule="exact"/>
              <w:rPr>
                <w:sz w:val="20"/>
                <w:szCs w:val="20"/>
                <w:color w:val="auto"/>
              </w:rPr>
            </w:pPr>
            <w:r>
              <w:rPr>
                <w:rFonts w:ascii="Times New Roman" w:cs="Times New Roman" w:eastAsia="Times New Roman" w:hAnsi="Times New Roman"/>
                <w:sz w:val="18"/>
                <w:szCs w:val="18"/>
                <w:color w:val="auto"/>
              </w:rPr>
              <w:t xml:space="preserve">Audit fees </w:t>
            </w:r>
            <w:r>
              <w:rPr>
                <w:rFonts w:ascii="Times New Roman" w:cs="Times New Roman" w:eastAsia="Times New Roman" w:hAnsi="Times New Roman"/>
                <w:sz w:val="23"/>
                <w:szCs w:val="23"/>
                <w:color w:val="auto"/>
                <w:vertAlign w:val="superscript"/>
              </w:rPr>
              <w:t>(1)</w:t>
            </w:r>
          </w:p>
        </w:tc>
        <w:tc>
          <w:tcPr>
            <w:tcW w:w="120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w:t>
            </w:r>
          </w:p>
        </w:tc>
        <w:tc>
          <w:tcPr>
            <w:tcW w:w="120" w:type="dxa"/>
            <w:vAlign w:val="bottom"/>
          </w:tcPr>
          <w:p>
            <w:pPr>
              <w:spacing w:after="0"/>
              <w:rPr>
                <w:sz w:val="19"/>
                <w:szCs w:val="19"/>
                <w:color w:val="auto"/>
              </w:rPr>
            </w:pPr>
          </w:p>
        </w:tc>
        <w:tc>
          <w:tcPr>
            <w:tcW w:w="118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w:t>
            </w:r>
          </w:p>
        </w:tc>
      </w:tr>
      <w:tr>
        <w:trPr>
          <w:trHeight w:val="230"/>
        </w:trPr>
        <w:tc>
          <w:tcPr>
            <w:tcW w:w="7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Tax fees — compliance</w:t>
            </w:r>
          </w:p>
        </w:tc>
        <w:tc>
          <w:tcPr>
            <w:tcW w:w="12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2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r>
      <w:tr>
        <w:trPr>
          <w:trHeight w:val="223"/>
        </w:trPr>
        <w:tc>
          <w:tcPr>
            <w:tcW w:w="7520" w:type="dxa"/>
            <w:vAlign w:val="bottom"/>
          </w:tcPr>
          <w:p>
            <w:pPr>
              <w:ind w:left="680"/>
              <w:spacing w:after="0"/>
              <w:rPr>
                <w:sz w:val="20"/>
                <w:szCs w:val="20"/>
                <w:color w:val="auto"/>
              </w:rPr>
            </w:pPr>
            <w:r>
              <w:rPr>
                <w:rFonts w:ascii="Times New Roman" w:cs="Times New Roman" w:eastAsia="Times New Roman" w:hAnsi="Times New Roman"/>
                <w:sz w:val="18"/>
                <w:szCs w:val="18"/>
                <w:i w:val="1"/>
                <w:iCs w:val="1"/>
                <w:color w:val="auto"/>
              </w:rPr>
              <w:t>Subtotal audit, audit-related and tax compliance fees</w:t>
            </w:r>
          </w:p>
        </w:tc>
        <w:tc>
          <w:tcPr>
            <w:tcW w:w="1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1,952</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1,734</w:t>
            </w:r>
          </w:p>
        </w:tc>
      </w:tr>
      <w:tr>
        <w:trPr>
          <w:trHeight w:val="23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Non-audit related:</w:t>
            </w:r>
          </w:p>
        </w:tc>
        <w:tc>
          <w:tcPr>
            <w:tcW w:w="12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r>
      <w:tr>
        <w:trPr>
          <w:trHeight w:val="229"/>
        </w:trPr>
        <w:tc>
          <w:tcPr>
            <w:tcW w:w="75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Tax fees — planning and advice</w:t>
            </w:r>
          </w:p>
        </w:tc>
        <w:tc>
          <w:tcPr>
            <w:tcW w:w="12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2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w:t>
            </w:r>
          </w:p>
        </w:tc>
      </w:tr>
      <w:tr>
        <w:trPr>
          <w:trHeight w:val="223"/>
        </w:trPr>
        <w:tc>
          <w:tcPr>
            <w:tcW w:w="75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i w:val="1"/>
                <w:iCs w:val="1"/>
                <w:color w:val="auto"/>
              </w:rPr>
              <w:t>Subtotal non-audit related fees</w:t>
            </w:r>
          </w:p>
        </w:tc>
        <w:tc>
          <w:tcPr>
            <w:tcW w:w="12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2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r>
      <w:tr>
        <w:trPr>
          <w:trHeight w:val="22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fees</w:t>
            </w:r>
          </w:p>
        </w:tc>
        <w:tc>
          <w:tcPr>
            <w:tcW w:w="1200" w:type="dxa"/>
            <w:vAlign w:val="bottom"/>
            <w:tcBorders>
              <w:bottom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2,392</w:t>
            </w:r>
          </w:p>
        </w:tc>
        <w:tc>
          <w:tcPr>
            <w:tcW w:w="120" w:type="dxa"/>
            <w:vAlign w:val="bottom"/>
          </w:tcPr>
          <w:p>
            <w:pPr>
              <w:spacing w:after="0"/>
              <w:rPr>
                <w:sz w:val="19"/>
                <w:szCs w:val="19"/>
                <w:color w:val="auto"/>
              </w:rPr>
            </w:pPr>
          </w:p>
        </w:tc>
        <w:tc>
          <w:tcPr>
            <w:tcW w:w="1180" w:type="dxa"/>
            <w:vAlign w:val="bottom"/>
            <w:tcBorders>
              <w:bottom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2,211</w:t>
            </w:r>
          </w:p>
        </w:tc>
      </w:tr>
      <w:tr>
        <w:trPr>
          <w:trHeight w:val="21"/>
        </w:trPr>
        <w:tc>
          <w:tcPr>
            <w:tcW w:w="75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-1379220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72" w:lineRule="exact"/>
        <w:rPr>
          <w:sz w:val="20"/>
          <w:szCs w:val="20"/>
          <w:color w:val="auto"/>
        </w:rPr>
      </w:pPr>
    </w:p>
    <w:p>
      <w:pPr>
        <w:ind w:left="660" w:hanging="328"/>
        <w:spacing w:after="0" w:line="271" w:lineRule="auto"/>
        <w:tabs>
          <w:tab w:leader="none" w:pos="65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consist of professional services rendered for the audit of the Company’s annual financial statements, attestation of management’s assessment of internal control and reviews of the quarterly financial statements.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02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9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Ratio of Tax Planning and Advice Fees to Audit Fees, Audit-Related Fees and Tax Compliance Fees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to 1</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to 1</w:t>
            </w:r>
          </w:p>
        </w:tc>
      </w:tr>
    </w:tbl>
    <w:p>
      <w:pPr>
        <w:spacing w:after="0" w:line="30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Pre-Approval Policy — </w:t>
      </w:r>
      <w:r>
        <w:rPr>
          <w:rFonts w:ascii="Times New Roman" w:cs="Times New Roman" w:eastAsia="Times New Roman" w:hAnsi="Times New Roman"/>
          <w:sz w:val="18"/>
          <w:szCs w:val="18"/>
          <w:color w:val="auto"/>
        </w:rPr>
        <w:t>The services performed by the Independent Registered Public Accounting Firm (“Independent Auditors”) in fiscal 2025 were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pre-approved in accordance with the pre-approval policy and procedures adopted by the Audit Committee. The policy requires the Audit Committee to pre-approve the audit and non-audit services performed by the Independent Auditors in order to assure that the provision of such services does not impair the auditor’s independence. All services performed for the Company by the Independent Auditor must be approved in advance by the Audit Committee. Any proposed services exceeding pre-approved cost levels also require specific pre-approval by the Audit Committee.</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15. </w:t>
      </w:r>
      <w:r>
        <w:rPr>
          <w:rFonts w:ascii="Times New Roman" w:cs="Times New Roman" w:eastAsia="Times New Roman" w:hAnsi="Times New Roman"/>
          <w:sz w:val="18"/>
          <w:szCs w:val="18"/>
          <w:b w:val="1"/>
          <w:bCs w:val="1"/>
          <w:i w:val="1"/>
          <w:iCs w:val="1"/>
          <w:color w:val="auto"/>
        </w:rPr>
        <w:t>Exhibits and Financial Statement Schedules</w:t>
      </w:r>
    </w:p>
    <w:p>
      <w:pPr>
        <w:spacing w:after="0" w:line="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Item 15 (a) — The following documents are filed as part of this report:</w:t>
      </w:r>
    </w:p>
    <w:p>
      <w:pPr>
        <w:spacing w:after="0" w:line="104" w:lineRule="exact"/>
        <w:rPr>
          <w:sz w:val="20"/>
          <w:szCs w:val="20"/>
          <w:color w:val="auto"/>
        </w:rPr>
      </w:pPr>
    </w:p>
    <w:p>
      <w:pPr>
        <w:ind w:left="980" w:right="6760" w:hanging="324"/>
        <w:spacing w:after="0" w:line="464" w:lineRule="auto"/>
        <w:tabs>
          <w:tab w:leader="none" w:pos="851"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&amp; 2) Consolidated Financial Statement Schedule - Schedule II Valuation and Qualifying Accounts</w:t>
      </w:r>
    </w:p>
    <w:p>
      <w:pPr>
        <w:ind w:left="980"/>
        <w:spacing w:after="0" w:line="282" w:lineRule="auto"/>
        <w:rPr>
          <w:sz w:val="20"/>
          <w:szCs w:val="20"/>
          <w:color w:val="auto"/>
        </w:rPr>
      </w:pPr>
      <w:r>
        <w:rPr>
          <w:rFonts w:ascii="Times New Roman" w:cs="Times New Roman" w:eastAsia="Times New Roman" w:hAnsi="Times New Roman"/>
          <w:sz w:val="18"/>
          <w:szCs w:val="18"/>
          <w:color w:val="auto"/>
        </w:rPr>
        <w:t>All other schedules are omitted as they are not required, or the required information is shown in the consolidated financial statements or notes thereto.</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 Exhibits — See Exhibit Index at page 99 of this Form 10-K.</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EXHIBIT INDEX</w:t>
      </w:r>
    </w:p>
    <w:p>
      <w:pPr>
        <w:sectPr>
          <w:pgSz w:w="11900" w:h="16838" w:orient="portrait"/>
          <w:cols w:equalWidth="0" w:num="1">
            <w:col w:w="11200"/>
          </w:cols>
          <w:pgMar w:left="320" w:top="118" w:right="379" w:bottom="1440" w:gutter="0" w:footer="0" w:header="0"/>
        </w:sectPr>
      </w:pPr>
    </w:p>
    <w:p>
      <w:pPr>
        <w:spacing w:after="0" w:line="2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4"/>
          <w:szCs w:val="14"/>
          <w:b w:val="1"/>
          <w:bCs w:val="1"/>
          <w:color w:val="auto"/>
        </w:rPr>
        <w:t>Number</w:t>
      </w:r>
    </w:p>
    <w:p>
      <w:pPr>
        <w:spacing w:after="0" w:line="20" w:lineRule="exact"/>
        <w:rPr>
          <w:sz w:val="20"/>
          <w:szCs w:val="20"/>
          <w:color w:val="auto"/>
        </w:rPr>
      </w:pPr>
      <w:r>
        <w:rPr>
          <w:sz w:val="20"/>
          <w:szCs w:val="20"/>
          <w:color w:val="auto"/>
        </w:rPr>
        <w:br w:type="column"/>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-3926840</wp:posOffset>
            </wp:positionH>
            <wp:positionV relativeFrom="paragraph">
              <wp:posOffset>119380</wp:posOffset>
            </wp:positionV>
            <wp:extent cx="7106285" cy="2743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06285" cy="274320"/>
                    </a:xfrm>
                    <a:prstGeom prst="rect">
                      <a:avLst/>
                    </a:prstGeom>
                    <a:noFill/>
                  </pic:spPr>
                </pic:pic>
              </a:graphicData>
            </a:graphic>
          </wp:anchor>
        </w:drawing>
      </w:r>
    </w:p>
    <w:p>
      <w:pPr>
        <w:spacing w:after="0" w:line="196" w:lineRule="exact"/>
        <w:rPr>
          <w:sz w:val="20"/>
          <w:szCs w:val="20"/>
          <w:color w:val="auto"/>
        </w:rPr>
      </w:pPr>
    </w:p>
    <w:p>
      <w:pPr>
        <w:sectPr>
          <w:pgSz w:w="11900" w:h="16838" w:orient="portrait"/>
          <w:cols w:equalWidth="0" w:num="2">
            <w:col w:w="5500" w:space="720"/>
            <w:col w:w="4980"/>
          </w:cols>
          <w:pgMar w:left="320" w:top="118" w:right="379" w:bottom="1440" w:gutter="0" w:footer="0" w:header="0"/>
          <w:type w:val="continuous"/>
        </w:sectPr>
      </w:pPr>
    </w:p>
    <w:p>
      <w:pPr>
        <w:ind w:left="1960" w:hanging="314"/>
        <w:spacing w:after="0" w:line="237"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2.1 </w:t>
      </w:r>
      <w:hyperlink r:id="rId159">
        <w:r>
          <w:rPr>
            <w:rFonts w:ascii="Times New Roman" w:cs="Times New Roman" w:eastAsia="Times New Roman" w:hAnsi="Times New Roman"/>
            <w:sz w:val="18"/>
            <w:szCs w:val="18"/>
            <w:color w:val="0000FF"/>
          </w:rPr>
          <w:t>Agreement and Plan of Merger, dated as of December 28, 2012, by and among Brady Corporation, BC I Merger Sub</w:t>
        </w:r>
      </w:hyperlink>
      <w:r>
        <w:rPr>
          <w:rFonts w:ascii="Times New Roman" w:cs="Times New Roman" w:eastAsia="Times New Roman" w:hAnsi="Times New Roman"/>
          <w:sz w:val="18"/>
          <w:szCs w:val="18"/>
          <w:color w:val="auto"/>
        </w:rPr>
        <w:t xml:space="preserve"> </w:t>
      </w:r>
      <w:hyperlink r:id="rId159">
        <w:r>
          <w:rPr>
            <w:rFonts w:ascii="Times New Roman" w:cs="Times New Roman" w:eastAsia="Times New Roman" w:hAnsi="Times New Roman"/>
            <w:sz w:val="18"/>
            <w:szCs w:val="18"/>
            <w:color w:val="0000FF"/>
          </w:rPr>
          <w:t>Corporation, Precision Dynamics Corporation, and Precision Dynamics Holding LLC (29)</w:t>
        </w:r>
      </w:hyperlink>
    </w:p>
    <w:p>
      <w:pPr>
        <w:spacing w:after="0" w:line="10" w:lineRule="exact"/>
        <w:rPr>
          <w:sz w:val="20"/>
          <w:szCs w:val="20"/>
          <w:color w:val="auto"/>
        </w:rPr>
      </w:pPr>
    </w:p>
    <w:p>
      <w:pPr>
        <w:ind w:left="1960" w:hanging="314"/>
        <w:spacing w:after="0" w:line="237"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2.2 </w:t>
      </w:r>
      <w:hyperlink r:id="rId160">
        <w:r>
          <w:rPr>
            <w:rFonts w:ascii="Times New Roman" w:cs="Times New Roman" w:eastAsia="Times New Roman" w:hAnsi="Times New Roman"/>
            <w:sz w:val="18"/>
            <w:szCs w:val="18"/>
            <w:color w:val="0000FF"/>
          </w:rPr>
          <w:t>Share and Asset Purchase Agreement, dated as of February 24, 2014, by and among Brady Corporation, LTI Flexible Products,</w:t>
        </w:r>
      </w:hyperlink>
      <w:r>
        <w:rPr>
          <w:rFonts w:ascii="Times New Roman" w:cs="Times New Roman" w:eastAsia="Times New Roman" w:hAnsi="Times New Roman"/>
          <w:sz w:val="18"/>
          <w:szCs w:val="18"/>
          <w:color w:val="auto"/>
        </w:rPr>
        <w:t xml:space="preserve"> </w:t>
      </w:r>
      <w:hyperlink r:id="rId160">
        <w:r>
          <w:rPr>
            <w:rFonts w:ascii="Times New Roman" w:cs="Times New Roman" w:eastAsia="Times New Roman" w:hAnsi="Times New Roman"/>
            <w:sz w:val="18"/>
            <w:szCs w:val="18"/>
            <w:color w:val="0000FF"/>
          </w:rPr>
          <w:t>Inc. (d/b/a Boyd Corporation), and LTI Holdings Inc. (6)</w:t>
        </w:r>
      </w:hyperlink>
    </w:p>
    <w:p>
      <w:pPr>
        <w:spacing w:after="0" w:line="10" w:lineRule="exact"/>
        <w:rPr>
          <w:sz w:val="20"/>
          <w:szCs w:val="20"/>
          <w:color w:val="auto"/>
        </w:rPr>
      </w:pPr>
    </w:p>
    <w:p>
      <w:pPr>
        <w:ind w:left="1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2.3 </w:t>
      </w:r>
      <w:hyperlink r:id="rId161">
        <w:r>
          <w:rPr>
            <w:rFonts w:ascii="Times New Roman" w:cs="Times New Roman" w:eastAsia="Times New Roman" w:hAnsi="Times New Roman"/>
            <w:sz w:val="18"/>
            <w:szCs w:val="18"/>
            <w:color w:val="0000FF"/>
          </w:rPr>
          <w:t>Combination Agreement, dated as of April 15, 2021, by and between Brady S.a.r.l and Nordic ID Oyj (30)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-127635</wp:posOffset>
            </wp:positionV>
            <wp:extent cx="7106285" cy="1460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2">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7" w:lineRule="exact"/>
        <w:rPr>
          <w:sz w:val="20"/>
          <w:szCs w:val="20"/>
          <w:color w:val="auto"/>
        </w:rPr>
      </w:pPr>
    </w:p>
    <w:p>
      <w:pPr>
        <w:ind w:left="1960" w:hanging="314"/>
        <w:spacing w:after="0" w:line="234"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2.4 </w:t>
      </w:r>
      <w:hyperlink r:id="rId163">
        <w:r>
          <w:rPr>
            <w:rFonts w:ascii="Times New Roman" w:cs="Times New Roman" w:eastAsia="Times New Roman" w:hAnsi="Times New Roman"/>
            <w:sz w:val="18"/>
            <w:szCs w:val="18"/>
            <w:color w:val="0000FF"/>
          </w:rPr>
          <w:t>Purchase Agreement, dated as of May 21, 2021, by and among Brady Corporation, LDC Limited, and the other institutional and</w:t>
        </w:r>
      </w:hyperlink>
      <w:r>
        <w:rPr>
          <w:rFonts w:ascii="Times New Roman" w:cs="Times New Roman" w:eastAsia="Times New Roman" w:hAnsi="Times New Roman"/>
          <w:sz w:val="18"/>
          <w:szCs w:val="18"/>
          <w:color w:val="auto"/>
        </w:rPr>
        <w:t xml:space="preserve"> </w:t>
      </w:r>
      <w:hyperlink r:id="rId163">
        <w:r>
          <w:rPr>
            <w:rFonts w:ascii="Times New Roman" w:cs="Times New Roman" w:eastAsia="Times New Roman" w:hAnsi="Times New Roman"/>
            <w:sz w:val="18"/>
            <w:szCs w:val="18"/>
            <w:color w:val="0000FF"/>
          </w:rPr>
          <w:t>individual holders of outstanding shares of Magicard Holdings Limited (36)</w:t>
        </w:r>
      </w:hyperlink>
    </w:p>
    <w:p>
      <w:pPr>
        <w:spacing w:after="0" w:line="10" w:lineRule="exact"/>
        <w:rPr>
          <w:sz w:val="20"/>
          <w:szCs w:val="20"/>
          <w:color w:val="auto"/>
        </w:rPr>
      </w:pPr>
    </w:p>
    <w:p>
      <w:pPr>
        <w:ind w:left="1960" w:hanging="314"/>
        <w:spacing w:after="0" w:line="237"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2.5 </w:t>
      </w:r>
      <w:hyperlink r:id="rId164">
        <w:r>
          <w:rPr>
            <w:rFonts w:ascii="Times New Roman" w:cs="Times New Roman" w:eastAsia="Times New Roman" w:hAnsi="Times New Roman"/>
            <w:sz w:val="18"/>
            <w:szCs w:val="18"/>
            <w:color w:val="0000FF"/>
          </w:rPr>
          <w:t>Purchase Agreement, dated as of June 16, 2021, by and among Brady Worldwide, Inc., BW Acquisition Corp., The Code</w:t>
        </w:r>
      </w:hyperlink>
      <w:r>
        <w:rPr>
          <w:rFonts w:ascii="Times New Roman" w:cs="Times New Roman" w:eastAsia="Times New Roman" w:hAnsi="Times New Roman"/>
          <w:sz w:val="18"/>
          <w:szCs w:val="18"/>
          <w:color w:val="auto"/>
        </w:rPr>
        <w:t xml:space="preserve"> </w:t>
      </w:r>
      <w:hyperlink r:id="rId164">
        <w:r>
          <w:rPr>
            <w:rFonts w:ascii="Times New Roman" w:cs="Times New Roman" w:eastAsia="Times New Roman" w:hAnsi="Times New Roman"/>
            <w:sz w:val="18"/>
            <w:szCs w:val="18"/>
            <w:color w:val="0000FF"/>
          </w:rPr>
          <w:t>Corporation, Certain Stockholders of the Code Corporation, and Shareholder Representative Services LLC (24)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-255905</wp:posOffset>
            </wp:positionV>
            <wp:extent cx="7106285" cy="26543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5">
                      <a:extLst>
                        <a:ext uri="{28A0092B-C50C-407E-A947-70E740481C1C}"/>
                      </a:extLst>
                    </a:blip>
                    <a:srcRect/>
                    <a:stretch>
                      <a:fillRect/>
                    </a:stretch>
                  </pic:blipFill>
                  <pic:spPr bwMode="auto">
                    <a:xfrm>
                      <a:off x="0" y="0"/>
                      <a:ext cx="7106285" cy="265430"/>
                    </a:xfrm>
                    <a:prstGeom prst="rect">
                      <a:avLst/>
                    </a:prstGeom>
                    <a:noFill/>
                  </pic:spPr>
                </pic:pic>
              </a:graphicData>
            </a:graphic>
          </wp:anchor>
        </w:drawing>
      </w:r>
    </w:p>
    <w:p>
      <w:pPr>
        <w:jc w:val="center"/>
        <w:ind w:left="1940" w:right="20"/>
        <w:spacing w:after="0" w:line="237"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2.6 </w:t>
      </w:r>
      <w:hyperlink r:id="rId166">
        <w:r>
          <w:rPr>
            <w:rFonts w:ascii="Times New Roman" w:cs="Times New Roman" w:eastAsia="Times New Roman" w:hAnsi="Times New Roman"/>
            <w:sz w:val="18"/>
            <w:szCs w:val="18"/>
            <w:color w:val="0000FF"/>
          </w:rPr>
          <w:t>Securities Sale and Purchase Agreement, dated as of July 3, 2024, by and between Braton Europe S.A.R.L., MML Capital</w:t>
        </w:r>
      </w:hyperlink>
      <w:r>
        <w:rPr>
          <w:rFonts w:ascii="Times New Roman" w:cs="Times New Roman" w:eastAsia="Times New Roman" w:hAnsi="Times New Roman"/>
          <w:sz w:val="18"/>
          <w:szCs w:val="18"/>
          <w:color w:val="auto"/>
        </w:rPr>
        <w:t xml:space="preserve"> </w:t>
      </w:r>
      <w:hyperlink r:id="rId166">
        <w:r>
          <w:rPr>
            <w:rFonts w:ascii="Times New Roman" w:cs="Times New Roman" w:eastAsia="Times New Roman" w:hAnsi="Times New Roman"/>
            <w:sz w:val="18"/>
            <w:szCs w:val="18"/>
            <w:color w:val="0000FF"/>
          </w:rPr>
          <w:t>Europe VI Equity II S.A., and the other institutional and individual holders of outstanding shares of Gravotech Holding (19)</w:t>
        </w:r>
      </w:hyperlink>
    </w:p>
    <w:p>
      <w:pPr>
        <w:spacing w:after="0" w:line="10"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3.1 Restated Articles of Incorporation of Brady Corporation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-127635</wp:posOffset>
            </wp:positionV>
            <wp:extent cx="7106285" cy="1454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7">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7" w:lineRule="exact"/>
        <w:rPr>
          <w:sz w:val="20"/>
          <w:szCs w:val="20"/>
          <w:color w:val="auto"/>
        </w:rPr>
      </w:pPr>
    </w:p>
    <w:p>
      <w:pPr>
        <w:ind w:left="1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3.2 </w:t>
      </w:r>
      <w:hyperlink r:id="rId168">
        <w:r>
          <w:rPr>
            <w:rFonts w:ascii="Times New Roman" w:cs="Times New Roman" w:eastAsia="Times New Roman" w:hAnsi="Times New Roman"/>
            <w:sz w:val="18"/>
            <w:szCs w:val="18"/>
            <w:color w:val="0000FF"/>
          </w:rPr>
          <w:t>By-Laws of Brady Corporation, as amended September 14, 2020 (23)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106285" cy="1454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9">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3" w:lineRule="exact"/>
        <w:rPr>
          <w:sz w:val="20"/>
          <w:szCs w:val="20"/>
          <w:color w:val="auto"/>
        </w:rPr>
      </w:pPr>
    </w:p>
    <w:p>
      <w:pPr>
        <w:ind w:left="1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4.1 </w:t>
      </w:r>
      <w:hyperlink r:id="rId170">
        <w:r>
          <w:rPr>
            <w:rFonts w:ascii="Times New Roman" w:cs="Times New Roman" w:eastAsia="Times New Roman" w:hAnsi="Times New Roman"/>
            <w:sz w:val="18"/>
            <w:szCs w:val="18"/>
            <w:color w:val="0000FF"/>
          </w:rPr>
          <w:t>Description of Brady Corporation Securities (3)</w:t>
        </w:r>
      </w:hyperlink>
    </w:p>
    <w:p>
      <w:pPr>
        <w:spacing w:after="0" w:line="23"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4.2 Form of Indenture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106285" cy="1454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1">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3" w:lineRule="exact"/>
        <w:rPr>
          <w:sz w:val="20"/>
          <w:szCs w:val="20"/>
          <w:color w:val="auto"/>
        </w:rPr>
      </w:pPr>
    </w:p>
    <w:p>
      <w:pPr>
        <w:ind w:left="1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*10.1 </w:t>
      </w:r>
      <w:hyperlink r:id="rId172">
        <w:r>
          <w:rPr>
            <w:rFonts w:ascii="Times New Roman" w:cs="Times New Roman" w:eastAsia="Times New Roman" w:hAnsi="Times New Roman"/>
            <w:sz w:val="18"/>
            <w:szCs w:val="18"/>
            <w:color w:val="0000FF"/>
          </w:rPr>
          <w:t>Brady Corporation 2023 Omnibus Incentive Plan (14)</w:t>
        </w:r>
      </w:hyperlink>
    </w:p>
    <w:p>
      <w:pPr>
        <w:spacing w:after="0" w:line="23"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color w:val="auto"/>
        </w:rPr>
        <w:t>*10.2 Brady Corporation BradyGold Plan, as amended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106285" cy="1460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3">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3"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color w:val="auto"/>
        </w:rPr>
        <w:t>*10.3 Executive Additional Compensation Plan, as amended (2)</w:t>
      </w:r>
    </w:p>
    <w:p>
      <w:pPr>
        <w:spacing w:after="0" w:line="23" w:lineRule="exact"/>
        <w:rPr>
          <w:sz w:val="20"/>
          <w:szCs w:val="20"/>
          <w:color w:val="auto"/>
        </w:rPr>
      </w:pPr>
    </w:p>
    <w:p>
      <w:pPr>
        <w:ind w:left="1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*10.4 </w:t>
      </w:r>
      <w:hyperlink r:id="rId174">
        <w:r>
          <w:rPr>
            <w:rFonts w:ascii="Times New Roman" w:cs="Times New Roman" w:eastAsia="Times New Roman" w:hAnsi="Times New Roman"/>
            <w:sz w:val="18"/>
            <w:szCs w:val="18"/>
            <w:color w:val="0000FF"/>
          </w:rPr>
          <w:t>Executive Deferred Compensation Plan, as amended (37)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106285" cy="1454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5">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3" w:lineRule="exact"/>
        <w:rPr>
          <w:sz w:val="20"/>
          <w:szCs w:val="20"/>
          <w:color w:val="auto"/>
        </w:rPr>
      </w:pPr>
    </w:p>
    <w:p>
      <w:pPr>
        <w:ind w:left="1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*10.5 </w:t>
      </w:r>
      <w:hyperlink r:id="rId176">
        <w:r>
          <w:rPr>
            <w:rFonts w:ascii="Times New Roman" w:cs="Times New Roman" w:eastAsia="Times New Roman" w:hAnsi="Times New Roman"/>
            <w:sz w:val="18"/>
            <w:szCs w:val="18"/>
            <w:color w:val="0000FF"/>
          </w:rPr>
          <w:t>Directors’ Deferred Compensation Plan, as amended (37)</w:t>
        </w:r>
      </w:hyperlink>
    </w:p>
    <w:p>
      <w:pPr>
        <w:spacing w:after="0" w:line="23" w:lineRule="exact"/>
        <w:rPr>
          <w:sz w:val="20"/>
          <w:szCs w:val="20"/>
          <w:color w:val="auto"/>
        </w:rPr>
      </w:pPr>
    </w:p>
    <w:p>
      <w:pPr>
        <w:ind w:left="1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*10.6 </w:t>
      </w:r>
      <w:hyperlink r:id="rId177">
        <w:r>
          <w:rPr>
            <w:rFonts w:ascii="Times New Roman" w:cs="Times New Roman" w:eastAsia="Times New Roman" w:hAnsi="Times New Roman"/>
            <w:sz w:val="18"/>
            <w:szCs w:val="18"/>
            <w:color w:val="0000FF"/>
          </w:rPr>
          <w:t>Change of Control Agreement, dated as of April 6, 2020, with Andrew T. Gorman (5)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106285" cy="1454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8">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3" w:lineRule="exact"/>
        <w:rPr>
          <w:sz w:val="20"/>
          <w:szCs w:val="20"/>
          <w:color w:val="auto"/>
        </w:rPr>
      </w:pPr>
    </w:p>
    <w:p>
      <w:pPr>
        <w:ind w:left="1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*10.7 </w:t>
      </w:r>
      <w:hyperlink r:id="rId179">
        <w:r>
          <w:rPr>
            <w:rFonts w:ascii="Times New Roman" w:cs="Times New Roman" w:eastAsia="Times New Roman" w:hAnsi="Times New Roman"/>
            <w:sz w:val="18"/>
            <w:szCs w:val="18"/>
            <w:color w:val="0000FF"/>
          </w:rPr>
          <w:t>Brady Corporation 2017 Omnibus Incentive Plan (27)</w:t>
        </w:r>
      </w:hyperlink>
    </w:p>
    <w:p>
      <w:pPr>
        <w:spacing w:after="0" w:line="23" w:lineRule="exact"/>
        <w:rPr>
          <w:sz w:val="20"/>
          <w:szCs w:val="20"/>
          <w:color w:val="auto"/>
        </w:rPr>
      </w:pPr>
    </w:p>
    <w:p>
      <w:pPr>
        <w:ind w:left="1960" w:hanging="440"/>
        <w:spacing w:after="0" w:line="234"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*10.8 </w:t>
      </w:r>
      <w:hyperlink r:id="rId180">
        <w:r>
          <w:rPr>
            <w:rFonts w:ascii="Times New Roman" w:cs="Times New Roman" w:eastAsia="Times New Roman" w:hAnsi="Times New Roman"/>
            <w:sz w:val="18"/>
            <w:szCs w:val="18"/>
            <w:color w:val="0000FF"/>
          </w:rPr>
          <w:t>Form of Nonqualified Stock Option Agreement under the Brady Corporation 2017 Omnibus Incentive Plan for awards granted</w:t>
        </w:r>
      </w:hyperlink>
      <w:r>
        <w:rPr>
          <w:rFonts w:ascii="Times New Roman" w:cs="Times New Roman" w:eastAsia="Times New Roman" w:hAnsi="Times New Roman"/>
          <w:sz w:val="18"/>
          <w:szCs w:val="18"/>
          <w:color w:val="auto"/>
        </w:rPr>
        <w:t xml:space="preserve"> </w:t>
      </w:r>
      <w:hyperlink r:id="rId180">
        <w:r>
          <w:rPr>
            <w:rFonts w:ascii="Times New Roman" w:cs="Times New Roman" w:eastAsia="Times New Roman" w:hAnsi="Times New Roman"/>
            <w:sz w:val="18"/>
            <w:szCs w:val="18"/>
            <w:color w:val="0000FF"/>
          </w:rPr>
          <w:t>prior to Fiscal 2019 (33)</w:t>
        </w:r>
      </w:hyperlink>
    </w:p>
    <w:p>
      <w:pPr>
        <w:spacing w:after="0" w:line="10"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color w:val="auto"/>
        </w:rPr>
        <w:t>10.9 Brady Corporation Automatic Dividend Reinvestment Plan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-127635</wp:posOffset>
            </wp:positionV>
            <wp:extent cx="7106285" cy="1454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1">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7" w:lineRule="exact"/>
        <w:rPr>
          <w:sz w:val="20"/>
          <w:szCs w:val="20"/>
          <w:color w:val="auto"/>
        </w:rPr>
      </w:pPr>
    </w:p>
    <w:p>
      <w:pPr>
        <w:ind w:left="1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*10.10 </w:t>
      </w:r>
      <w:hyperlink r:id="rId182">
        <w:r>
          <w:rPr>
            <w:rFonts w:ascii="Times New Roman" w:cs="Times New Roman" w:eastAsia="Times New Roman" w:hAnsi="Times New Roman"/>
            <w:sz w:val="18"/>
            <w:szCs w:val="18"/>
            <w:color w:val="0000FF"/>
          </w:rPr>
          <w:t>Original Employment Contract between Brady Corporation and Brett Wilms effective June 1, 2018 (10)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106285" cy="1460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3">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3" w:lineRule="exact"/>
        <w:rPr>
          <w:sz w:val="20"/>
          <w:szCs w:val="20"/>
          <w:color w:val="auto"/>
        </w:rPr>
      </w:pPr>
    </w:p>
    <w:p>
      <w:pPr>
        <w:ind w:left="1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*10.11 </w:t>
      </w:r>
      <w:hyperlink r:id="rId184">
        <w:r>
          <w:rPr>
            <w:rFonts w:ascii="Times New Roman" w:cs="Times New Roman" w:eastAsia="Times New Roman" w:hAnsi="Times New Roman"/>
            <w:sz w:val="18"/>
            <w:szCs w:val="18"/>
            <w:color w:val="0000FF"/>
          </w:rPr>
          <w:t>Employment Contract Addendum between Brady Corporation and Brett Wilms effective February 1, 2023 (10)</w:t>
        </w:r>
      </w:hyperlink>
    </w:p>
    <w:p>
      <w:pPr>
        <w:spacing w:after="0" w:line="23" w:lineRule="exact"/>
        <w:rPr>
          <w:sz w:val="20"/>
          <w:szCs w:val="20"/>
          <w:color w:val="auto"/>
        </w:rPr>
      </w:pPr>
    </w:p>
    <w:p>
      <w:pPr>
        <w:ind w:left="1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*10.12 </w:t>
      </w:r>
      <w:hyperlink r:id="rId185">
        <w:r>
          <w:rPr>
            <w:rFonts w:ascii="Times New Roman" w:cs="Times New Roman" w:eastAsia="Times New Roman" w:hAnsi="Times New Roman"/>
            <w:sz w:val="18"/>
            <w:szCs w:val="18"/>
            <w:color w:val="0000FF"/>
          </w:rPr>
          <w:t>Change of Control Agreement between Brady Corporation and Brett Wilms dated as of January 10, 2023 (10)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106285" cy="26543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6">
                      <a:extLst>
                        <a:ext uri="{28A0092B-C50C-407E-A947-70E740481C1C}"/>
                      </a:extLst>
                    </a:blip>
                    <a:srcRect/>
                    <a:stretch>
                      <a:fillRect/>
                    </a:stretch>
                  </pic:blipFill>
                  <pic:spPr bwMode="auto">
                    <a:xfrm>
                      <a:off x="0" y="0"/>
                      <a:ext cx="7106285" cy="265430"/>
                    </a:xfrm>
                    <a:prstGeom prst="rect">
                      <a:avLst/>
                    </a:prstGeom>
                    <a:noFill/>
                  </pic:spPr>
                </pic:pic>
              </a:graphicData>
            </a:graphic>
          </wp:anchor>
        </w:drawing>
      </w:r>
    </w:p>
    <w:p>
      <w:pPr>
        <w:spacing w:after="0" w:line="3" w:lineRule="exact"/>
        <w:rPr>
          <w:sz w:val="20"/>
          <w:szCs w:val="20"/>
          <w:color w:val="auto"/>
        </w:rPr>
      </w:pPr>
    </w:p>
    <w:p>
      <w:pPr>
        <w:ind w:left="1960" w:hanging="530"/>
        <w:spacing w:after="0" w:line="234"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*10.13 </w:t>
      </w:r>
      <w:hyperlink r:id="rId187">
        <w:r>
          <w:rPr>
            <w:rFonts w:ascii="Times New Roman" w:cs="Times New Roman" w:eastAsia="Times New Roman" w:hAnsi="Times New Roman"/>
            <w:sz w:val="18"/>
            <w:szCs w:val="18"/>
            <w:color w:val="0000FF"/>
          </w:rPr>
          <w:t>Form of Fiscal 2020 and Fiscal 2021 Nonqualified Employee Stock Option Agreement under the Brady Corporation 2017</w:t>
        </w:r>
      </w:hyperlink>
      <w:r>
        <w:rPr>
          <w:rFonts w:ascii="Times New Roman" w:cs="Times New Roman" w:eastAsia="Times New Roman" w:hAnsi="Times New Roman"/>
          <w:sz w:val="18"/>
          <w:szCs w:val="18"/>
          <w:color w:val="auto"/>
        </w:rPr>
        <w:t xml:space="preserve"> </w:t>
      </w:r>
      <w:hyperlink r:id="rId187">
        <w:r>
          <w:rPr>
            <w:rFonts w:ascii="Times New Roman" w:cs="Times New Roman" w:eastAsia="Times New Roman" w:hAnsi="Times New Roman"/>
            <w:sz w:val="18"/>
            <w:szCs w:val="18"/>
            <w:color w:val="0000FF"/>
          </w:rPr>
          <w:t>Omnibus Incentive Plan (3)</w:t>
        </w:r>
      </w:hyperlink>
    </w:p>
    <w:p>
      <w:pPr>
        <w:spacing w:after="0" w:line="10" w:lineRule="exact"/>
        <w:rPr>
          <w:sz w:val="20"/>
          <w:szCs w:val="20"/>
          <w:color w:val="auto"/>
        </w:rPr>
      </w:pPr>
    </w:p>
    <w:p>
      <w:pPr>
        <w:ind w:left="1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*10.14 </w:t>
      </w:r>
      <w:hyperlink r:id="rId188">
        <w:r>
          <w:rPr>
            <w:rFonts w:ascii="Times New Roman" w:cs="Times New Roman" w:eastAsia="Times New Roman" w:hAnsi="Times New Roman"/>
            <w:sz w:val="18"/>
            <w:szCs w:val="18"/>
            <w:color w:val="0000FF"/>
          </w:rPr>
          <w:t>Executive Deferred Compensation Plan, As Amended and Restated Effective September 5, 2023 (7)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7106285" cy="1460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9">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7" w:lineRule="exact"/>
        <w:rPr>
          <w:sz w:val="20"/>
          <w:szCs w:val="20"/>
          <w:color w:val="auto"/>
        </w:rPr>
      </w:pPr>
    </w:p>
    <w:p>
      <w:pPr>
        <w:ind w:left="1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*10.15 </w:t>
      </w:r>
      <w:hyperlink r:id="rId190">
        <w:r>
          <w:rPr>
            <w:rFonts w:ascii="Times New Roman" w:cs="Times New Roman" w:eastAsia="Times New Roman" w:hAnsi="Times New Roman"/>
            <w:sz w:val="18"/>
            <w:szCs w:val="18"/>
            <w:color w:val="0000FF"/>
          </w:rPr>
          <w:t>Restated Brady Corporation Restoration Plan, as amended (37)</w:t>
        </w:r>
      </w:hyperlink>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type w:val="continuous"/>
        </w:sectPr>
      </w:pPr>
    </w:p>
    <w:bookmarkStart w:id="99" w:name="page100"/>
    <w:bookmarkEnd w:id="9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*10.16 </w:t>
      </w:r>
      <w:hyperlink r:id="rId190">
        <w:r>
          <w:rPr>
            <w:rFonts w:ascii="Times New Roman" w:cs="Times New Roman" w:eastAsia="Times New Roman" w:hAnsi="Times New Roman"/>
            <w:sz w:val="18"/>
            <w:szCs w:val="18"/>
            <w:color w:val="0000FF"/>
          </w:rPr>
          <w:t>Restated Brady Corporation Restoration Plan, as amended (37)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7106285" cy="1460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2">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7" w:lineRule="exact"/>
        <w:rPr>
          <w:sz w:val="20"/>
          <w:szCs w:val="20"/>
          <w:color w:val="auto"/>
        </w:rPr>
      </w:pPr>
    </w:p>
    <w:p>
      <w:pPr>
        <w:ind w:left="1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*10.17 </w:t>
      </w:r>
      <w:hyperlink r:id="rId193">
        <w:r>
          <w:rPr>
            <w:rFonts w:ascii="Times New Roman" w:cs="Times New Roman" w:eastAsia="Times New Roman" w:hAnsi="Times New Roman"/>
            <w:sz w:val="18"/>
            <w:szCs w:val="18"/>
            <w:color w:val="0000FF"/>
          </w:rPr>
          <w:t>Form of Nonqualified Stock Option Agreement under the Brady Corporation 2023 Omnibus Incentive Plan (14)</w:t>
        </w:r>
      </w:hyperlink>
    </w:p>
    <w:p>
      <w:pPr>
        <w:spacing w:after="0" w:line="23" w:lineRule="exact"/>
        <w:rPr>
          <w:sz w:val="20"/>
          <w:szCs w:val="20"/>
          <w:color w:val="auto"/>
        </w:rPr>
      </w:pPr>
    </w:p>
    <w:p>
      <w:pPr>
        <w:ind w:left="1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*10.18 </w:t>
      </w:r>
      <w:hyperlink r:id="rId194">
        <w:r>
          <w:rPr>
            <w:rFonts w:ascii="Times New Roman" w:cs="Times New Roman" w:eastAsia="Times New Roman" w:hAnsi="Times New Roman"/>
            <w:sz w:val="18"/>
            <w:szCs w:val="18"/>
            <w:color w:val="0000FF"/>
          </w:rPr>
          <w:t>Employment Offer Letter, dated as of March 11, 2022, with Russell R. Shaller (15)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106285" cy="1454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5">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3" w:lineRule="exact"/>
        <w:rPr>
          <w:sz w:val="20"/>
          <w:szCs w:val="20"/>
          <w:color w:val="auto"/>
        </w:rPr>
      </w:pPr>
    </w:p>
    <w:p>
      <w:pPr>
        <w:ind w:left="1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*10.19 </w:t>
      </w:r>
      <w:hyperlink r:id="rId196">
        <w:r>
          <w:rPr>
            <w:rFonts w:ascii="Times New Roman" w:cs="Times New Roman" w:eastAsia="Times New Roman" w:hAnsi="Times New Roman"/>
            <w:sz w:val="18"/>
            <w:szCs w:val="18"/>
            <w:color w:val="0000FF"/>
          </w:rPr>
          <w:t>Change of Control Agreement, dated as of April 1, 2022, with Russell R. Shaller (15)</w:t>
        </w:r>
      </w:hyperlink>
    </w:p>
    <w:p>
      <w:pPr>
        <w:spacing w:after="0" w:line="23" w:lineRule="exact"/>
        <w:rPr>
          <w:sz w:val="20"/>
          <w:szCs w:val="20"/>
          <w:color w:val="auto"/>
        </w:rPr>
      </w:pPr>
    </w:p>
    <w:p>
      <w:pPr>
        <w:ind w:left="1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*10.20 </w:t>
      </w:r>
      <w:hyperlink r:id="rId197">
        <w:r>
          <w:rPr>
            <w:rFonts w:ascii="Times New Roman" w:cs="Times New Roman" w:eastAsia="Times New Roman" w:hAnsi="Times New Roman"/>
            <w:sz w:val="18"/>
            <w:szCs w:val="18"/>
            <w:color w:val="0000FF"/>
          </w:rPr>
          <w:t>Employment Offer Letter, dated as of February 19, 2020, with Andrew T. Gorman (5)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106285" cy="3771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8">
                      <a:extLst>
                        <a:ext uri="{28A0092B-C50C-407E-A947-70E740481C1C}"/>
                      </a:extLst>
                    </a:blip>
                    <a:srcRect/>
                    <a:stretch>
                      <a:fillRect/>
                    </a:stretch>
                  </pic:blipFill>
                  <pic:spPr bwMode="auto">
                    <a:xfrm>
                      <a:off x="0" y="0"/>
                      <a:ext cx="7106285" cy="377190"/>
                    </a:xfrm>
                    <a:prstGeom prst="rect">
                      <a:avLst/>
                    </a:prstGeom>
                    <a:noFill/>
                  </pic:spPr>
                </pic:pic>
              </a:graphicData>
            </a:graphic>
          </wp:anchor>
        </w:drawing>
      </w:r>
    </w:p>
    <w:p>
      <w:pPr>
        <w:spacing w:after="0" w:line="3" w:lineRule="exact"/>
        <w:rPr>
          <w:sz w:val="20"/>
          <w:szCs w:val="20"/>
          <w:color w:val="auto"/>
        </w:rPr>
      </w:pPr>
    </w:p>
    <w:p>
      <w:pPr>
        <w:jc w:val="right"/>
        <w:ind w:left="1460"/>
        <w:spacing w:after="0" w:line="220"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10.21 </w:t>
      </w:r>
      <w:hyperlink r:id="rId199">
        <w:r>
          <w:rPr>
            <w:rFonts w:ascii="Times New Roman" w:cs="Times New Roman" w:eastAsia="Times New Roman" w:hAnsi="Times New Roman"/>
            <w:sz w:val="18"/>
            <w:szCs w:val="18"/>
            <w:color w:val="0000FF"/>
          </w:rPr>
          <w:t>Credit Agreement, dated as of August 1, 2019, by and among Brady Corporation and certain of its subsidiaries, the lenders</w:t>
        </w:r>
      </w:hyperlink>
      <w:r>
        <w:rPr>
          <w:rFonts w:ascii="Times New Roman" w:cs="Times New Roman" w:eastAsia="Times New Roman" w:hAnsi="Times New Roman"/>
          <w:sz w:val="18"/>
          <w:szCs w:val="18"/>
          <w:color w:val="auto"/>
        </w:rPr>
        <w:t xml:space="preserve"> </w:t>
      </w:r>
      <w:hyperlink r:id="rId199">
        <w:r>
          <w:rPr>
            <w:rFonts w:ascii="Times New Roman" w:cs="Times New Roman" w:eastAsia="Times New Roman" w:hAnsi="Times New Roman"/>
            <w:sz w:val="18"/>
            <w:szCs w:val="18"/>
            <w:color w:val="0000FF"/>
          </w:rPr>
          <w:t>listed therein, BMO Harris Bank, N.A., as administrative agent and L/C issuer, Bank of America, N.A., as syndication agent</w:t>
        </w:r>
      </w:hyperlink>
    </w:p>
    <w:p>
      <w:pPr>
        <w:ind w:left="1960"/>
        <w:spacing w:after="0"/>
        <w:rPr>
          <w:rFonts w:ascii="Times New Roman" w:cs="Times New Roman" w:eastAsia="Times New Roman" w:hAnsi="Times New Roman"/>
          <w:sz w:val="18"/>
          <w:szCs w:val="18"/>
          <w:color w:val="0000FF"/>
        </w:rPr>
      </w:pPr>
      <w:hyperlink r:id="rId199">
        <w:r>
          <w:rPr>
            <w:rFonts w:ascii="Times New Roman" w:cs="Times New Roman" w:eastAsia="Times New Roman" w:hAnsi="Times New Roman"/>
            <w:sz w:val="18"/>
            <w:szCs w:val="18"/>
            <w:color w:val="0000FF"/>
          </w:rPr>
          <w:t>and L/C issuer, and Wells Fargo Bank, N.A., as documentation agent (38)</w:t>
        </w:r>
      </w:hyperlink>
    </w:p>
    <w:p>
      <w:pPr>
        <w:spacing w:after="0" w:line="7" w:lineRule="exact"/>
        <w:rPr>
          <w:sz w:val="20"/>
          <w:szCs w:val="20"/>
          <w:color w:val="auto"/>
        </w:rPr>
      </w:pPr>
    </w:p>
    <w:p>
      <w:pPr>
        <w:ind w:left="1960" w:hanging="494"/>
        <w:spacing w:after="0" w:line="234"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10.22 </w:t>
      </w:r>
      <w:hyperlink r:id="rId200">
        <w:r>
          <w:rPr>
            <w:rFonts w:ascii="Times New Roman" w:cs="Times New Roman" w:eastAsia="Times New Roman" w:hAnsi="Times New Roman"/>
            <w:sz w:val="18"/>
            <w:szCs w:val="18"/>
            <w:color w:val="0000FF"/>
          </w:rPr>
          <w:t>First Amendment to Credit Agreement, dated as of December 21, 2021, by and among Brady Corporation and certain of its</w:t>
        </w:r>
      </w:hyperlink>
      <w:r>
        <w:rPr>
          <w:rFonts w:ascii="Times New Roman" w:cs="Times New Roman" w:eastAsia="Times New Roman" w:hAnsi="Times New Roman"/>
          <w:sz w:val="18"/>
          <w:szCs w:val="18"/>
          <w:color w:val="auto"/>
        </w:rPr>
        <w:t xml:space="preserve"> </w:t>
      </w:r>
      <w:hyperlink r:id="rId200">
        <w:r>
          <w:rPr>
            <w:rFonts w:ascii="Times New Roman" w:cs="Times New Roman" w:eastAsia="Times New Roman" w:hAnsi="Times New Roman"/>
            <w:sz w:val="18"/>
            <w:szCs w:val="18"/>
            <w:color w:val="0000FF"/>
          </w:rPr>
          <w:t>subsidiaries, the lenders listed therein and BMO Harris Bank, N.A., as administrative agent (20)</w:t>
        </w:r>
      </w:hyperlink>
    </w:p>
    <w:p>
      <w:pPr>
        <w:spacing w:after="0" w:line="10" w:lineRule="exact"/>
        <w:rPr>
          <w:sz w:val="20"/>
          <w:szCs w:val="20"/>
          <w:color w:val="auto"/>
        </w:rPr>
      </w:pPr>
    </w:p>
    <w:p>
      <w:pPr>
        <w:ind w:left="1960" w:hanging="494"/>
        <w:spacing w:after="0" w:line="237"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10.23 </w:t>
      </w:r>
      <w:hyperlink r:id="rId201">
        <w:r>
          <w:rPr>
            <w:rFonts w:ascii="Times New Roman" w:cs="Times New Roman" w:eastAsia="Times New Roman" w:hAnsi="Times New Roman"/>
            <w:sz w:val="18"/>
            <w:szCs w:val="18"/>
            <w:color w:val="0000FF"/>
          </w:rPr>
          <w:t>Second Amendment to Credit Agreement, dated as of November 14, 2022, by and among Brady Corporation and certain of its</w:t>
        </w:r>
      </w:hyperlink>
      <w:r>
        <w:rPr>
          <w:rFonts w:ascii="Times New Roman" w:cs="Times New Roman" w:eastAsia="Times New Roman" w:hAnsi="Times New Roman"/>
          <w:sz w:val="18"/>
          <w:szCs w:val="18"/>
          <w:color w:val="auto"/>
        </w:rPr>
        <w:t xml:space="preserve"> </w:t>
      </w:r>
      <w:hyperlink r:id="rId201">
        <w:r>
          <w:rPr>
            <w:rFonts w:ascii="Times New Roman" w:cs="Times New Roman" w:eastAsia="Times New Roman" w:hAnsi="Times New Roman"/>
            <w:sz w:val="18"/>
            <w:szCs w:val="18"/>
            <w:color w:val="0000FF"/>
          </w:rPr>
          <w:t>subsidiaries, the lenders listed therein and BMO Harris Bank, N.A., as administrative agent (35)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-255905</wp:posOffset>
            </wp:positionV>
            <wp:extent cx="7106285" cy="26543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2">
                      <a:extLst>
                        <a:ext uri="{28A0092B-C50C-407E-A947-70E740481C1C}"/>
                      </a:extLst>
                    </a:blip>
                    <a:srcRect/>
                    <a:stretch>
                      <a:fillRect/>
                    </a:stretch>
                  </pic:blipFill>
                  <pic:spPr bwMode="auto">
                    <a:xfrm>
                      <a:off x="0" y="0"/>
                      <a:ext cx="7106285" cy="265430"/>
                    </a:xfrm>
                    <a:prstGeom prst="rect">
                      <a:avLst/>
                    </a:prstGeom>
                    <a:noFill/>
                  </pic:spPr>
                </pic:pic>
              </a:graphicData>
            </a:graphic>
          </wp:anchor>
        </w:drawing>
      </w:r>
    </w:p>
    <w:p>
      <w:pPr>
        <w:ind w:left="1960" w:hanging="494"/>
        <w:spacing w:after="0" w:line="237"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10.24 </w:t>
      </w:r>
      <w:hyperlink r:id="rId203">
        <w:r>
          <w:rPr>
            <w:rFonts w:ascii="Times New Roman" w:cs="Times New Roman" w:eastAsia="Times New Roman" w:hAnsi="Times New Roman"/>
            <w:sz w:val="18"/>
            <w:szCs w:val="18"/>
            <w:color w:val="0000FF"/>
          </w:rPr>
          <w:t>Third Amendment to Credit Agreement, dated as of October 10, 2024, by and among Brady Corporation and certain of its</w:t>
        </w:r>
      </w:hyperlink>
      <w:r>
        <w:rPr>
          <w:rFonts w:ascii="Times New Roman" w:cs="Times New Roman" w:eastAsia="Times New Roman" w:hAnsi="Times New Roman"/>
          <w:sz w:val="18"/>
          <w:szCs w:val="18"/>
          <w:color w:val="auto"/>
        </w:rPr>
        <w:t xml:space="preserve"> </w:t>
      </w:r>
      <w:hyperlink r:id="rId203">
        <w:r>
          <w:rPr>
            <w:rFonts w:ascii="Times New Roman" w:cs="Times New Roman" w:eastAsia="Times New Roman" w:hAnsi="Times New Roman"/>
            <w:sz w:val="18"/>
            <w:szCs w:val="18"/>
            <w:color w:val="0000FF"/>
          </w:rPr>
          <w:t>subsidiaries, the lenders listed therein and BMO Harris Bank, N.A., as administrative agent (22)</w:t>
        </w:r>
      </w:hyperlink>
    </w:p>
    <w:p>
      <w:pPr>
        <w:spacing w:after="0" w:line="10" w:lineRule="exact"/>
        <w:rPr>
          <w:sz w:val="20"/>
          <w:szCs w:val="20"/>
          <w:color w:val="auto"/>
        </w:rPr>
      </w:pPr>
    </w:p>
    <w:p>
      <w:pPr>
        <w:ind w:left="1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*10.25 </w:t>
      </w:r>
      <w:hyperlink r:id="rId204">
        <w:r>
          <w:rPr>
            <w:rFonts w:ascii="Times New Roman" w:cs="Times New Roman" w:eastAsia="Times New Roman" w:hAnsi="Times New Roman"/>
            <w:sz w:val="18"/>
            <w:szCs w:val="18"/>
            <w:color w:val="0000FF"/>
          </w:rPr>
          <w:t>Employment Offer Letter, dated as of August 3, 2022, with Oliver Bojarski (12)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-127635</wp:posOffset>
            </wp:positionV>
            <wp:extent cx="7106285" cy="1454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5">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7" w:lineRule="exact"/>
        <w:rPr>
          <w:sz w:val="20"/>
          <w:szCs w:val="20"/>
          <w:color w:val="auto"/>
        </w:rPr>
      </w:pPr>
    </w:p>
    <w:p>
      <w:pPr>
        <w:ind w:left="1960" w:hanging="530"/>
        <w:spacing w:after="0" w:line="234"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*10.26 </w:t>
      </w:r>
      <w:hyperlink r:id="rId206">
        <w:r>
          <w:rPr>
            <w:rFonts w:ascii="Times New Roman" w:cs="Times New Roman" w:eastAsia="Times New Roman" w:hAnsi="Times New Roman"/>
            <w:sz w:val="18"/>
            <w:szCs w:val="18"/>
            <w:color w:val="0000FF"/>
          </w:rPr>
          <w:t>Employee Non-Compete and Non-Disclosure Agreement, dated as of August 3, 2022, between Brady Corporation and Oliver</w:t>
        </w:r>
      </w:hyperlink>
      <w:r>
        <w:rPr>
          <w:rFonts w:ascii="Times New Roman" w:cs="Times New Roman" w:eastAsia="Times New Roman" w:hAnsi="Times New Roman"/>
          <w:sz w:val="18"/>
          <w:szCs w:val="18"/>
          <w:color w:val="auto"/>
        </w:rPr>
        <w:t xml:space="preserve"> </w:t>
      </w:r>
      <w:hyperlink r:id="rId206">
        <w:r>
          <w:rPr>
            <w:rFonts w:ascii="Times New Roman" w:cs="Times New Roman" w:eastAsia="Times New Roman" w:hAnsi="Times New Roman"/>
            <w:sz w:val="18"/>
            <w:szCs w:val="18"/>
            <w:color w:val="0000FF"/>
          </w:rPr>
          <w:t>Bojarski (12)</w:t>
        </w:r>
      </w:hyperlink>
    </w:p>
    <w:p>
      <w:pPr>
        <w:spacing w:after="0" w:line="10" w:lineRule="exact"/>
        <w:rPr>
          <w:sz w:val="20"/>
          <w:szCs w:val="20"/>
          <w:color w:val="auto"/>
        </w:rPr>
      </w:pPr>
    </w:p>
    <w:p>
      <w:pPr>
        <w:ind w:left="1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*10.27 </w:t>
      </w:r>
      <w:hyperlink r:id="rId207">
        <w:r>
          <w:rPr>
            <w:rFonts w:ascii="Times New Roman" w:cs="Times New Roman" w:eastAsia="Times New Roman" w:hAnsi="Times New Roman"/>
            <w:sz w:val="18"/>
            <w:szCs w:val="18"/>
            <w:color w:val="0000FF"/>
          </w:rPr>
          <w:t>Form of Restricted Stock Unit Agreement under the Brady Corporation 2023 Omnibus Incentive Plan (14)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-127635</wp:posOffset>
            </wp:positionV>
            <wp:extent cx="7106285" cy="1454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8">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7" w:lineRule="exact"/>
        <w:rPr>
          <w:sz w:val="20"/>
          <w:szCs w:val="20"/>
          <w:color w:val="auto"/>
        </w:rPr>
      </w:pPr>
    </w:p>
    <w:p>
      <w:pPr>
        <w:ind w:left="1960" w:hanging="530"/>
        <w:spacing w:after="0" w:line="234"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*10.28 </w:t>
      </w:r>
      <w:hyperlink r:id="rId209">
        <w:r>
          <w:rPr>
            <w:rFonts w:ascii="Times New Roman" w:cs="Times New Roman" w:eastAsia="Times New Roman" w:hAnsi="Times New Roman"/>
            <w:sz w:val="18"/>
            <w:szCs w:val="18"/>
            <w:color w:val="0000FF"/>
          </w:rPr>
          <w:t>Form of Fiscal 2023 Performance-Based Restricted Stock Unit Agreement under the Brady Corporation 2017 Omnibus</w:t>
        </w:r>
      </w:hyperlink>
      <w:r>
        <w:rPr>
          <w:rFonts w:ascii="Times New Roman" w:cs="Times New Roman" w:eastAsia="Times New Roman" w:hAnsi="Times New Roman"/>
          <w:sz w:val="18"/>
          <w:szCs w:val="18"/>
          <w:color w:val="auto"/>
        </w:rPr>
        <w:t xml:space="preserve"> </w:t>
      </w:r>
      <w:hyperlink r:id="rId209">
        <w:r>
          <w:rPr>
            <w:rFonts w:ascii="Times New Roman" w:cs="Times New Roman" w:eastAsia="Times New Roman" w:hAnsi="Times New Roman"/>
            <w:sz w:val="18"/>
            <w:szCs w:val="18"/>
            <w:color w:val="0000FF"/>
          </w:rPr>
          <w:t>Incentive Plan (5)</w:t>
        </w:r>
      </w:hyperlink>
    </w:p>
    <w:p>
      <w:pPr>
        <w:spacing w:after="0" w:line="10" w:lineRule="exact"/>
        <w:rPr>
          <w:sz w:val="20"/>
          <w:szCs w:val="20"/>
          <w:color w:val="auto"/>
        </w:rPr>
      </w:pPr>
    </w:p>
    <w:p>
      <w:pPr>
        <w:ind w:left="1960" w:hanging="530"/>
        <w:spacing w:after="0" w:line="237"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*10.29 </w:t>
      </w:r>
      <w:hyperlink r:id="rId210">
        <w:r>
          <w:rPr>
            <w:rFonts w:ascii="Times New Roman" w:cs="Times New Roman" w:eastAsia="Times New Roman" w:hAnsi="Times New Roman"/>
            <w:sz w:val="18"/>
            <w:szCs w:val="18"/>
            <w:color w:val="0000FF"/>
          </w:rPr>
          <w:t>Form of Fiscal 2022 Nonqualified Employee Stock Option Agreement under the Brady Corporation 2017 Omnibus Incentive</w:t>
        </w:r>
      </w:hyperlink>
      <w:r>
        <w:rPr>
          <w:rFonts w:ascii="Times New Roman" w:cs="Times New Roman" w:eastAsia="Times New Roman" w:hAnsi="Times New Roman"/>
          <w:sz w:val="18"/>
          <w:szCs w:val="18"/>
          <w:color w:val="auto"/>
        </w:rPr>
        <w:t xml:space="preserve"> </w:t>
      </w:r>
      <w:hyperlink r:id="rId210">
        <w:r>
          <w:rPr>
            <w:rFonts w:ascii="Times New Roman" w:cs="Times New Roman" w:eastAsia="Times New Roman" w:hAnsi="Times New Roman"/>
            <w:sz w:val="18"/>
            <w:szCs w:val="18"/>
            <w:color w:val="0000FF"/>
          </w:rPr>
          <w:t>Plan (34)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-255905</wp:posOffset>
            </wp:positionV>
            <wp:extent cx="7106285" cy="26543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1">
                      <a:extLst>
                        <a:ext uri="{28A0092B-C50C-407E-A947-70E740481C1C}"/>
                      </a:extLst>
                    </a:blip>
                    <a:srcRect/>
                    <a:stretch>
                      <a:fillRect/>
                    </a:stretch>
                  </pic:blipFill>
                  <pic:spPr bwMode="auto">
                    <a:xfrm>
                      <a:off x="0" y="0"/>
                      <a:ext cx="7106285" cy="265430"/>
                    </a:xfrm>
                    <a:prstGeom prst="rect">
                      <a:avLst/>
                    </a:prstGeom>
                    <a:noFill/>
                  </pic:spPr>
                </pic:pic>
              </a:graphicData>
            </a:graphic>
          </wp:anchor>
        </w:drawing>
      </w:r>
    </w:p>
    <w:p>
      <w:pPr>
        <w:ind w:left="1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*10.30 </w:t>
      </w:r>
      <w:hyperlink r:id="rId212">
        <w:r>
          <w:rPr>
            <w:rFonts w:ascii="Times New Roman" w:cs="Times New Roman" w:eastAsia="Times New Roman" w:hAnsi="Times New Roman"/>
            <w:sz w:val="18"/>
            <w:szCs w:val="18"/>
            <w:color w:val="0000FF"/>
          </w:rPr>
          <w:t>Addendum to the 2017 General Stock Option Incentive Plan of Brady Corporation for Participants in France (18)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7106285" cy="1454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3">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7" w:lineRule="exact"/>
        <w:rPr>
          <w:sz w:val="20"/>
          <w:szCs w:val="20"/>
          <w:color w:val="auto"/>
        </w:rPr>
      </w:pPr>
    </w:p>
    <w:p>
      <w:pPr>
        <w:ind w:left="1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*10.31 </w:t>
      </w:r>
      <w:hyperlink r:id="rId214">
        <w:r>
          <w:rPr>
            <w:rFonts w:ascii="Times New Roman" w:cs="Times New Roman" w:eastAsia="Times New Roman" w:hAnsi="Times New Roman"/>
            <w:sz w:val="18"/>
            <w:szCs w:val="18"/>
            <w:color w:val="0000FF"/>
          </w:rPr>
          <w:t>Addendum to the 2017 General Restricted Stock Unit Incentive Plan of Brady Corporation for Participants in France (18)</w:t>
        </w:r>
      </w:hyperlink>
    </w:p>
    <w:p>
      <w:pPr>
        <w:spacing w:after="0" w:line="23" w:lineRule="exact"/>
        <w:rPr>
          <w:sz w:val="20"/>
          <w:szCs w:val="20"/>
          <w:color w:val="auto"/>
        </w:rPr>
      </w:pPr>
    </w:p>
    <w:p>
      <w:pPr>
        <w:ind w:left="1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*10.32 </w:t>
      </w:r>
      <w:hyperlink r:id="rId215">
        <w:r>
          <w:rPr>
            <w:rFonts w:ascii="Times New Roman" w:cs="Times New Roman" w:eastAsia="Times New Roman" w:hAnsi="Times New Roman"/>
            <w:sz w:val="18"/>
            <w:szCs w:val="18"/>
            <w:color w:val="0000FF"/>
          </w:rPr>
          <w:t>Employment Offer Letter between Brady Corporation and Ann E. Thornton dated as of April 14, 2023 (16)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106285" cy="1460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6">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3" w:lineRule="exact"/>
        <w:rPr>
          <w:sz w:val="20"/>
          <w:szCs w:val="20"/>
          <w:color w:val="auto"/>
        </w:rPr>
      </w:pPr>
    </w:p>
    <w:p>
      <w:pPr>
        <w:ind w:left="1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*10.33 </w:t>
      </w:r>
      <w:hyperlink r:id="rId217">
        <w:r>
          <w:rPr>
            <w:rFonts w:ascii="Times New Roman" w:cs="Times New Roman" w:eastAsia="Times New Roman" w:hAnsi="Times New Roman"/>
            <w:sz w:val="18"/>
            <w:szCs w:val="18"/>
            <w:color w:val="0000FF"/>
          </w:rPr>
          <w:t>Change of Control Agreement between Brady Corporation and Ann E. Thornton dated as of April 14, 2023 (16)</w:t>
        </w:r>
      </w:hyperlink>
    </w:p>
    <w:p>
      <w:pPr>
        <w:spacing w:after="0" w:line="23" w:lineRule="exact"/>
        <w:rPr>
          <w:sz w:val="20"/>
          <w:szCs w:val="20"/>
          <w:color w:val="auto"/>
        </w:rPr>
      </w:pPr>
    </w:p>
    <w:p>
      <w:pPr>
        <w:ind w:left="1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*10.34 </w:t>
      </w:r>
      <w:hyperlink r:id="rId218">
        <w:r>
          <w:rPr>
            <w:rFonts w:ascii="Times New Roman" w:cs="Times New Roman" w:eastAsia="Times New Roman" w:hAnsi="Times New Roman"/>
            <w:sz w:val="18"/>
            <w:szCs w:val="18"/>
            <w:color w:val="0000FF"/>
          </w:rPr>
          <w:t>Employment Offer Letter between Brady Corporation and Thomas DeBruine dated as of May 24, 2024 (17)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106285" cy="1460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9">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3" w:lineRule="exact"/>
        <w:rPr>
          <w:sz w:val="20"/>
          <w:szCs w:val="20"/>
          <w:color w:val="auto"/>
        </w:rPr>
      </w:pPr>
    </w:p>
    <w:p>
      <w:pPr>
        <w:ind w:left="1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*10.35 </w:t>
      </w:r>
      <w:hyperlink r:id="rId220">
        <w:r>
          <w:rPr>
            <w:rFonts w:ascii="Times New Roman" w:cs="Times New Roman" w:eastAsia="Times New Roman" w:hAnsi="Times New Roman"/>
            <w:sz w:val="18"/>
            <w:szCs w:val="18"/>
            <w:color w:val="0000FF"/>
          </w:rPr>
          <w:t>Change of Control Agreement, dated as of April 11, 2022, with Thomas DeBruine (17)</w:t>
        </w:r>
      </w:hyperlink>
    </w:p>
    <w:p>
      <w:pPr>
        <w:spacing w:after="0" w:line="23" w:lineRule="exact"/>
        <w:rPr>
          <w:sz w:val="20"/>
          <w:szCs w:val="20"/>
          <w:color w:val="auto"/>
        </w:rPr>
      </w:pPr>
    </w:p>
    <w:p>
      <w:pPr>
        <w:ind w:left="1960" w:hanging="530"/>
        <w:spacing w:after="0" w:line="234"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*10.36 </w:t>
      </w:r>
      <w:hyperlink r:id="rId221">
        <w:r>
          <w:rPr>
            <w:rFonts w:ascii="Times New Roman" w:cs="Times New Roman" w:eastAsia="Times New Roman" w:hAnsi="Times New Roman"/>
            <w:sz w:val="18"/>
            <w:szCs w:val="18"/>
            <w:color w:val="0000FF"/>
          </w:rPr>
          <w:t>Form of Fiscal 2025 Performance-Based Restricted Stock Unit Agreement under the Brady Corporation 2023 Omnibus</w:t>
        </w:r>
      </w:hyperlink>
      <w:r>
        <w:rPr>
          <w:rFonts w:ascii="Times New Roman" w:cs="Times New Roman" w:eastAsia="Times New Roman" w:hAnsi="Times New Roman"/>
          <w:sz w:val="18"/>
          <w:szCs w:val="18"/>
          <w:color w:val="auto"/>
        </w:rPr>
        <w:t xml:space="preserve"> </w:t>
      </w:r>
      <w:hyperlink r:id="rId221">
        <w:r>
          <w:rPr>
            <w:rFonts w:ascii="Times New Roman" w:cs="Times New Roman" w:eastAsia="Times New Roman" w:hAnsi="Times New Roman"/>
            <w:sz w:val="18"/>
            <w:szCs w:val="18"/>
            <w:color w:val="0000FF"/>
          </w:rPr>
          <w:t>Incentive Plan (8)</w:t>
        </w:r>
      </w:hyperlink>
    </w:p>
    <w:p>
      <w:pPr>
        <w:spacing w:after="0" w:line="10" w:lineRule="exact"/>
        <w:rPr>
          <w:sz w:val="20"/>
          <w:szCs w:val="20"/>
          <w:color w:val="auto"/>
        </w:rPr>
      </w:pPr>
    </w:p>
    <w:p>
      <w:pPr>
        <w:ind w:left="1960" w:hanging="267"/>
        <w:spacing w:after="0"/>
        <w:tabs>
          <w:tab w:leader="none" w:pos="1960" w:val="left"/>
        </w:tabs>
        <w:numPr>
          <w:ilvl w:val="0"/>
          <w:numId w:val="64"/>
        </w:numPr>
        <w:rPr>
          <w:rFonts w:ascii="Times New Roman" w:cs="Times New Roman" w:eastAsia="Times New Roman" w:hAnsi="Times New Roman"/>
          <w:sz w:val="18"/>
          <w:szCs w:val="18"/>
          <w:color w:val="0000FF"/>
        </w:rPr>
      </w:pPr>
      <w:hyperlink r:id="rId222">
        <w:r>
          <w:rPr>
            <w:rFonts w:ascii="Times New Roman" w:cs="Times New Roman" w:eastAsia="Times New Roman" w:hAnsi="Times New Roman"/>
            <w:sz w:val="18"/>
            <w:szCs w:val="18"/>
            <w:color w:val="0000FF"/>
          </w:rPr>
          <w:t>Insider Trading Policy of Brady Corporation (8)</w:t>
        </w:r>
      </w:hyperlink>
    </w:p>
    <w:p>
      <w:pPr>
        <w:spacing w:after="0" w:line="27" w:lineRule="exact"/>
        <w:rPr>
          <w:rFonts w:ascii="Times New Roman" w:cs="Times New Roman" w:eastAsia="Times New Roman" w:hAnsi="Times New Roman"/>
          <w:sz w:val="18"/>
          <w:szCs w:val="18"/>
          <w:color w:val="0000FF"/>
        </w:rPr>
      </w:pPr>
    </w:p>
    <w:p>
      <w:pPr>
        <w:ind w:left="1960" w:hanging="267"/>
        <w:spacing w:after="0"/>
        <w:tabs>
          <w:tab w:leader="none" w:pos="19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0000FF"/>
        </w:rPr>
        <w:t>Subsidiaries of Brady Corporation</w:t>
      </w:r>
    </w:p>
    <w:p>
      <w:pPr>
        <w:spacing w:after="0" w:line="22" w:lineRule="exact"/>
        <w:rPr>
          <w:rFonts w:ascii="Times New Roman" w:cs="Times New Roman" w:eastAsia="Times New Roman" w:hAnsi="Times New Roman"/>
          <w:sz w:val="18"/>
          <w:szCs w:val="18"/>
          <w:color w:val="auto"/>
        </w:rPr>
      </w:pPr>
    </w:p>
    <w:p>
      <w:pPr>
        <w:ind w:left="1960" w:hanging="267"/>
        <w:spacing w:after="0"/>
        <w:tabs>
          <w:tab w:leader="none" w:pos="19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0000FF"/>
        </w:rPr>
        <w:t>Consent of Deloitte &amp; Touche LLP,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-422275</wp:posOffset>
            </wp:positionV>
            <wp:extent cx="7106285" cy="1460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3">
                      <a:extLst>
                        <a:ext uri="{28A0092B-C50C-407E-A947-70E740481C1C}"/>
                      </a:extLst>
                    </a:blip>
                    <a:srcRect/>
                    <a:stretch>
                      <a:fillRect/>
                    </a:stretch>
                  </pic:blipFill>
                  <pic:spPr bwMode="auto">
                    <a:xfrm>
                      <a:off x="0" y="0"/>
                      <a:ext cx="7106285" cy="14605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-130810</wp:posOffset>
            </wp:positionV>
            <wp:extent cx="7106285" cy="1460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4">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3"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color w:val="auto"/>
        </w:rPr>
        <w:t xml:space="preserve">31.1 </w:t>
      </w:r>
      <w:r>
        <w:rPr>
          <w:rFonts w:ascii="Times New Roman" w:cs="Times New Roman" w:eastAsia="Times New Roman" w:hAnsi="Times New Roman"/>
          <w:sz w:val="18"/>
          <w:szCs w:val="18"/>
          <w:color w:val="0000FF"/>
        </w:rPr>
        <w:t>Rule 13a-14(a)/15d-14(a) Certification of Russell R. Shaller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106285" cy="1460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5">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3"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color w:val="auto"/>
        </w:rPr>
        <w:t xml:space="preserve">31.2 </w:t>
      </w:r>
      <w:r>
        <w:rPr>
          <w:rFonts w:ascii="Times New Roman" w:cs="Times New Roman" w:eastAsia="Times New Roman" w:hAnsi="Times New Roman"/>
          <w:sz w:val="18"/>
          <w:szCs w:val="18"/>
          <w:color w:val="0000FF"/>
        </w:rPr>
        <w:t>Rule 13a-14(a)/15d-14(a) Certification of Ann E. Thornton</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color w:val="auto"/>
        </w:rPr>
        <w:t xml:space="preserve">32.1 </w:t>
      </w:r>
      <w:r>
        <w:rPr>
          <w:rFonts w:ascii="Times New Roman" w:cs="Times New Roman" w:eastAsia="Times New Roman" w:hAnsi="Times New Roman"/>
          <w:sz w:val="18"/>
          <w:szCs w:val="18"/>
          <w:color w:val="0000FF"/>
        </w:rPr>
        <w:t>Section 1350 Certification of Russell R. Shaller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7106285" cy="1460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7">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7"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color w:val="auto"/>
        </w:rPr>
        <w:t xml:space="preserve">32.2 </w:t>
      </w:r>
      <w:r>
        <w:rPr>
          <w:rFonts w:ascii="Times New Roman" w:cs="Times New Roman" w:eastAsia="Times New Roman" w:hAnsi="Times New Roman"/>
          <w:sz w:val="18"/>
          <w:szCs w:val="18"/>
          <w:color w:val="0000FF"/>
        </w:rPr>
        <w:t>Section 1350 Certification of Ann E. Thornton</w:t>
      </w:r>
    </w:p>
    <w:p>
      <w:pPr>
        <w:spacing w:after="0" w:line="23" w:lineRule="exact"/>
        <w:rPr>
          <w:sz w:val="20"/>
          <w:szCs w:val="20"/>
          <w:color w:val="auto"/>
        </w:rPr>
      </w:pPr>
    </w:p>
    <w:p>
      <w:pPr>
        <w:ind w:left="1320" w:right="4419" w:firstLine="373"/>
        <w:spacing w:after="0" w:line="266" w:lineRule="auto"/>
        <w:tabs>
          <w:tab w:leader="none" w:pos="1961" w:val="left"/>
        </w:tabs>
        <w:numPr>
          <w:ilvl w:val="0"/>
          <w:numId w:val="67"/>
        </w:numPr>
        <w:rPr>
          <w:rFonts w:ascii="Times New Roman" w:cs="Times New Roman" w:eastAsia="Times New Roman" w:hAnsi="Times New Roman"/>
          <w:sz w:val="18"/>
          <w:szCs w:val="18"/>
          <w:color w:val="0000FF"/>
        </w:rPr>
      </w:pPr>
      <w:hyperlink r:id="rId228">
        <w:r>
          <w:rPr>
            <w:rFonts w:ascii="Times New Roman" w:cs="Times New Roman" w:eastAsia="Times New Roman" w:hAnsi="Times New Roman"/>
            <w:sz w:val="18"/>
            <w:szCs w:val="18"/>
            <w:color w:val="0000FF"/>
          </w:rPr>
          <w:t>Incentive Recovery Policy of Brady Corporation (8)</w:t>
        </w:r>
      </w:hyperlink>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101.INS Inline XBRL Instance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-144780</wp:posOffset>
            </wp:positionV>
            <wp:extent cx="7106285" cy="1454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9">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8"/>
          <w:szCs w:val="18"/>
          <w:color w:val="auto"/>
        </w:rPr>
        <w:t>101.SCH Inline XBRL Taxonomy Schema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106285" cy="1454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30">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101.CAL Inline XBRL Taxonomy Extension Calculation Linkbase Document</w:t>
      </w:r>
    </w:p>
    <w:p>
      <w:pPr>
        <w:spacing w:after="0" w:line="2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101.DEF Inline XBRL Taxonomy Extension Definition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106285" cy="1454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31">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101.LAB Inline XBRL Taxonomy Extension Label Linkbase Document</w:t>
      </w:r>
    </w:p>
    <w:p>
      <w:pPr>
        <w:spacing w:after="0" w:line="2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101.PRE Inline XBRL Taxonomy Extension Presentation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106285" cy="1460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2">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3" w:lineRule="exact"/>
        <w:rPr>
          <w:sz w:val="20"/>
          <w:szCs w:val="20"/>
          <w:color w:val="auto"/>
        </w:rPr>
      </w:pPr>
    </w:p>
    <w:p>
      <w:pPr>
        <w:ind w:left="1960" w:hanging="356"/>
        <w:spacing w:after="0"/>
        <w:tabs>
          <w:tab w:leader="none" w:pos="1960" w:val="left"/>
        </w:tabs>
        <w:numPr>
          <w:ilvl w:val="2"/>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Inline XBRL data (Contained in Exhibit 101)</w:t>
      </w:r>
    </w:p>
    <w:p>
      <w:pPr>
        <w:spacing w:after="0" w:line="139" w:lineRule="exact"/>
        <w:rPr>
          <w:rFonts w:ascii="Times New Roman" w:cs="Times New Roman" w:eastAsia="Times New Roman" w:hAnsi="Times New Roman"/>
          <w:sz w:val="18"/>
          <w:szCs w:val="18"/>
          <w:color w:val="auto"/>
        </w:rPr>
      </w:pPr>
    </w:p>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Management contract or compensatory plan or arrangement</w:t>
      </w:r>
    </w:p>
    <w:p>
      <w:pPr>
        <w:spacing w:after="0" w:line="90" w:lineRule="exact"/>
        <w:rPr>
          <w:rFonts w:ascii="Times New Roman" w:cs="Times New Roman" w:eastAsia="Times New Roman" w:hAnsi="Times New Roman"/>
          <w:sz w:val="18"/>
          <w:szCs w:val="18"/>
          <w:color w:val="auto"/>
        </w:rPr>
      </w:pPr>
    </w:p>
    <w:p>
      <w:pPr>
        <w:ind w:left="520" w:hanging="472"/>
        <w:spacing w:after="0"/>
        <w:tabs>
          <w:tab w:leader="none" w:pos="52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Registrant’s Registration Statement No. 333-04155 on Form S-3</w:t>
      </w:r>
    </w:p>
    <w:p>
      <w:pPr>
        <w:spacing w:after="0" w:line="27" w:lineRule="exact"/>
        <w:rPr>
          <w:rFonts w:ascii="Times New Roman" w:cs="Times New Roman" w:eastAsia="Times New Roman" w:hAnsi="Times New Roman"/>
          <w:sz w:val="18"/>
          <w:szCs w:val="18"/>
          <w:color w:val="auto"/>
        </w:rPr>
      </w:pPr>
    </w:p>
    <w:p>
      <w:pPr>
        <w:ind w:left="520" w:hanging="472"/>
        <w:spacing w:after="0"/>
        <w:tabs>
          <w:tab w:leader="none" w:pos="520" w:val="left"/>
        </w:tabs>
        <w:numPr>
          <w:ilvl w:val="1"/>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Incorporated by reference to Registrant’s Annual Report on Form 10-K for the fiscal year ended July 31, 1989</w:t>
      </w:r>
    </w:p>
    <w:p>
      <w:pPr>
        <w:spacing w:after="0" w:line="20" w:lineRule="exact"/>
        <w:rPr>
          <w:rFonts w:ascii="Times New Roman" w:cs="Times New Roman" w:eastAsia="Times New Roman" w:hAnsi="Times New Roman"/>
          <w:sz w:val="17"/>
          <w:szCs w:val="17"/>
          <w:color w:val="auto"/>
        </w:rPr>
      </w:pPr>
    </w:p>
    <w:p>
      <w:pPr>
        <w:ind w:left="520" w:hanging="472"/>
        <w:spacing w:after="0"/>
        <w:tabs>
          <w:tab w:leader="none" w:pos="520" w:val="left"/>
        </w:tabs>
        <w:numPr>
          <w:ilvl w:val="1"/>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Incorporated by reference to Registrant’s Annual Report on Form 10-K for the fiscal year ended July 31, 2019</w:t>
      </w:r>
    </w:p>
    <w:p>
      <w:pPr>
        <w:spacing w:after="0" w:line="20" w:lineRule="exact"/>
        <w:rPr>
          <w:rFonts w:ascii="Times New Roman" w:cs="Times New Roman" w:eastAsia="Times New Roman" w:hAnsi="Times New Roman"/>
          <w:sz w:val="17"/>
          <w:szCs w:val="17"/>
          <w:color w:val="auto"/>
        </w:rPr>
      </w:pPr>
    </w:p>
    <w:p>
      <w:pPr>
        <w:ind w:left="520" w:hanging="472"/>
        <w:spacing w:after="0"/>
        <w:tabs>
          <w:tab w:leader="none" w:pos="520" w:val="left"/>
        </w:tabs>
        <w:numPr>
          <w:ilvl w:val="1"/>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Incorporated by reference to Registrant’s Annual Report on Form 10-K for the fiscal year ended July 31, 1992</w:t>
      </w:r>
    </w:p>
    <w:p>
      <w:pPr>
        <w:spacing w:after="0" w:line="20" w:lineRule="exact"/>
        <w:rPr>
          <w:rFonts w:ascii="Times New Roman" w:cs="Times New Roman" w:eastAsia="Times New Roman" w:hAnsi="Times New Roman"/>
          <w:sz w:val="17"/>
          <w:szCs w:val="17"/>
          <w:color w:val="auto"/>
        </w:rPr>
      </w:pPr>
    </w:p>
    <w:p>
      <w:pPr>
        <w:ind w:left="520" w:hanging="472"/>
        <w:spacing w:after="0"/>
        <w:tabs>
          <w:tab w:leader="none" w:pos="520" w:val="left"/>
        </w:tabs>
        <w:numPr>
          <w:ilvl w:val="1"/>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Incorporated by reference to Registrant’s Annual Report on Form 10-K for the fiscal year ended July 31, 2022</w:t>
      </w:r>
    </w:p>
    <w:p>
      <w:pPr>
        <w:spacing w:after="0" w:line="20" w:lineRule="exact"/>
        <w:rPr>
          <w:rFonts w:ascii="Times New Roman" w:cs="Times New Roman" w:eastAsia="Times New Roman" w:hAnsi="Times New Roman"/>
          <w:sz w:val="17"/>
          <w:szCs w:val="17"/>
          <w:color w:val="auto"/>
        </w:rPr>
      </w:pPr>
    </w:p>
    <w:p>
      <w:pPr>
        <w:ind w:left="520" w:hanging="472"/>
        <w:spacing w:after="0"/>
        <w:tabs>
          <w:tab w:leader="none" w:pos="52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Registrant’s Current Report on Form 8-K filed February 25, 2014</w:t>
      </w:r>
    </w:p>
    <w:p>
      <w:pPr>
        <w:spacing w:after="0" w:line="9" w:lineRule="exact"/>
        <w:rPr>
          <w:rFonts w:ascii="Times New Roman" w:cs="Times New Roman" w:eastAsia="Times New Roman" w:hAnsi="Times New Roman"/>
          <w:sz w:val="18"/>
          <w:szCs w:val="18"/>
          <w:color w:val="auto"/>
        </w:rPr>
      </w:pPr>
    </w:p>
    <w:p>
      <w:pPr>
        <w:ind w:left="520" w:hanging="472"/>
        <w:spacing w:after="0"/>
        <w:tabs>
          <w:tab w:leader="none" w:pos="520" w:val="left"/>
        </w:tabs>
        <w:numPr>
          <w:ilvl w:val="1"/>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Incorporated by reference to Registrant’s Annual Report on Form 10-K for the fiscal year ended July 31, 2023</w:t>
      </w:r>
    </w:p>
    <w:p>
      <w:pPr>
        <w:spacing w:after="0" w:line="20" w:lineRule="exact"/>
        <w:rPr>
          <w:rFonts w:ascii="Times New Roman" w:cs="Times New Roman" w:eastAsia="Times New Roman" w:hAnsi="Times New Roman"/>
          <w:sz w:val="17"/>
          <w:szCs w:val="17"/>
          <w:color w:val="auto"/>
        </w:rPr>
      </w:pPr>
    </w:p>
    <w:p>
      <w:pPr>
        <w:ind w:left="520" w:hanging="472"/>
        <w:spacing w:after="0"/>
        <w:tabs>
          <w:tab w:leader="none" w:pos="520" w:val="left"/>
        </w:tabs>
        <w:numPr>
          <w:ilvl w:val="1"/>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Incorporated by reference to Registrant’s Annual Report on Form 10-K for the fiscal year ended July 31, 2024</w:t>
      </w:r>
    </w:p>
    <w:p>
      <w:pPr>
        <w:spacing w:after="0" w:line="20" w:lineRule="exact"/>
        <w:rPr>
          <w:rFonts w:ascii="Times New Roman" w:cs="Times New Roman" w:eastAsia="Times New Roman" w:hAnsi="Times New Roman"/>
          <w:sz w:val="17"/>
          <w:szCs w:val="17"/>
          <w:color w:val="auto"/>
        </w:rPr>
      </w:pPr>
    </w:p>
    <w:p>
      <w:pPr>
        <w:ind w:left="520" w:hanging="472"/>
        <w:spacing w:after="0"/>
        <w:tabs>
          <w:tab w:leader="none" w:pos="52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9" w:lineRule="exact"/>
        <w:rPr>
          <w:rFonts w:ascii="Times New Roman" w:cs="Times New Roman" w:eastAsia="Times New Roman" w:hAnsi="Times New Roman"/>
          <w:sz w:val="18"/>
          <w:szCs w:val="18"/>
          <w:color w:val="auto"/>
        </w:rPr>
      </w:pPr>
    </w:p>
    <w:p>
      <w:pPr>
        <w:ind w:left="520" w:hanging="472"/>
        <w:spacing w:after="0"/>
        <w:tabs>
          <w:tab w:leader="none" w:pos="52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Registrant’s Current Report on Form 8-K filed February 1, 2023</w:t>
      </w:r>
    </w:p>
    <w:p>
      <w:pPr>
        <w:spacing w:after="0" w:line="9" w:lineRule="exact"/>
        <w:rPr>
          <w:rFonts w:ascii="Times New Roman" w:cs="Times New Roman" w:eastAsia="Times New Roman" w:hAnsi="Times New Roman"/>
          <w:sz w:val="18"/>
          <w:szCs w:val="18"/>
          <w:color w:val="auto"/>
        </w:rPr>
      </w:pPr>
    </w:p>
    <w:p>
      <w:pPr>
        <w:ind w:left="520" w:hanging="472"/>
        <w:spacing w:after="0"/>
        <w:tabs>
          <w:tab w:leader="none" w:pos="52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9" w:lineRule="exact"/>
        <w:rPr>
          <w:rFonts w:ascii="Times New Roman" w:cs="Times New Roman" w:eastAsia="Times New Roman" w:hAnsi="Times New Roman"/>
          <w:sz w:val="18"/>
          <w:szCs w:val="18"/>
          <w:color w:val="auto"/>
        </w:rPr>
      </w:pPr>
    </w:p>
    <w:p>
      <w:pPr>
        <w:ind w:left="520" w:hanging="472"/>
        <w:spacing w:after="0"/>
        <w:tabs>
          <w:tab w:leader="none" w:pos="52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Registrant’s Current Report on Form 8-K filed August 5, 2022</w:t>
      </w:r>
    </w:p>
    <w:p>
      <w:pPr>
        <w:spacing w:after="0" w:line="9" w:lineRule="exact"/>
        <w:rPr>
          <w:rFonts w:ascii="Times New Roman" w:cs="Times New Roman" w:eastAsia="Times New Roman" w:hAnsi="Times New Roman"/>
          <w:sz w:val="18"/>
          <w:szCs w:val="18"/>
          <w:color w:val="auto"/>
        </w:rPr>
      </w:pPr>
    </w:p>
    <w:p>
      <w:pPr>
        <w:ind w:left="520" w:hanging="472"/>
        <w:spacing w:after="0"/>
        <w:tabs>
          <w:tab w:leader="none" w:pos="52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9" w:lineRule="exact"/>
        <w:rPr>
          <w:rFonts w:ascii="Times New Roman" w:cs="Times New Roman" w:eastAsia="Times New Roman" w:hAnsi="Times New Roman"/>
          <w:sz w:val="18"/>
          <w:szCs w:val="18"/>
          <w:color w:val="auto"/>
        </w:rPr>
      </w:pPr>
    </w:p>
    <w:p>
      <w:pPr>
        <w:ind w:left="520" w:hanging="472"/>
        <w:spacing w:after="0"/>
        <w:tabs>
          <w:tab w:leader="none" w:pos="52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Registrant’s Current Report on Form 8-K filed September 5, 2023</w:t>
      </w:r>
    </w:p>
    <w:p>
      <w:pPr>
        <w:spacing w:after="0" w:line="9" w:lineRule="exact"/>
        <w:rPr>
          <w:rFonts w:ascii="Times New Roman" w:cs="Times New Roman" w:eastAsia="Times New Roman" w:hAnsi="Times New Roman"/>
          <w:sz w:val="18"/>
          <w:szCs w:val="18"/>
          <w:color w:val="auto"/>
        </w:rPr>
      </w:pPr>
    </w:p>
    <w:p>
      <w:pPr>
        <w:ind w:left="520" w:hanging="472"/>
        <w:spacing w:after="0"/>
        <w:tabs>
          <w:tab w:leader="none" w:pos="52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Registrant’s Current Report on Form 8-K filed March 16, 2022</w:t>
      </w:r>
    </w:p>
    <w:p>
      <w:pPr>
        <w:spacing w:after="0" w:line="9" w:lineRule="exact"/>
        <w:rPr>
          <w:rFonts w:ascii="Times New Roman" w:cs="Times New Roman" w:eastAsia="Times New Roman" w:hAnsi="Times New Roman"/>
          <w:sz w:val="18"/>
          <w:szCs w:val="18"/>
          <w:color w:val="auto"/>
        </w:rPr>
      </w:pPr>
    </w:p>
    <w:p>
      <w:pPr>
        <w:ind w:left="520" w:hanging="472"/>
        <w:spacing w:after="0"/>
        <w:tabs>
          <w:tab w:leader="none" w:pos="52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Registrant’s Current Report on Form 8-K filed April 19, 2023</w:t>
      </w:r>
    </w:p>
    <w:p>
      <w:pPr>
        <w:spacing w:after="0" w:line="9" w:lineRule="exact"/>
        <w:rPr>
          <w:rFonts w:ascii="Times New Roman" w:cs="Times New Roman" w:eastAsia="Times New Roman" w:hAnsi="Times New Roman"/>
          <w:sz w:val="18"/>
          <w:szCs w:val="18"/>
          <w:color w:val="auto"/>
        </w:rPr>
      </w:pPr>
    </w:p>
    <w:p>
      <w:pPr>
        <w:ind w:left="520" w:hanging="472"/>
        <w:spacing w:after="0"/>
        <w:tabs>
          <w:tab w:leader="none" w:pos="52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Registrant's Current Report on Form 8-K filed May 30, 2024</w:t>
      </w:r>
    </w:p>
    <w:p>
      <w:pPr>
        <w:spacing w:after="0" w:line="9" w:lineRule="exact"/>
        <w:rPr>
          <w:rFonts w:ascii="Times New Roman" w:cs="Times New Roman" w:eastAsia="Times New Roman" w:hAnsi="Times New Roman"/>
          <w:sz w:val="18"/>
          <w:szCs w:val="18"/>
          <w:color w:val="auto"/>
        </w:rPr>
      </w:pPr>
    </w:p>
    <w:p>
      <w:pPr>
        <w:ind w:left="520" w:hanging="472"/>
        <w:spacing w:after="0"/>
        <w:tabs>
          <w:tab w:leader="none" w:pos="520" w:val="left"/>
        </w:tabs>
        <w:numPr>
          <w:ilvl w:val="1"/>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Incorporated by reference to Registrant’s Annual Report on Form 10-K for the fiscal year ended July 31, 2020</w:t>
      </w:r>
    </w:p>
    <w:p>
      <w:pPr>
        <w:spacing w:after="0" w:line="20" w:lineRule="exact"/>
        <w:rPr>
          <w:rFonts w:ascii="Times New Roman" w:cs="Times New Roman" w:eastAsia="Times New Roman" w:hAnsi="Times New Roman"/>
          <w:sz w:val="17"/>
          <w:szCs w:val="17"/>
          <w:color w:val="auto"/>
        </w:rPr>
      </w:pPr>
    </w:p>
    <w:p>
      <w:pPr>
        <w:ind w:left="520" w:hanging="472"/>
        <w:spacing w:after="0"/>
        <w:tabs>
          <w:tab w:leader="none" w:pos="52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Registrant’s Current Report on Form 8-K filed July 10, 2024</w:t>
      </w:r>
    </w:p>
    <w:p>
      <w:pPr>
        <w:spacing w:after="0" w:line="9" w:lineRule="exact"/>
        <w:rPr>
          <w:rFonts w:ascii="Times New Roman" w:cs="Times New Roman" w:eastAsia="Times New Roman" w:hAnsi="Times New Roman"/>
          <w:sz w:val="18"/>
          <w:szCs w:val="18"/>
          <w:color w:val="auto"/>
        </w:rPr>
      </w:pPr>
    </w:p>
    <w:p>
      <w:pPr>
        <w:ind w:left="520" w:hanging="472"/>
        <w:spacing w:after="0"/>
        <w:tabs>
          <w:tab w:leader="none" w:pos="52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Registrant’s Current Report on Form 8-K filed December 22, 2021</w:t>
      </w:r>
    </w:p>
    <w:p>
      <w:pPr>
        <w:spacing w:after="0" w:line="9" w:lineRule="exact"/>
        <w:rPr>
          <w:rFonts w:ascii="Times New Roman" w:cs="Times New Roman" w:eastAsia="Times New Roman" w:hAnsi="Times New Roman"/>
          <w:sz w:val="18"/>
          <w:szCs w:val="18"/>
          <w:color w:val="auto"/>
        </w:rPr>
      </w:pPr>
    </w:p>
    <w:p>
      <w:pPr>
        <w:ind w:left="520" w:hanging="472"/>
        <w:spacing w:after="0"/>
        <w:tabs>
          <w:tab w:leader="none" w:pos="52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9" w:lineRule="exact"/>
        <w:rPr>
          <w:rFonts w:ascii="Times New Roman" w:cs="Times New Roman" w:eastAsia="Times New Roman" w:hAnsi="Times New Roman"/>
          <w:sz w:val="18"/>
          <w:szCs w:val="18"/>
          <w:color w:val="auto"/>
        </w:rPr>
      </w:pPr>
    </w:p>
    <w:p>
      <w:pPr>
        <w:ind w:left="520" w:hanging="472"/>
        <w:spacing w:after="0"/>
        <w:tabs>
          <w:tab w:leader="none" w:pos="52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Registrant’s Current Report on Form 8-K filed October 11, 2024</w:t>
      </w:r>
    </w:p>
    <w:p>
      <w:pPr>
        <w:spacing w:after="0" w:line="9" w:lineRule="exact"/>
        <w:rPr>
          <w:rFonts w:ascii="Times New Roman" w:cs="Times New Roman" w:eastAsia="Times New Roman" w:hAnsi="Times New Roman"/>
          <w:sz w:val="18"/>
          <w:szCs w:val="18"/>
          <w:color w:val="auto"/>
        </w:rPr>
      </w:pPr>
    </w:p>
    <w:p>
      <w:pPr>
        <w:ind w:left="520" w:hanging="472"/>
        <w:spacing w:after="0"/>
        <w:tabs>
          <w:tab w:leader="none" w:pos="52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Registrant’s Current Report on Form 8-K filed September 16, 2020</w:t>
      </w:r>
    </w:p>
    <w:p>
      <w:pPr>
        <w:spacing w:after="0" w:line="9" w:lineRule="exact"/>
        <w:rPr>
          <w:rFonts w:ascii="Times New Roman" w:cs="Times New Roman" w:eastAsia="Times New Roman" w:hAnsi="Times New Roman"/>
          <w:sz w:val="18"/>
          <w:szCs w:val="18"/>
          <w:color w:val="auto"/>
        </w:rPr>
      </w:pPr>
    </w:p>
    <w:p>
      <w:pPr>
        <w:ind w:left="520" w:hanging="472"/>
        <w:spacing w:after="0"/>
        <w:tabs>
          <w:tab w:leader="none" w:pos="52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Registrant’s Current Report on Form 8-K filed June 21, 2021</w:t>
      </w:r>
    </w:p>
    <w:p>
      <w:pPr>
        <w:spacing w:after="0" w:line="9" w:lineRule="exact"/>
        <w:rPr>
          <w:rFonts w:ascii="Times New Roman" w:cs="Times New Roman" w:eastAsia="Times New Roman" w:hAnsi="Times New Roman"/>
          <w:sz w:val="18"/>
          <w:szCs w:val="18"/>
          <w:color w:val="auto"/>
        </w:rPr>
      </w:pPr>
    </w:p>
    <w:p>
      <w:pPr>
        <w:ind w:left="520" w:hanging="472"/>
        <w:spacing w:after="0"/>
        <w:tabs>
          <w:tab w:leader="none" w:pos="52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9" w:lineRule="exact"/>
        <w:rPr>
          <w:rFonts w:ascii="Times New Roman" w:cs="Times New Roman" w:eastAsia="Times New Roman" w:hAnsi="Times New Roman"/>
          <w:sz w:val="18"/>
          <w:szCs w:val="18"/>
          <w:color w:val="auto"/>
        </w:rPr>
      </w:pPr>
    </w:p>
    <w:p>
      <w:pPr>
        <w:ind w:left="520" w:hanging="472"/>
        <w:spacing w:after="0"/>
        <w:tabs>
          <w:tab w:leader="none" w:pos="52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9" w:lineRule="exact"/>
        <w:rPr>
          <w:rFonts w:ascii="Times New Roman" w:cs="Times New Roman" w:eastAsia="Times New Roman" w:hAnsi="Times New Roman"/>
          <w:sz w:val="18"/>
          <w:szCs w:val="18"/>
          <w:color w:val="auto"/>
        </w:rPr>
      </w:pPr>
    </w:p>
    <w:p>
      <w:pPr>
        <w:ind w:left="520" w:hanging="472"/>
        <w:spacing w:after="0"/>
        <w:tabs>
          <w:tab w:leader="none" w:pos="52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Registrant’s Current Report on Form 8-K filed May 27, 2016</w:t>
      </w:r>
    </w:p>
    <w:p>
      <w:pPr>
        <w:spacing w:after="0" w:line="9" w:lineRule="exact"/>
        <w:rPr>
          <w:rFonts w:ascii="Times New Roman" w:cs="Times New Roman" w:eastAsia="Times New Roman" w:hAnsi="Times New Roman"/>
          <w:sz w:val="18"/>
          <w:szCs w:val="18"/>
          <w:color w:val="auto"/>
        </w:rPr>
      </w:pPr>
    </w:p>
    <w:p>
      <w:pPr>
        <w:ind w:left="520" w:hanging="472"/>
        <w:spacing w:after="0"/>
        <w:tabs>
          <w:tab w:leader="none" w:pos="52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9" w:lineRule="exact"/>
        <w:rPr>
          <w:rFonts w:ascii="Times New Roman" w:cs="Times New Roman" w:eastAsia="Times New Roman" w:hAnsi="Times New Roman"/>
          <w:sz w:val="18"/>
          <w:szCs w:val="18"/>
          <w:color w:val="auto"/>
        </w:rPr>
      </w:pPr>
    </w:p>
    <w:p>
      <w:pPr>
        <w:ind w:left="520" w:hanging="472"/>
        <w:spacing w:after="0"/>
        <w:tabs>
          <w:tab w:leader="none" w:pos="52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Registrant’s Current Report on Form 8-K filed December 31, 2012</w:t>
      </w:r>
    </w:p>
    <w:p>
      <w:pPr>
        <w:spacing w:after="0" w:line="9" w:lineRule="exact"/>
        <w:rPr>
          <w:rFonts w:ascii="Times New Roman" w:cs="Times New Roman" w:eastAsia="Times New Roman" w:hAnsi="Times New Roman"/>
          <w:sz w:val="18"/>
          <w:szCs w:val="18"/>
          <w:color w:val="auto"/>
        </w:rPr>
      </w:pPr>
    </w:p>
    <w:p>
      <w:pPr>
        <w:ind w:left="520" w:hanging="472"/>
        <w:spacing w:after="0"/>
        <w:tabs>
          <w:tab w:leader="none" w:pos="52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Registrant’s Current Report on Form 8-K filed April 16, 2021</w:t>
      </w:r>
    </w:p>
    <w:p>
      <w:pPr>
        <w:spacing w:after="0" w:line="9" w:lineRule="exact"/>
        <w:rPr>
          <w:rFonts w:ascii="Times New Roman" w:cs="Times New Roman" w:eastAsia="Times New Roman" w:hAnsi="Times New Roman"/>
          <w:sz w:val="18"/>
          <w:szCs w:val="18"/>
          <w:color w:val="auto"/>
        </w:rPr>
      </w:pPr>
    </w:p>
    <w:p>
      <w:pPr>
        <w:ind w:left="520" w:hanging="472"/>
        <w:spacing w:after="0"/>
        <w:tabs>
          <w:tab w:leader="none" w:pos="52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9" w:lineRule="exact"/>
        <w:rPr>
          <w:rFonts w:ascii="Times New Roman" w:cs="Times New Roman" w:eastAsia="Times New Roman" w:hAnsi="Times New Roman"/>
          <w:sz w:val="18"/>
          <w:szCs w:val="18"/>
          <w:color w:val="auto"/>
        </w:rPr>
      </w:pPr>
    </w:p>
    <w:p>
      <w:pPr>
        <w:ind w:left="520" w:hanging="472"/>
        <w:spacing w:after="0"/>
        <w:tabs>
          <w:tab w:leader="none" w:pos="52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9" w:lineRule="exact"/>
        <w:rPr>
          <w:rFonts w:ascii="Times New Roman" w:cs="Times New Roman" w:eastAsia="Times New Roman" w:hAnsi="Times New Roman"/>
          <w:sz w:val="18"/>
          <w:szCs w:val="18"/>
          <w:color w:val="auto"/>
        </w:rPr>
      </w:pPr>
    </w:p>
    <w:p>
      <w:pPr>
        <w:ind w:left="520" w:hanging="472"/>
        <w:spacing w:after="0"/>
        <w:tabs>
          <w:tab w:leader="none" w:pos="52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Registrant’s Current Report on Form 8-K filed July 14, 2016</w:t>
      </w:r>
    </w:p>
    <w:p>
      <w:pPr>
        <w:spacing w:after="0" w:line="9" w:lineRule="exact"/>
        <w:rPr>
          <w:rFonts w:ascii="Times New Roman" w:cs="Times New Roman" w:eastAsia="Times New Roman" w:hAnsi="Times New Roman"/>
          <w:sz w:val="18"/>
          <w:szCs w:val="18"/>
          <w:color w:val="auto"/>
        </w:rPr>
      </w:pPr>
    </w:p>
    <w:p>
      <w:pPr>
        <w:ind w:left="520" w:hanging="472"/>
        <w:spacing w:after="0"/>
        <w:tabs>
          <w:tab w:leader="none" w:pos="520" w:val="left"/>
        </w:tabs>
        <w:numPr>
          <w:ilvl w:val="1"/>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Incorporated by reference to Registrant’s Annual Report on Form 10-K for the fiscal year ended July 31, 2021</w:t>
      </w:r>
    </w:p>
    <w:p>
      <w:pPr>
        <w:spacing w:after="0" w:line="20" w:lineRule="exact"/>
        <w:rPr>
          <w:rFonts w:ascii="Times New Roman" w:cs="Times New Roman" w:eastAsia="Times New Roman" w:hAnsi="Times New Roman"/>
          <w:sz w:val="17"/>
          <w:szCs w:val="17"/>
          <w:color w:val="auto"/>
        </w:rPr>
      </w:pPr>
    </w:p>
    <w:p>
      <w:pPr>
        <w:ind w:left="520" w:hanging="472"/>
        <w:spacing w:after="0"/>
        <w:tabs>
          <w:tab w:leader="none" w:pos="52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Registrant’s Current Report on Form 8-K filed November 17, 2022</w:t>
      </w:r>
    </w:p>
    <w:p>
      <w:pPr>
        <w:spacing w:after="0" w:line="9" w:lineRule="exact"/>
        <w:rPr>
          <w:rFonts w:ascii="Times New Roman" w:cs="Times New Roman" w:eastAsia="Times New Roman" w:hAnsi="Times New Roman"/>
          <w:sz w:val="18"/>
          <w:szCs w:val="18"/>
          <w:color w:val="auto"/>
        </w:rPr>
      </w:pPr>
    </w:p>
    <w:p>
      <w:pPr>
        <w:ind w:left="520" w:hanging="472"/>
        <w:spacing w:after="0"/>
        <w:tabs>
          <w:tab w:leader="none" w:pos="52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Registrant’s Current Report on Form 8-K filed May 26, 2021</w:t>
      </w:r>
    </w:p>
    <w:p>
      <w:pPr>
        <w:spacing w:after="0" w:line="200" w:lineRule="exact"/>
        <w:rPr>
          <w:sz w:val="20"/>
          <w:szCs w:val="20"/>
          <w:color w:val="auto"/>
        </w:rPr>
      </w:pPr>
    </w:p>
    <w:p>
      <w:pPr>
        <w:spacing w:after="0" w:line="34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20" w:hanging="472"/>
        <w:spacing w:after="0"/>
        <w:tabs>
          <w:tab w:leader="none" w:pos="5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Registrant’s Annual Report on Form 10-K for the fiscal year ended July 31, 2018</w:t>
      </w:r>
    </w:p>
    <w:p>
      <w:pPr>
        <w:spacing w:after="0" w:line="27" w:lineRule="exact"/>
        <w:rPr>
          <w:rFonts w:ascii="Times New Roman" w:cs="Times New Roman" w:eastAsia="Times New Roman" w:hAnsi="Times New Roman"/>
          <w:sz w:val="18"/>
          <w:szCs w:val="18"/>
          <w:color w:val="auto"/>
        </w:rPr>
      </w:pPr>
    </w:p>
    <w:p>
      <w:pPr>
        <w:ind w:left="520" w:hanging="472"/>
        <w:spacing w:after="0"/>
        <w:tabs>
          <w:tab w:leader="none" w:pos="5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Registrant’s Current Report on Form 8-K filed August 1, 2019</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16. </w:t>
      </w:r>
      <w:r>
        <w:rPr>
          <w:rFonts w:ascii="Times New Roman" w:cs="Times New Roman" w:eastAsia="Times New Roman" w:hAnsi="Times New Roman"/>
          <w:sz w:val="18"/>
          <w:szCs w:val="18"/>
          <w:b w:val="1"/>
          <w:bCs w:val="1"/>
          <w:i w:val="1"/>
          <w:iCs w:val="1"/>
          <w:color w:val="auto"/>
        </w:rPr>
        <w:t>Form 10-K Summary</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BRADY CORPORATION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II — VALUATION AND QUALIFYING ACCOUNTS</w:t>
      </w:r>
    </w:p>
    <w:p>
      <w:pPr>
        <w:spacing w:after="0" w:line="196"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61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Year ended July 31,</w:t>
            </w: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r>
      <w:tr>
        <w:trPr>
          <w:trHeight w:val="214"/>
        </w:trPr>
        <w:tc>
          <w:tcPr>
            <w:tcW w:w="6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9"/>
        </w:trPr>
        <w:tc>
          <w:tcPr>
            <w:tcW w:w="6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164"/>
        </w:trPr>
        <w:tc>
          <w:tcPr>
            <w:tcW w:w="6140" w:type="dxa"/>
            <w:vAlign w:val="bottom"/>
            <w:shd w:val="clear" w:color="auto" w:fill="CCEEFF"/>
          </w:tcPr>
          <w:p>
            <w:pPr>
              <w:spacing w:after="0" w:line="164" w:lineRule="exact"/>
              <w:rPr>
                <w:sz w:val="20"/>
                <w:szCs w:val="20"/>
                <w:color w:val="auto"/>
              </w:rPr>
            </w:pPr>
            <w:r>
              <w:rPr>
                <w:rFonts w:ascii="Times New Roman" w:cs="Times New Roman" w:eastAsia="Times New Roman" w:hAnsi="Times New Roman"/>
                <w:sz w:val="16"/>
                <w:szCs w:val="16"/>
                <w:color w:val="auto"/>
              </w:rPr>
              <w:t>Valuation accounts deducted in balance sheet from assets to which they apply — Accounts</w:t>
            </w:r>
          </w:p>
        </w:tc>
        <w:tc>
          <w:tcPr>
            <w:tcW w:w="3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receivable — allowance for credit losses:</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3"/>
        </w:trPr>
        <w:tc>
          <w:tcPr>
            <w:tcW w:w="6140" w:type="dxa"/>
            <w:vAlign w:val="bottom"/>
          </w:tcPr>
          <w:p>
            <w:pPr>
              <w:spacing w:after="0"/>
              <w:rPr>
                <w:sz w:val="20"/>
                <w:szCs w:val="20"/>
                <w:color w:val="auto"/>
              </w:rPr>
            </w:pPr>
            <w:r>
              <w:rPr>
                <w:rFonts w:ascii="Times New Roman" w:cs="Times New Roman" w:eastAsia="Times New Roman" w:hAnsi="Times New Roman"/>
                <w:sz w:val="16"/>
                <w:szCs w:val="16"/>
                <w:color w:val="auto"/>
              </w:rPr>
              <w:t>Balances at beginning of period</w:t>
            </w:r>
          </w:p>
        </w:tc>
        <w:tc>
          <w:tcPr>
            <w:tcW w:w="3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6,749</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8,467</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7,355</w:t>
            </w:r>
          </w:p>
        </w:tc>
      </w:tr>
      <w:tr>
        <w:trPr>
          <w:trHeight w:val="219"/>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Additions — Due to acquired businesses</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140" w:type="dxa"/>
            <w:vAlign w:val="bottom"/>
          </w:tcPr>
          <w:p>
            <w:pPr>
              <w:spacing w:after="0"/>
              <w:rPr>
                <w:sz w:val="20"/>
                <w:szCs w:val="20"/>
                <w:color w:val="auto"/>
              </w:rPr>
            </w:pPr>
            <w:r>
              <w:rPr>
                <w:rFonts w:ascii="Times New Roman" w:cs="Times New Roman" w:eastAsia="Times New Roman" w:hAnsi="Times New Roman"/>
                <w:sz w:val="16"/>
                <w:szCs w:val="16"/>
                <w:color w:val="auto"/>
              </w:rPr>
              <w:t>Additions (Deductions) — Charged to (reversal of) expense</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1,433</w:t>
            </w: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Deductions — Bad debts written off, net of recoveries</w:t>
            </w:r>
          </w:p>
        </w:tc>
        <w:tc>
          <w:tcPr>
            <w:tcW w:w="3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(1,058)</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(2,055)</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w:t>
            </w:r>
          </w:p>
        </w:tc>
      </w:tr>
      <w:tr>
        <w:trPr>
          <w:trHeight w:val="212"/>
        </w:trPr>
        <w:tc>
          <w:tcPr>
            <w:tcW w:w="6140" w:type="dxa"/>
            <w:vAlign w:val="bottom"/>
          </w:tcPr>
          <w:p>
            <w:pPr>
              <w:spacing w:after="0"/>
              <w:rPr>
                <w:sz w:val="20"/>
                <w:szCs w:val="20"/>
                <w:color w:val="auto"/>
              </w:rPr>
            </w:pPr>
            <w:r>
              <w:rPr>
                <w:rFonts w:ascii="Times New Roman" w:cs="Times New Roman" w:eastAsia="Times New Roman" w:hAnsi="Times New Roman"/>
                <w:sz w:val="16"/>
                <w:szCs w:val="16"/>
                <w:color w:val="auto"/>
              </w:rPr>
              <w:t>Balances at end of period</w:t>
            </w:r>
          </w:p>
        </w:tc>
        <w:tc>
          <w:tcPr>
            <w:tcW w:w="3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7,876</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6,749</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8,467</w:t>
            </w:r>
          </w:p>
        </w:tc>
      </w:tr>
      <w:tr>
        <w:trPr>
          <w:trHeight w:val="20"/>
        </w:trPr>
        <w:tc>
          <w:tcPr>
            <w:tcW w:w="61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83"/>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Inventory — Reserve for slow-moving inventory:</w:t>
            </w:r>
          </w:p>
        </w:tc>
        <w:tc>
          <w:tcPr>
            <w:tcW w:w="3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213"/>
        </w:trPr>
        <w:tc>
          <w:tcPr>
            <w:tcW w:w="6140" w:type="dxa"/>
            <w:vAlign w:val="bottom"/>
          </w:tcPr>
          <w:p>
            <w:pPr>
              <w:spacing w:after="0"/>
              <w:rPr>
                <w:sz w:val="20"/>
                <w:szCs w:val="20"/>
                <w:color w:val="auto"/>
              </w:rPr>
            </w:pPr>
            <w:r>
              <w:rPr>
                <w:rFonts w:ascii="Times New Roman" w:cs="Times New Roman" w:eastAsia="Times New Roman" w:hAnsi="Times New Roman"/>
                <w:sz w:val="16"/>
                <w:szCs w:val="16"/>
                <w:color w:val="auto"/>
              </w:rPr>
              <w:t>Balances at beginning of period</w:t>
            </w:r>
          </w:p>
        </w:tc>
        <w:tc>
          <w:tcPr>
            <w:tcW w:w="3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31,982</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35,855</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29,877</w:t>
            </w:r>
          </w:p>
        </w:tc>
      </w:tr>
      <w:tr>
        <w:trPr>
          <w:trHeight w:val="219"/>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Additions — Due to acquired businesses</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19,067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140" w:type="dxa"/>
            <w:vAlign w:val="bottom"/>
          </w:tcPr>
          <w:p>
            <w:pPr>
              <w:spacing w:after="0"/>
              <w:rPr>
                <w:sz w:val="20"/>
                <w:szCs w:val="20"/>
                <w:color w:val="auto"/>
              </w:rPr>
            </w:pPr>
            <w:r>
              <w:rPr>
                <w:rFonts w:ascii="Times New Roman" w:cs="Times New Roman" w:eastAsia="Times New Roman" w:hAnsi="Times New Roman"/>
                <w:sz w:val="16"/>
                <w:szCs w:val="16"/>
                <w:color w:val="auto"/>
              </w:rPr>
              <w:t>Additions (Deductions) — Charged to (reversal of) expense</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9,580</w:t>
            </w: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Deductions — Inventory write-offs</w:t>
            </w:r>
          </w:p>
        </w:tc>
        <w:tc>
          <w:tcPr>
            <w:tcW w:w="3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(3,051)</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(2,166)</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(3,602)</w:t>
            </w:r>
          </w:p>
        </w:tc>
      </w:tr>
      <w:tr>
        <w:trPr>
          <w:trHeight w:val="212"/>
        </w:trPr>
        <w:tc>
          <w:tcPr>
            <w:tcW w:w="6140" w:type="dxa"/>
            <w:vAlign w:val="bottom"/>
          </w:tcPr>
          <w:p>
            <w:pPr>
              <w:spacing w:after="0"/>
              <w:rPr>
                <w:sz w:val="20"/>
                <w:szCs w:val="20"/>
                <w:color w:val="auto"/>
              </w:rPr>
            </w:pPr>
            <w:r>
              <w:rPr>
                <w:rFonts w:ascii="Times New Roman" w:cs="Times New Roman" w:eastAsia="Times New Roman" w:hAnsi="Times New Roman"/>
                <w:sz w:val="16"/>
                <w:szCs w:val="16"/>
                <w:color w:val="auto"/>
              </w:rPr>
              <w:t>Balances at end of period</w:t>
            </w:r>
          </w:p>
        </w:tc>
        <w:tc>
          <w:tcPr>
            <w:tcW w:w="3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46,768</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31,982</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35,855</w:t>
            </w:r>
          </w:p>
        </w:tc>
      </w:tr>
      <w:tr>
        <w:trPr>
          <w:trHeight w:val="20"/>
        </w:trPr>
        <w:tc>
          <w:tcPr>
            <w:tcW w:w="61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83"/>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Valuation allowances against deferred tax assets:</w:t>
            </w:r>
          </w:p>
        </w:tc>
        <w:tc>
          <w:tcPr>
            <w:tcW w:w="3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213"/>
        </w:trPr>
        <w:tc>
          <w:tcPr>
            <w:tcW w:w="6140" w:type="dxa"/>
            <w:vAlign w:val="bottom"/>
          </w:tcPr>
          <w:p>
            <w:pPr>
              <w:spacing w:after="0"/>
              <w:rPr>
                <w:sz w:val="20"/>
                <w:szCs w:val="20"/>
                <w:color w:val="auto"/>
              </w:rPr>
            </w:pPr>
            <w:r>
              <w:rPr>
                <w:rFonts w:ascii="Times New Roman" w:cs="Times New Roman" w:eastAsia="Times New Roman" w:hAnsi="Times New Roman"/>
                <w:sz w:val="16"/>
                <w:szCs w:val="16"/>
                <w:color w:val="auto"/>
              </w:rPr>
              <w:t>Balances at beginning of period</w:t>
            </w:r>
          </w:p>
        </w:tc>
        <w:tc>
          <w:tcPr>
            <w:tcW w:w="3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47,224</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52,750</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47,276</w:t>
            </w:r>
          </w:p>
        </w:tc>
      </w:tr>
      <w:tr>
        <w:trPr>
          <w:trHeight w:val="219"/>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Additions — Due to acquired businesses</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33,331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140" w:type="dxa"/>
            <w:vAlign w:val="bottom"/>
          </w:tcPr>
          <w:p>
            <w:pPr>
              <w:spacing w:after="0"/>
              <w:rPr>
                <w:sz w:val="20"/>
                <w:szCs w:val="20"/>
                <w:color w:val="auto"/>
              </w:rPr>
            </w:pPr>
            <w:r>
              <w:rPr>
                <w:rFonts w:ascii="Times New Roman" w:cs="Times New Roman" w:eastAsia="Times New Roman" w:hAnsi="Times New Roman"/>
                <w:sz w:val="16"/>
                <w:szCs w:val="16"/>
                <w:color w:val="auto"/>
              </w:rPr>
              <w:t>Additions — Charged to expense</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5,852</w:t>
            </w: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Deductions — Valuation allowances reversed/utilized</w:t>
            </w:r>
          </w:p>
        </w:tc>
        <w:tc>
          <w:tcPr>
            <w:tcW w:w="3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(950)</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(6,883)</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w:t>
            </w:r>
          </w:p>
        </w:tc>
      </w:tr>
      <w:tr>
        <w:trPr>
          <w:trHeight w:val="212"/>
        </w:trPr>
        <w:tc>
          <w:tcPr>
            <w:tcW w:w="6140" w:type="dxa"/>
            <w:vAlign w:val="bottom"/>
          </w:tcPr>
          <w:p>
            <w:pPr>
              <w:spacing w:after="0"/>
              <w:rPr>
                <w:sz w:val="20"/>
                <w:szCs w:val="20"/>
                <w:color w:val="auto"/>
              </w:rPr>
            </w:pPr>
            <w:r>
              <w:rPr>
                <w:rFonts w:ascii="Times New Roman" w:cs="Times New Roman" w:eastAsia="Times New Roman" w:hAnsi="Times New Roman"/>
                <w:sz w:val="16"/>
                <w:szCs w:val="16"/>
                <w:color w:val="auto"/>
              </w:rPr>
              <w:t>Balances at end of period</w:t>
            </w:r>
          </w:p>
        </w:tc>
        <w:tc>
          <w:tcPr>
            <w:tcW w:w="3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82,180</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47,224</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52,750</w:t>
            </w:r>
          </w:p>
        </w:tc>
      </w:tr>
      <w:tr>
        <w:trPr>
          <w:trHeight w:val="20"/>
        </w:trPr>
        <w:tc>
          <w:tcPr>
            <w:tcW w:w="6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6031230</wp:posOffset>
            </wp:positionH>
            <wp:positionV relativeFrom="paragraph">
              <wp:posOffset>-2811145</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-2811145</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 this 4th day of September 2025.</w:t>
      </w:r>
    </w:p>
    <w:p>
      <w:pPr>
        <w:spacing w:after="0" w:line="1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4"/>
          <w:szCs w:val="14"/>
          <w:color w:val="auto"/>
        </w:rPr>
        <w:t>RADY</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ORPORATION</w:t>
      </w:r>
    </w:p>
    <w:p>
      <w:pPr>
        <w:spacing w:after="0" w:line="36"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ANN E. THORNTON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15175" cy="15430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37">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Ann E. Thornton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15175" cy="1454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8">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Chief Financial Officer, Chief Accounting Officer and Treasurer</w:t>
      </w:r>
    </w:p>
    <w:p>
      <w:pPr>
        <w:spacing w:after="0" w:line="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 Accounting Officer)</w:t>
      </w:r>
    </w:p>
    <w:p>
      <w:pPr>
        <w:spacing w:after="0" w:line="261"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5180" w:type="dxa"/>
            <w:vAlign w:val="bottom"/>
          </w:tcPr>
          <w:p>
            <w:pPr>
              <w:ind w:left="2440"/>
              <w:spacing w:after="0"/>
              <w:rPr>
                <w:sz w:val="20"/>
                <w:szCs w:val="20"/>
                <w:color w:val="auto"/>
              </w:rPr>
            </w:pPr>
            <w:r>
              <w:rPr>
                <w:rFonts w:ascii="Times New Roman" w:cs="Times New Roman" w:eastAsia="Times New Roman" w:hAnsi="Times New Roman"/>
                <w:sz w:val="14"/>
                <w:szCs w:val="14"/>
                <w:b w:val="1"/>
                <w:bCs w:val="1"/>
                <w:color w:val="auto"/>
              </w:rPr>
              <w:t>Title</w:t>
            </w:r>
          </w:p>
        </w:tc>
      </w:tr>
      <w:tr>
        <w:trPr>
          <w:trHeight w:val="23"/>
        </w:trPr>
        <w:tc>
          <w:tcPr>
            <w:tcW w:w="560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r>
      <w:tr>
        <w:trPr>
          <w:trHeight w:val="223"/>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 RUSSELL R. SHALLER</w:t>
            </w:r>
          </w:p>
        </w:tc>
        <w:tc>
          <w:tcPr>
            <w:tcW w:w="420" w:type="dxa"/>
            <w:vAlign w:val="bottom"/>
            <w:shd w:val="clear" w:color="auto" w:fill="CCEEFF"/>
          </w:tcPr>
          <w:p>
            <w:pPr>
              <w:spacing w:after="0"/>
              <w:rPr>
                <w:sz w:val="19"/>
                <w:szCs w:val="19"/>
                <w:color w:val="auto"/>
              </w:rPr>
            </w:pPr>
          </w:p>
        </w:tc>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 Director</w:t>
            </w:r>
          </w:p>
        </w:tc>
      </w:tr>
      <w:tr>
        <w:trPr>
          <w:trHeight w:val="229"/>
        </w:trPr>
        <w:tc>
          <w:tcPr>
            <w:tcW w:w="6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Russell R. Shaller</w:t>
            </w: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tc>
      </w:tr>
      <w:tr>
        <w:trPr>
          <w:trHeight w:val="230"/>
        </w:trPr>
        <w:tc>
          <w:tcPr>
            <w:tcW w:w="6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 PATRICK W. ALLENDER</w:t>
            </w:r>
          </w:p>
        </w:tc>
        <w:tc>
          <w:tcPr>
            <w:tcW w:w="5180" w:type="dxa"/>
            <w:vAlign w:val="bottom"/>
            <w:shd w:val="clear" w:color="auto" w:fill="CCEEFF"/>
          </w:tcPr>
          <w:p>
            <w:pPr>
              <w:spacing w:after="0"/>
              <w:rPr>
                <w:sz w:val="19"/>
                <w:szCs w:val="19"/>
                <w:color w:val="auto"/>
              </w:rPr>
            </w:pPr>
          </w:p>
        </w:tc>
      </w:tr>
      <w:tr>
        <w:trPr>
          <w:trHeight w:val="229"/>
        </w:trPr>
        <w:tc>
          <w:tcPr>
            <w:tcW w:w="6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Patrick W. Allender</w:t>
            </w: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30"/>
        </w:trPr>
        <w:tc>
          <w:tcPr>
            <w:tcW w:w="6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 DAVID S. BEM</w:t>
            </w:r>
          </w:p>
        </w:tc>
        <w:tc>
          <w:tcPr>
            <w:tcW w:w="5180" w:type="dxa"/>
            <w:vAlign w:val="bottom"/>
            <w:shd w:val="clear" w:color="auto" w:fill="CCEEFF"/>
          </w:tcPr>
          <w:p>
            <w:pPr>
              <w:spacing w:after="0"/>
              <w:rPr>
                <w:sz w:val="19"/>
                <w:szCs w:val="19"/>
                <w:color w:val="auto"/>
              </w:rPr>
            </w:pPr>
          </w:p>
        </w:tc>
      </w:tr>
      <w:tr>
        <w:trPr>
          <w:trHeight w:val="229"/>
        </w:trPr>
        <w:tc>
          <w:tcPr>
            <w:tcW w:w="6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David S. Bem</w:t>
            </w: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9"/>
        </w:trPr>
        <w:tc>
          <w:tcPr>
            <w:tcW w:w="6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 ELIZABETH P. BRUNO</w:t>
            </w:r>
          </w:p>
        </w:tc>
        <w:tc>
          <w:tcPr>
            <w:tcW w:w="5180" w:type="dxa"/>
            <w:vAlign w:val="bottom"/>
            <w:shd w:val="clear" w:color="auto" w:fill="CCEEFF"/>
          </w:tcPr>
          <w:p>
            <w:pPr>
              <w:spacing w:after="0"/>
              <w:rPr>
                <w:sz w:val="19"/>
                <w:szCs w:val="19"/>
                <w:color w:val="auto"/>
              </w:rPr>
            </w:pPr>
          </w:p>
        </w:tc>
      </w:tr>
      <w:tr>
        <w:trPr>
          <w:trHeight w:val="230"/>
        </w:trPr>
        <w:tc>
          <w:tcPr>
            <w:tcW w:w="6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Elizabeth P. Bruno</w:t>
            </w: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9"/>
        </w:trPr>
        <w:tc>
          <w:tcPr>
            <w:tcW w:w="6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 JOANNE COLLINS SMEE</w:t>
            </w:r>
          </w:p>
        </w:tc>
        <w:tc>
          <w:tcPr>
            <w:tcW w:w="5180" w:type="dxa"/>
            <w:vAlign w:val="bottom"/>
            <w:shd w:val="clear" w:color="auto" w:fill="CCEEFF"/>
          </w:tcPr>
          <w:p>
            <w:pPr>
              <w:spacing w:after="0"/>
              <w:rPr>
                <w:sz w:val="19"/>
                <w:szCs w:val="19"/>
                <w:color w:val="auto"/>
              </w:rPr>
            </w:pPr>
          </w:p>
        </w:tc>
      </w:tr>
      <w:tr>
        <w:trPr>
          <w:trHeight w:val="230"/>
        </w:trPr>
        <w:tc>
          <w:tcPr>
            <w:tcW w:w="6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Joanne Collins Smee</w:t>
            </w: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9"/>
        </w:trPr>
        <w:tc>
          <w:tcPr>
            <w:tcW w:w="6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 DEIDRE E. CUSACK</w:t>
            </w:r>
          </w:p>
        </w:tc>
        <w:tc>
          <w:tcPr>
            <w:tcW w:w="5180" w:type="dxa"/>
            <w:vAlign w:val="bottom"/>
            <w:shd w:val="clear" w:color="auto" w:fill="CCEEFF"/>
          </w:tcPr>
          <w:p>
            <w:pPr>
              <w:spacing w:after="0"/>
              <w:rPr>
                <w:sz w:val="19"/>
                <w:szCs w:val="19"/>
                <w:color w:val="auto"/>
              </w:rPr>
            </w:pPr>
          </w:p>
        </w:tc>
      </w:tr>
      <w:tr>
        <w:trPr>
          <w:trHeight w:val="230"/>
        </w:trPr>
        <w:tc>
          <w:tcPr>
            <w:tcW w:w="6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Deidre E. Cusack</w:t>
            </w: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9"/>
        </w:trPr>
        <w:tc>
          <w:tcPr>
            <w:tcW w:w="6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 ANNE DE GREEF-SAFFT</w:t>
            </w:r>
          </w:p>
        </w:tc>
        <w:tc>
          <w:tcPr>
            <w:tcW w:w="5180" w:type="dxa"/>
            <w:vAlign w:val="bottom"/>
            <w:shd w:val="clear" w:color="auto" w:fill="CCEEFF"/>
          </w:tcPr>
          <w:p>
            <w:pPr>
              <w:spacing w:after="0"/>
              <w:rPr>
                <w:sz w:val="19"/>
                <w:szCs w:val="19"/>
                <w:color w:val="auto"/>
              </w:rPr>
            </w:pPr>
          </w:p>
        </w:tc>
      </w:tr>
      <w:tr>
        <w:trPr>
          <w:trHeight w:val="230"/>
        </w:trPr>
        <w:tc>
          <w:tcPr>
            <w:tcW w:w="6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Anne De Greef-Safft</w:t>
            </w: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30"/>
        </w:trPr>
        <w:tc>
          <w:tcPr>
            <w:tcW w:w="6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 CHRISTOPHER M. HIX</w:t>
            </w:r>
          </w:p>
        </w:tc>
        <w:tc>
          <w:tcPr>
            <w:tcW w:w="5180" w:type="dxa"/>
            <w:vAlign w:val="bottom"/>
            <w:shd w:val="clear" w:color="auto" w:fill="CCEEFF"/>
          </w:tcPr>
          <w:p>
            <w:pPr>
              <w:spacing w:after="0"/>
              <w:rPr>
                <w:sz w:val="19"/>
                <w:szCs w:val="19"/>
                <w:color w:val="auto"/>
              </w:rPr>
            </w:pPr>
          </w:p>
        </w:tc>
      </w:tr>
      <w:tr>
        <w:trPr>
          <w:trHeight w:val="230"/>
        </w:trPr>
        <w:tc>
          <w:tcPr>
            <w:tcW w:w="6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Christopher M. Hix</w:t>
            </w: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9"/>
        </w:trPr>
        <w:tc>
          <w:tcPr>
            <w:tcW w:w="6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 VINEET NARGOLWALA</w:t>
            </w:r>
          </w:p>
        </w:tc>
        <w:tc>
          <w:tcPr>
            <w:tcW w:w="5180" w:type="dxa"/>
            <w:vAlign w:val="bottom"/>
            <w:shd w:val="clear" w:color="auto" w:fill="CCEEFF"/>
          </w:tcPr>
          <w:p>
            <w:pPr>
              <w:spacing w:after="0"/>
              <w:rPr>
                <w:sz w:val="19"/>
                <w:szCs w:val="19"/>
                <w:color w:val="auto"/>
              </w:rPr>
            </w:pPr>
          </w:p>
        </w:tc>
      </w:tr>
      <w:tr>
        <w:trPr>
          <w:trHeight w:val="230"/>
        </w:trPr>
        <w:tc>
          <w:tcPr>
            <w:tcW w:w="6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Vineet Nargolwala</w:t>
            </w: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30"/>
        </w:trPr>
        <w:tc>
          <w:tcPr>
            <w:tcW w:w="6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 BRADLEY C. RICHARDSON</w:t>
            </w:r>
          </w:p>
        </w:tc>
        <w:tc>
          <w:tcPr>
            <w:tcW w:w="5180" w:type="dxa"/>
            <w:vAlign w:val="bottom"/>
            <w:shd w:val="clear" w:color="auto" w:fill="CCEEFF"/>
          </w:tcPr>
          <w:p>
            <w:pPr>
              <w:spacing w:after="0"/>
              <w:rPr>
                <w:sz w:val="19"/>
                <w:szCs w:val="19"/>
                <w:color w:val="auto"/>
              </w:rPr>
            </w:pPr>
          </w:p>
        </w:tc>
      </w:tr>
      <w:tr>
        <w:trPr>
          <w:trHeight w:val="230"/>
        </w:trPr>
        <w:tc>
          <w:tcPr>
            <w:tcW w:w="6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Bradley C. Richardson</w:t>
            </w: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9"/>
        </w:trPr>
        <w:tc>
          <w:tcPr>
            <w:tcW w:w="6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 MICHELLE E. WILLIAMS</w:t>
            </w:r>
          </w:p>
        </w:tc>
        <w:tc>
          <w:tcPr>
            <w:tcW w:w="5180" w:type="dxa"/>
            <w:vAlign w:val="bottom"/>
            <w:shd w:val="clear" w:color="auto" w:fill="CCEEFF"/>
          </w:tcPr>
          <w:p>
            <w:pPr>
              <w:spacing w:after="0"/>
              <w:rPr>
                <w:sz w:val="19"/>
                <w:szCs w:val="19"/>
                <w:color w:val="auto"/>
              </w:rPr>
            </w:pPr>
          </w:p>
        </w:tc>
      </w:tr>
      <w:tr>
        <w:trPr>
          <w:trHeight w:val="234"/>
        </w:trPr>
        <w:tc>
          <w:tcPr>
            <w:tcW w:w="6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Michelle E. Williams</w:t>
            </w: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98" w:lineRule="exact"/>
        <w:rPr>
          <w:sz w:val="20"/>
          <w:szCs w:val="20"/>
          <w:color w:val="auto"/>
        </w:rPr>
      </w:pPr>
    </w:p>
    <w:p>
      <w:pPr>
        <w:ind w:left="680" w:hanging="654"/>
        <w:spacing w:after="0"/>
        <w:tabs>
          <w:tab w:leader="none" w:pos="6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above signatures is affixed as of September 4,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240"/>
          </w:cols>
          <w:pgMar w:left="320" w:top="118" w:right="33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238"/>
        </w:trPr>
        <w:tc>
          <w:tcPr>
            <w:tcW w:w="292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0" w:type="dxa"/>
            <w:vAlign w:val="bottom"/>
            <w:gridSpan w:val="2"/>
          </w:tcPr>
          <w:p>
            <w:pPr>
              <w:ind w:left="1000"/>
              <w:spacing w:after="0"/>
              <w:rPr>
                <w:sz w:val="20"/>
                <w:szCs w:val="20"/>
                <w:color w:val="auto"/>
              </w:rPr>
            </w:pPr>
            <w:r>
              <w:rPr>
                <w:rFonts w:ascii="Times New Roman" w:cs="Times New Roman" w:eastAsia="Times New Roman" w:hAnsi="Times New Roman"/>
                <w:sz w:val="18"/>
                <w:szCs w:val="18"/>
                <w:b w:val="1"/>
                <w:bCs w:val="1"/>
                <w:color w:val="auto"/>
                <w:w w:val="98"/>
              </w:rPr>
              <w:t>EXHIBIT 21</w:t>
            </w:r>
          </w:p>
        </w:tc>
      </w:tr>
      <w:tr>
        <w:trPr>
          <w:trHeight w:val="558"/>
        </w:trPr>
        <w:tc>
          <w:tcPr>
            <w:tcW w:w="2920" w:type="dxa"/>
            <w:vAlign w:val="bottom"/>
          </w:tcPr>
          <w:p>
            <w:pPr>
              <w:spacing w:after="0"/>
              <w:rPr>
                <w:sz w:val="24"/>
                <w:szCs w:val="24"/>
                <w:color w:val="auto"/>
              </w:rPr>
            </w:pPr>
          </w:p>
        </w:tc>
        <w:tc>
          <w:tcPr>
            <w:tcW w:w="6320" w:type="dxa"/>
            <w:vAlign w:val="bottom"/>
            <w:gridSpan w:val="4"/>
          </w:tcPr>
          <w:p>
            <w:pPr>
              <w:jc w:val="center"/>
              <w:ind w:right="900"/>
              <w:spacing w:after="0"/>
              <w:rPr>
                <w:sz w:val="20"/>
                <w:szCs w:val="20"/>
                <w:color w:val="auto"/>
              </w:rPr>
            </w:pPr>
            <w:r>
              <w:rPr>
                <w:rFonts w:ascii="Times New Roman" w:cs="Times New Roman" w:eastAsia="Times New Roman" w:hAnsi="Times New Roman"/>
                <w:sz w:val="18"/>
                <w:szCs w:val="18"/>
                <w:b w:val="1"/>
                <w:bCs w:val="1"/>
                <w:color w:val="auto"/>
                <w:w w:val="99"/>
              </w:rPr>
              <w:t>SCHEDULE OF SUBSIDIARIES OF BRADY CORPORATION</w:t>
            </w:r>
          </w:p>
        </w:tc>
        <w:tc>
          <w:tcPr>
            <w:tcW w:w="19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8"/>
        </w:trPr>
        <w:tc>
          <w:tcPr>
            <w:tcW w:w="2920" w:type="dxa"/>
            <w:vAlign w:val="bottom"/>
          </w:tcPr>
          <w:p>
            <w:pPr>
              <w:spacing w:after="0"/>
              <w:rPr>
                <w:sz w:val="20"/>
                <w:szCs w:val="20"/>
                <w:color w:val="auto"/>
              </w:rPr>
            </w:pPr>
          </w:p>
        </w:tc>
        <w:tc>
          <w:tcPr>
            <w:tcW w:w="6320" w:type="dxa"/>
            <w:vAlign w:val="bottom"/>
            <w:gridSpan w:val="4"/>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9"/>
              </w:rPr>
              <w:t>July 31, 2025</w:t>
            </w:r>
          </w:p>
        </w:tc>
        <w:tc>
          <w:tcPr>
            <w:tcW w:w="19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80"/>
        </w:trPr>
        <w:tc>
          <w:tcPr>
            <w:tcW w:w="29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i w:val="1"/>
                <w:iCs w:val="1"/>
                <w:color w:val="auto"/>
              </w:rPr>
              <w:t>State (Country)</w:t>
            </w:r>
          </w:p>
        </w:tc>
        <w:tc>
          <w:tcPr>
            <w:tcW w:w="200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i w:val="1"/>
                <w:iCs w:val="1"/>
                <w:color w:val="auto"/>
              </w:rPr>
              <w:t>Percentage of Voting</w:t>
            </w:r>
          </w:p>
        </w:tc>
      </w:tr>
      <w:tr>
        <w:trPr>
          <w:trHeight w:val="219"/>
        </w:trPr>
        <w:tc>
          <w:tcPr>
            <w:tcW w:w="2920" w:type="dxa"/>
            <w:vAlign w:val="bottom"/>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Name of Company</w:t>
            </w:r>
          </w:p>
        </w:tc>
        <w:tc>
          <w:tcPr>
            <w:tcW w:w="4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i w:val="1"/>
                <w:iCs w:val="1"/>
                <w:color w:val="auto"/>
              </w:rPr>
              <w:t>of Incorporation</w:t>
            </w:r>
          </w:p>
        </w:tc>
        <w:tc>
          <w:tcPr>
            <w:tcW w:w="200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i w:val="1"/>
                <w:iCs w:val="1"/>
                <w:color w:val="auto"/>
              </w:rPr>
              <w:t>Securities Owned</w:t>
            </w:r>
          </w:p>
        </w:tc>
      </w:tr>
      <w:tr>
        <w:trPr>
          <w:trHeight w:val="212"/>
        </w:trPr>
        <w:tc>
          <w:tcPr>
            <w:tcW w:w="2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Brady Corporation</w:t>
            </w:r>
          </w:p>
        </w:tc>
        <w:tc>
          <w:tcPr>
            <w:tcW w:w="40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9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Wisconsin</w:t>
            </w:r>
          </w:p>
        </w:tc>
        <w:tc>
          <w:tcPr>
            <w:tcW w:w="140" w:type="dxa"/>
            <w:vAlign w:val="bottom"/>
            <w:tcBorders>
              <w:top w:val="single" w:sz="8" w:color="CCEEFF"/>
            </w:tcBorders>
            <w:shd w:val="clear" w:color="auto" w:fill="CCEEFF"/>
          </w:tcPr>
          <w:p>
            <w:pPr>
              <w:spacing w:after="0"/>
              <w:rPr>
                <w:sz w:val="18"/>
                <w:szCs w:val="18"/>
                <w:color w:val="auto"/>
              </w:rPr>
            </w:pPr>
          </w:p>
        </w:tc>
        <w:tc>
          <w:tcPr>
            <w:tcW w:w="19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Parent</w:t>
            </w:r>
          </w:p>
        </w:tc>
        <w:tc>
          <w:tcPr>
            <w:tcW w:w="40" w:type="dxa"/>
            <w:vAlign w:val="bottom"/>
          </w:tcPr>
          <w:p>
            <w:pPr>
              <w:spacing w:after="0"/>
              <w:rPr>
                <w:sz w:val="18"/>
                <w:szCs w:val="18"/>
                <w:color w:val="auto"/>
              </w:rPr>
            </w:pPr>
          </w:p>
        </w:tc>
      </w:tr>
      <w:tr>
        <w:trPr>
          <w:trHeight w:val="213"/>
        </w:trPr>
        <w:tc>
          <w:tcPr>
            <w:tcW w:w="2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American Barcode and RFID LLC</w:t>
            </w:r>
          </w:p>
        </w:tc>
        <w:tc>
          <w:tcPr>
            <w:tcW w:w="4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Delaware</w:t>
            </w: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c>
          <w:tcPr>
            <w:tcW w:w="40" w:type="dxa"/>
            <w:vAlign w:val="bottom"/>
          </w:tcPr>
          <w:p>
            <w:pPr>
              <w:spacing w:after="0"/>
              <w:rPr>
                <w:sz w:val="18"/>
                <w:szCs w:val="18"/>
                <w:color w:val="auto"/>
              </w:rPr>
            </w:pPr>
          </w:p>
        </w:tc>
      </w:tr>
      <w:tr>
        <w:trPr>
          <w:trHeight w:val="219"/>
        </w:trPr>
        <w:tc>
          <w:tcPr>
            <w:tcW w:w="2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Doing Business As:</w:t>
            </w:r>
          </w:p>
        </w:tc>
        <w:tc>
          <w:tcPr>
            <w:tcW w:w="4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13"/>
        </w:trPr>
        <w:tc>
          <w:tcPr>
            <w:tcW w:w="292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AB&amp;R</w:t>
            </w:r>
          </w:p>
        </w:tc>
        <w:tc>
          <w:tcPr>
            <w:tcW w:w="4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9"/>
        </w:trPr>
        <w:tc>
          <w:tcPr>
            <w:tcW w:w="29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Scansmart</w:t>
            </w:r>
          </w:p>
        </w:tc>
        <w:tc>
          <w:tcPr>
            <w:tcW w:w="4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13"/>
        </w:trPr>
        <w:tc>
          <w:tcPr>
            <w:tcW w:w="2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Brady Holdings Mexico LLC</w:t>
            </w:r>
          </w:p>
        </w:tc>
        <w:tc>
          <w:tcPr>
            <w:tcW w:w="4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Delaware</w:t>
            </w: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c>
          <w:tcPr>
            <w:tcW w:w="40" w:type="dxa"/>
            <w:vAlign w:val="bottom"/>
          </w:tcPr>
          <w:p>
            <w:pPr>
              <w:spacing w:after="0"/>
              <w:rPr>
                <w:sz w:val="18"/>
                <w:szCs w:val="18"/>
                <w:color w:val="auto"/>
              </w:rPr>
            </w:pPr>
          </w:p>
        </w:tc>
      </w:tr>
      <w:tr>
        <w:trPr>
          <w:trHeight w:val="219"/>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GravoTech, Inc.</w:t>
            </w:r>
          </w:p>
        </w:tc>
        <w:tc>
          <w:tcPr>
            <w:tcW w:w="4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1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Delaware</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c>
          <w:tcPr>
            <w:tcW w:w="40" w:type="dxa"/>
            <w:vAlign w:val="bottom"/>
          </w:tcPr>
          <w:p>
            <w:pPr>
              <w:spacing w:after="0"/>
              <w:rPr>
                <w:sz w:val="19"/>
                <w:szCs w:val="19"/>
                <w:color w:val="auto"/>
              </w:rPr>
            </w:pPr>
          </w:p>
        </w:tc>
      </w:tr>
      <w:tr>
        <w:trPr>
          <w:trHeight w:val="213"/>
        </w:trPr>
        <w:tc>
          <w:tcPr>
            <w:tcW w:w="2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The Code Corporation</w:t>
            </w:r>
          </w:p>
        </w:tc>
        <w:tc>
          <w:tcPr>
            <w:tcW w:w="4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Delaware</w:t>
            </w: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c>
          <w:tcPr>
            <w:tcW w:w="40" w:type="dxa"/>
            <w:vAlign w:val="bottom"/>
          </w:tcPr>
          <w:p>
            <w:pPr>
              <w:spacing w:after="0"/>
              <w:rPr>
                <w:sz w:val="18"/>
                <w:szCs w:val="18"/>
                <w:color w:val="auto"/>
              </w:rPr>
            </w:pPr>
          </w:p>
        </w:tc>
      </w:tr>
      <w:tr>
        <w:trPr>
          <w:trHeight w:val="219"/>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Tricor Direct, Inc.</w:t>
            </w:r>
          </w:p>
        </w:tc>
        <w:tc>
          <w:tcPr>
            <w:tcW w:w="4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1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Delaware</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c>
          <w:tcPr>
            <w:tcW w:w="40" w:type="dxa"/>
            <w:vAlign w:val="bottom"/>
          </w:tcPr>
          <w:p>
            <w:pPr>
              <w:spacing w:after="0"/>
              <w:rPr>
                <w:sz w:val="19"/>
                <w:szCs w:val="19"/>
                <w:color w:val="auto"/>
              </w:rPr>
            </w:pPr>
          </w:p>
        </w:tc>
      </w:tr>
      <w:tr>
        <w:trPr>
          <w:trHeight w:val="213"/>
        </w:trPr>
        <w:tc>
          <w:tcPr>
            <w:tcW w:w="29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Doing Business As:</w:t>
            </w:r>
          </w:p>
        </w:tc>
        <w:tc>
          <w:tcPr>
            <w:tcW w:w="4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9"/>
        </w:trPr>
        <w:tc>
          <w:tcPr>
            <w:tcW w:w="29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Champion America</w:t>
            </w:r>
          </w:p>
        </w:tc>
        <w:tc>
          <w:tcPr>
            <w:tcW w:w="4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13"/>
        </w:trPr>
        <w:tc>
          <w:tcPr>
            <w:tcW w:w="292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Clement Communications</w:t>
            </w:r>
          </w:p>
        </w:tc>
        <w:tc>
          <w:tcPr>
            <w:tcW w:w="4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9"/>
        </w:trPr>
        <w:tc>
          <w:tcPr>
            <w:tcW w:w="29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Emedco</w:t>
            </w:r>
          </w:p>
        </w:tc>
        <w:tc>
          <w:tcPr>
            <w:tcW w:w="4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13"/>
        </w:trPr>
        <w:tc>
          <w:tcPr>
            <w:tcW w:w="292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Seton</w:t>
            </w:r>
          </w:p>
        </w:tc>
        <w:tc>
          <w:tcPr>
            <w:tcW w:w="4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9"/>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Worldmark of Wisconsin Inc.</w:t>
            </w:r>
          </w:p>
        </w:tc>
        <w:tc>
          <w:tcPr>
            <w:tcW w:w="4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1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Delaware</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c>
          <w:tcPr>
            <w:tcW w:w="40" w:type="dxa"/>
            <w:vAlign w:val="bottom"/>
          </w:tcPr>
          <w:p>
            <w:pPr>
              <w:spacing w:after="0"/>
              <w:rPr>
                <w:sz w:val="19"/>
                <w:szCs w:val="19"/>
                <w:color w:val="auto"/>
              </w:rPr>
            </w:pPr>
          </w:p>
        </w:tc>
      </w:tr>
      <w:tr>
        <w:trPr>
          <w:trHeight w:val="213"/>
        </w:trPr>
        <w:tc>
          <w:tcPr>
            <w:tcW w:w="2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Brady International Co.</w:t>
            </w:r>
          </w:p>
        </w:tc>
        <w:tc>
          <w:tcPr>
            <w:tcW w:w="4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Wisconsin</w:t>
            </w: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c>
          <w:tcPr>
            <w:tcW w:w="40" w:type="dxa"/>
            <w:vAlign w:val="bottom"/>
          </w:tcPr>
          <w:p>
            <w:pPr>
              <w:spacing w:after="0"/>
              <w:rPr>
                <w:sz w:val="18"/>
                <w:szCs w:val="18"/>
                <w:color w:val="auto"/>
              </w:rPr>
            </w:pPr>
          </w:p>
        </w:tc>
      </w:tr>
      <w:tr>
        <w:trPr>
          <w:trHeight w:val="219"/>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Brady Worldwide, Inc.</w:t>
            </w:r>
          </w:p>
        </w:tc>
        <w:tc>
          <w:tcPr>
            <w:tcW w:w="4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1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rPr>
              <w:t>Wisconsin</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c>
          <w:tcPr>
            <w:tcW w:w="40" w:type="dxa"/>
            <w:vAlign w:val="bottom"/>
          </w:tcPr>
          <w:p>
            <w:pPr>
              <w:spacing w:after="0"/>
              <w:rPr>
                <w:sz w:val="19"/>
                <w:szCs w:val="19"/>
                <w:color w:val="auto"/>
              </w:rPr>
            </w:pPr>
          </w:p>
        </w:tc>
      </w:tr>
      <w:tr>
        <w:trPr>
          <w:trHeight w:val="213"/>
        </w:trPr>
        <w:tc>
          <w:tcPr>
            <w:tcW w:w="29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Doing Business As:</w:t>
            </w:r>
          </w:p>
        </w:tc>
        <w:tc>
          <w:tcPr>
            <w:tcW w:w="4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9"/>
        </w:trPr>
        <w:tc>
          <w:tcPr>
            <w:tcW w:w="29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Electromark</w:t>
            </w:r>
          </w:p>
        </w:tc>
        <w:tc>
          <w:tcPr>
            <w:tcW w:w="4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13"/>
        </w:trPr>
        <w:tc>
          <w:tcPr>
            <w:tcW w:w="292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Nordic ID</w:t>
            </w:r>
          </w:p>
        </w:tc>
        <w:tc>
          <w:tcPr>
            <w:tcW w:w="4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9"/>
        </w:trPr>
        <w:tc>
          <w:tcPr>
            <w:tcW w:w="29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Sorbent Products Company</w:t>
            </w:r>
          </w:p>
        </w:tc>
        <w:tc>
          <w:tcPr>
            <w:tcW w:w="4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13"/>
        </w:trPr>
        <w:tc>
          <w:tcPr>
            <w:tcW w:w="292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TISCOR</w:t>
            </w:r>
          </w:p>
        </w:tc>
        <w:tc>
          <w:tcPr>
            <w:tcW w:w="4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9"/>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Precision Dynamics Corporation</w:t>
            </w:r>
          </w:p>
        </w:tc>
        <w:tc>
          <w:tcPr>
            <w:tcW w:w="4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1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California</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c>
          <w:tcPr>
            <w:tcW w:w="40" w:type="dxa"/>
            <w:vAlign w:val="bottom"/>
          </w:tcPr>
          <w:p>
            <w:pPr>
              <w:spacing w:after="0"/>
              <w:rPr>
                <w:sz w:val="19"/>
                <w:szCs w:val="19"/>
                <w:color w:val="auto"/>
              </w:rPr>
            </w:pPr>
          </w:p>
        </w:tc>
      </w:tr>
      <w:tr>
        <w:trPr>
          <w:trHeight w:val="213"/>
        </w:trPr>
        <w:tc>
          <w:tcPr>
            <w:tcW w:w="29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Doing Business As:</w:t>
            </w:r>
          </w:p>
        </w:tc>
        <w:tc>
          <w:tcPr>
            <w:tcW w:w="4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9"/>
        </w:trPr>
        <w:tc>
          <w:tcPr>
            <w:tcW w:w="29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Brady People ID</w:t>
            </w:r>
          </w:p>
        </w:tc>
        <w:tc>
          <w:tcPr>
            <w:tcW w:w="4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13"/>
        </w:trPr>
        <w:tc>
          <w:tcPr>
            <w:tcW w:w="292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Dual Core</w:t>
            </w:r>
          </w:p>
        </w:tc>
        <w:tc>
          <w:tcPr>
            <w:tcW w:w="4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9"/>
        </w:trPr>
        <w:tc>
          <w:tcPr>
            <w:tcW w:w="29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PDC</w:t>
            </w:r>
          </w:p>
        </w:tc>
        <w:tc>
          <w:tcPr>
            <w:tcW w:w="4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13"/>
        </w:trPr>
        <w:tc>
          <w:tcPr>
            <w:tcW w:w="292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IDenticard</w:t>
            </w:r>
          </w:p>
        </w:tc>
        <w:tc>
          <w:tcPr>
            <w:tcW w:w="4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9"/>
        </w:trPr>
        <w:tc>
          <w:tcPr>
            <w:tcW w:w="29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Magicard</w:t>
            </w:r>
          </w:p>
        </w:tc>
        <w:tc>
          <w:tcPr>
            <w:tcW w:w="4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13"/>
        </w:trPr>
        <w:tc>
          <w:tcPr>
            <w:tcW w:w="292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PDC IDenticard</w:t>
            </w:r>
          </w:p>
        </w:tc>
        <w:tc>
          <w:tcPr>
            <w:tcW w:w="4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9"/>
        </w:trPr>
        <w:tc>
          <w:tcPr>
            <w:tcW w:w="29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PromoVision</w:t>
            </w:r>
          </w:p>
        </w:tc>
        <w:tc>
          <w:tcPr>
            <w:tcW w:w="4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13"/>
        </w:trPr>
        <w:tc>
          <w:tcPr>
            <w:tcW w:w="292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TimeMed Labeling Systems</w:t>
            </w:r>
          </w:p>
        </w:tc>
        <w:tc>
          <w:tcPr>
            <w:tcW w:w="4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9"/>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Brady Australia Holdings Pty. Ltd.</w:t>
            </w:r>
          </w:p>
        </w:tc>
        <w:tc>
          <w:tcPr>
            <w:tcW w:w="4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1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rPr>
              <w:t>Australia</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c>
          <w:tcPr>
            <w:tcW w:w="40" w:type="dxa"/>
            <w:vAlign w:val="bottom"/>
          </w:tcPr>
          <w:p>
            <w:pPr>
              <w:spacing w:after="0"/>
              <w:rPr>
                <w:sz w:val="19"/>
                <w:szCs w:val="19"/>
                <w:color w:val="auto"/>
              </w:rPr>
            </w:pPr>
          </w:p>
        </w:tc>
      </w:tr>
      <w:tr>
        <w:trPr>
          <w:trHeight w:val="213"/>
        </w:trPr>
        <w:tc>
          <w:tcPr>
            <w:tcW w:w="2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Brady Australia Pty. Ltd.</w:t>
            </w:r>
          </w:p>
        </w:tc>
        <w:tc>
          <w:tcPr>
            <w:tcW w:w="4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Australia</w:t>
            </w: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c>
          <w:tcPr>
            <w:tcW w:w="40" w:type="dxa"/>
            <w:vAlign w:val="bottom"/>
          </w:tcPr>
          <w:p>
            <w:pPr>
              <w:spacing w:after="0"/>
              <w:rPr>
                <w:sz w:val="18"/>
                <w:szCs w:val="18"/>
                <w:color w:val="auto"/>
              </w:rPr>
            </w:pPr>
          </w:p>
        </w:tc>
      </w:tr>
      <w:tr>
        <w:trPr>
          <w:trHeight w:val="219"/>
        </w:trPr>
        <w:tc>
          <w:tcPr>
            <w:tcW w:w="2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Doing Business As:</w:t>
            </w:r>
          </w:p>
        </w:tc>
        <w:tc>
          <w:tcPr>
            <w:tcW w:w="4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13"/>
        </w:trPr>
        <w:tc>
          <w:tcPr>
            <w:tcW w:w="292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ID Card Printers</w:t>
            </w:r>
          </w:p>
        </w:tc>
        <w:tc>
          <w:tcPr>
            <w:tcW w:w="4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9"/>
        </w:trPr>
        <w:tc>
          <w:tcPr>
            <w:tcW w:w="29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ID Warehouse</w:t>
            </w:r>
          </w:p>
        </w:tc>
        <w:tc>
          <w:tcPr>
            <w:tcW w:w="4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13"/>
        </w:trPr>
        <w:tc>
          <w:tcPr>
            <w:tcW w:w="292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ID Wholesaler</w:t>
            </w:r>
          </w:p>
        </w:tc>
        <w:tc>
          <w:tcPr>
            <w:tcW w:w="4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9"/>
        </w:trPr>
        <w:tc>
          <w:tcPr>
            <w:tcW w:w="29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IDW Technologies</w:t>
            </w:r>
          </w:p>
        </w:tc>
        <w:tc>
          <w:tcPr>
            <w:tcW w:w="4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13"/>
        </w:trPr>
        <w:tc>
          <w:tcPr>
            <w:tcW w:w="292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OZ-ID Identification Products</w:t>
            </w:r>
          </w:p>
        </w:tc>
        <w:tc>
          <w:tcPr>
            <w:tcW w:w="4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9"/>
        </w:trPr>
        <w:tc>
          <w:tcPr>
            <w:tcW w:w="29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Safety Signs Service</w:t>
            </w:r>
          </w:p>
        </w:tc>
        <w:tc>
          <w:tcPr>
            <w:tcW w:w="4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13"/>
        </w:trPr>
        <w:tc>
          <w:tcPr>
            <w:tcW w:w="292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Scafftag Australia</w:t>
            </w:r>
          </w:p>
        </w:tc>
        <w:tc>
          <w:tcPr>
            <w:tcW w:w="4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9"/>
        </w:trPr>
        <w:tc>
          <w:tcPr>
            <w:tcW w:w="29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Seton Australia</w:t>
            </w:r>
          </w:p>
        </w:tc>
        <w:tc>
          <w:tcPr>
            <w:tcW w:w="4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13"/>
        </w:trPr>
        <w:tc>
          <w:tcPr>
            <w:tcW w:w="292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Trafalgar First Aid</w:t>
            </w:r>
          </w:p>
        </w:tc>
        <w:tc>
          <w:tcPr>
            <w:tcW w:w="4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9"/>
        </w:trPr>
        <w:tc>
          <w:tcPr>
            <w:tcW w:w="29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Visisign</w:t>
            </w:r>
          </w:p>
        </w:tc>
        <w:tc>
          <w:tcPr>
            <w:tcW w:w="4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13"/>
        </w:trPr>
        <w:tc>
          <w:tcPr>
            <w:tcW w:w="2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Carroll Australasia Pty. Ltd.</w:t>
            </w:r>
          </w:p>
        </w:tc>
        <w:tc>
          <w:tcPr>
            <w:tcW w:w="4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Australia</w:t>
            </w: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c>
          <w:tcPr>
            <w:tcW w:w="40" w:type="dxa"/>
            <w:vAlign w:val="bottom"/>
          </w:tcPr>
          <w:p>
            <w:pPr>
              <w:spacing w:after="0"/>
              <w:rPr>
                <w:sz w:val="18"/>
                <w:szCs w:val="18"/>
                <w:color w:val="auto"/>
              </w:rPr>
            </w:pPr>
          </w:p>
        </w:tc>
      </w:tr>
      <w:tr>
        <w:trPr>
          <w:trHeight w:val="219"/>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Gravotech Australia Pty. Ltd.</w:t>
            </w:r>
          </w:p>
        </w:tc>
        <w:tc>
          <w:tcPr>
            <w:tcW w:w="4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1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rPr>
              <w:t>Australia</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c>
          <w:tcPr>
            <w:tcW w:w="40" w:type="dxa"/>
            <w:vAlign w:val="bottom"/>
          </w:tcPr>
          <w:p>
            <w:pPr>
              <w:spacing w:after="0"/>
              <w:rPr>
                <w:sz w:val="19"/>
                <w:szCs w:val="19"/>
                <w:color w:val="auto"/>
              </w:rPr>
            </w:pPr>
          </w:p>
        </w:tc>
      </w:tr>
      <w:tr>
        <w:trPr>
          <w:trHeight w:val="213"/>
        </w:trPr>
        <w:tc>
          <w:tcPr>
            <w:tcW w:w="2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Gravotech GmbH</w:t>
            </w:r>
          </w:p>
        </w:tc>
        <w:tc>
          <w:tcPr>
            <w:tcW w:w="4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Austria</w:t>
            </w: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c>
          <w:tcPr>
            <w:tcW w:w="40" w:type="dxa"/>
            <w:vAlign w:val="bottom"/>
          </w:tcPr>
          <w:p>
            <w:pPr>
              <w:spacing w:after="0"/>
              <w:rPr>
                <w:sz w:val="18"/>
                <w:szCs w:val="18"/>
                <w:color w:val="auto"/>
              </w:rPr>
            </w:pPr>
          </w:p>
        </w:tc>
      </w:tr>
      <w:tr>
        <w:trPr>
          <w:trHeight w:val="219"/>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Gravotech Benelux N.V.</w:t>
            </w:r>
          </w:p>
        </w:tc>
        <w:tc>
          <w:tcPr>
            <w:tcW w:w="4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1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rPr>
              <w:t>Belgium</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c>
          <w:tcPr>
            <w:tcW w:w="40" w:type="dxa"/>
            <w:vAlign w:val="bottom"/>
          </w:tcPr>
          <w:p>
            <w:pPr>
              <w:spacing w:after="0"/>
              <w:rPr>
                <w:sz w:val="19"/>
                <w:szCs w:val="19"/>
                <w:color w:val="auto"/>
              </w:rPr>
            </w:pPr>
          </w:p>
        </w:tc>
      </w:tr>
      <w:tr>
        <w:trPr>
          <w:trHeight w:val="213"/>
        </w:trPr>
        <w:tc>
          <w:tcPr>
            <w:tcW w:w="2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Precision Dynamics Europe SRL</w:t>
            </w:r>
          </w:p>
        </w:tc>
        <w:tc>
          <w:tcPr>
            <w:tcW w:w="4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Belgium</w:t>
            </w: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c>
          <w:tcPr>
            <w:tcW w:w="40" w:type="dxa"/>
            <w:vAlign w:val="bottom"/>
          </w:tcPr>
          <w:p>
            <w:pPr>
              <w:spacing w:after="0"/>
              <w:rPr>
                <w:sz w:val="18"/>
                <w:szCs w:val="18"/>
                <w:color w:val="auto"/>
              </w:rPr>
            </w:pPr>
          </w:p>
        </w:tc>
      </w:tr>
      <w:tr>
        <w:trPr>
          <w:trHeight w:val="219"/>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W.H. Brady N.V.</w:t>
            </w:r>
          </w:p>
        </w:tc>
        <w:tc>
          <w:tcPr>
            <w:tcW w:w="4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1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rPr>
              <w:t>Belgium</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c>
          <w:tcPr>
            <w:tcW w:w="40" w:type="dxa"/>
            <w:vAlign w:val="bottom"/>
          </w:tcPr>
          <w:p>
            <w:pPr>
              <w:spacing w:after="0"/>
              <w:rPr>
                <w:sz w:val="19"/>
                <w:szCs w:val="19"/>
                <w:color w:val="auto"/>
              </w:rPr>
            </w:pPr>
          </w:p>
        </w:tc>
      </w:tr>
    </w:tbl>
    <w:p>
      <w:pPr>
        <w:sectPr>
          <w:pgSz w:w="11900" w:h="16838" w:orient="portrait"/>
          <w:cols w:equalWidth="0" w:num="1">
            <w:col w:w="11240"/>
          </w:cols>
          <w:pgMar w:left="320" w:top="1238" w:right="339" w:bottom="1440" w:gutter="0" w:footer="0" w:header="0"/>
        </w:sectPr>
      </w:pPr>
    </w:p>
    <w:bookmarkStart w:id="104" w:name="page105"/>
    <w:bookmarkEnd w:id="10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i w:val="1"/>
                <w:iCs w:val="1"/>
                <w:color w:val="auto"/>
              </w:rPr>
              <w:t>State (Country)</w:t>
            </w: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Percentage of Voting</w:t>
            </w:r>
          </w:p>
        </w:tc>
      </w:tr>
      <w:tr>
        <w:trPr>
          <w:trHeight w:val="219"/>
        </w:trPr>
        <w:tc>
          <w:tcPr>
            <w:tcW w:w="71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Name of Company</w:t>
            </w:r>
          </w:p>
        </w:tc>
        <w:tc>
          <w:tcPr>
            <w:tcW w:w="21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i w:val="1"/>
                <w:iCs w:val="1"/>
                <w:color w:val="auto"/>
              </w:rPr>
              <w:t>of Incorporation</w:t>
            </w: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Securities Owned</w:t>
            </w:r>
          </w:p>
        </w:tc>
      </w:tr>
      <w:tr>
        <w:trPr>
          <w:trHeight w:val="210"/>
        </w:trPr>
        <w:tc>
          <w:tcPr>
            <w:tcW w:w="70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W.H.B. do Brasil Ltda.</w:t>
            </w:r>
          </w:p>
        </w:tc>
        <w:tc>
          <w:tcPr>
            <w:tcW w:w="140" w:type="dxa"/>
            <w:vAlign w:val="bottom"/>
          </w:tcPr>
          <w:p>
            <w:pPr>
              <w:spacing w:after="0"/>
              <w:rPr>
                <w:sz w:val="18"/>
                <w:szCs w:val="18"/>
                <w:color w:val="auto"/>
              </w:rPr>
            </w:pPr>
          </w:p>
        </w:tc>
        <w:tc>
          <w:tcPr>
            <w:tcW w:w="1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Brazil</w:t>
            </w:r>
          </w:p>
        </w:tc>
        <w:tc>
          <w:tcPr>
            <w:tcW w:w="140" w:type="dxa"/>
            <w:vAlign w:val="bottom"/>
          </w:tcPr>
          <w:p>
            <w:pPr>
              <w:spacing w:after="0"/>
              <w:rPr>
                <w:sz w:val="18"/>
                <w:szCs w:val="18"/>
                <w:color w:val="auto"/>
              </w:rPr>
            </w:pPr>
          </w:p>
        </w:tc>
        <w:tc>
          <w:tcPr>
            <w:tcW w:w="1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r>
      <w:tr>
        <w:trPr>
          <w:trHeight w:val="219"/>
        </w:trPr>
        <w:tc>
          <w:tcPr>
            <w:tcW w:w="7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New Hermes Limited</w:t>
            </w:r>
          </w:p>
        </w:tc>
        <w:tc>
          <w:tcPr>
            <w:tcW w:w="21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w w:val="99"/>
              </w:rPr>
              <w:t>Canada</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r>
      <w:tr>
        <w:trPr>
          <w:trHeight w:val="213"/>
        </w:trPr>
        <w:tc>
          <w:tcPr>
            <w:tcW w:w="7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W.H.B. Identification Solutions Inc.</w:t>
            </w:r>
          </w:p>
        </w:tc>
        <w:tc>
          <w:tcPr>
            <w:tcW w:w="21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9"/>
              </w:rPr>
              <w:t>Canada</w:t>
            </w: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r>
      <w:tr>
        <w:trPr>
          <w:trHeight w:val="219"/>
        </w:trPr>
        <w:tc>
          <w:tcPr>
            <w:tcW w:w="71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Doing Business As:</w:t>
            </w:r>
          </w:p>
        </w:tc>
        <w:tc>
          <w:tcPr>
            <w:tcW w:w="1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r>
      <w:tr>
        <w:trPr>
          <w:trHeight w:val="213"/>
        </w:trPr>
        <w:tc>
          <w:tcPr>
            <w:tcW w:w="71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Brady</w:t>
            </w: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19"/>
        </w:trPr>
        <w:tc>
          <w:tcPr>
            <w:tcW w:w="714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Electromark</w:t>
            </w:r>
          </w:p>
        </w:tc>
        <w:tc>
          <w:tcPr>
            <w:tcW w:w="1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r>
      <w:tr>
        <w:trPr>
          <w:trHeight w:val="220"/>
        </w:trPr>
        <w:tc>
          <w:tcPr>
            <w:tcW w:w="71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Identicam Systems</w:t>
            </w:r>
          </w:p>
        </w:tc>
        <w:tc>
          <w:tcPr>
            <w:tcW w:w="1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226"/>
        </w:trPr>
        <w:tc>
          <w:tcPr>
            <w:tcW w:w="714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IDenticard Systems</w:t>
            </w:r>
          </w:p>
        </w:tc>
        <w:tc>
          <w:tcPr>
            <w:tcW w:w="1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r>
      <w:tr>
        <w:trPr>
          <w:trHeight w:val="213"/>
        </w:trPr>
        <w:tc>
          <w:tcPr>
            <w:tcW w:w="71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PDC</w:t>
            </w: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19"/>
        </w:trPr>
        <w:tc>
          <w:tcPr>
            <w:tcW w:w="714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Seton</w:t>
            </w:r>
          </w:p>
        </w:tc>
        <w:tc>
          <w:tcPr>
            <w:tcW w:w="1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r>
      <w:tr>
        <w:trPr>
          <w:trHeight w:val="213"/>
        </w:trPr>
        <w:tc>
          <w:tcPr>
            <w:tcW w:w="7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Brady (Beijing) Co. Ltd.</w:t>
            </w:r>
          </w:p>
        </w:tc>
        <w:tc>
          <w:tcPr>
            <w:tcW w:w="21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China</w:t>
            </w: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r>
      <w:tr>
        <w:trPr>
          <w:trHeight w:val="219"/>
        </w:trPr>
        <w:tc>
          <w:tcPr>
            <w:tcW w:w="7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Brady (Xiamen) Co., Ltd.</w:t>
            </w:r>
          </w:p>
        </w:tc>
        <w:tc>
          <w:tcPr>
            <w:tcW w:w="21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rPr>
              <w:t>China</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r>
      <w:tr>
        <w:trPr>
          <w:trHeight w:val="213"/>
        </w:trPr>
        <w:tc>
          <w:tcPr>
            <w:tcW w:w="7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Brady Investment Management (Shanghai) Co., Ltd.</w:t>
            </w:r>
          </w:p>
        </w:tc>
        <w:tc>
          <w:tcPr>
            <w:tcW w:w="21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China</w:t>
            </w: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r>
      <w:tr>
        <w:trPr>
          <w:trHeight w:val="219"/>
        </w:trPr>
        <w:tc>
          <w:tcPr>
            <w:tcW w:w="7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Brady Printing (Shenzhen) Co., Ltd.</w:t>
            </w:r>
          </w:p>
        </w:tc>
        <w:tc>
          <w:tcPr>
            <w:tcW w:w="21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rPr>
              <w:t>China</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r>
      <w:tr>
        <w:trPr>
          <w:trHeight w:val="213"/>
        </w:trPr>
        <w:tc>
          <w:tcPr>
            <w:tcW w:w="7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Brady Technology (Wuxi) Co. Ltd.</w:t>
            </w:r>
          </w:p>
        </w:tc>
        <w:tc>
          <w:tcPr>
            <w:tcW w:w="21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China</w:t>
            </w: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r>
      <w:tr>
        <w:trPr>
          <w:trHeight w:val="219"/>
        </w:trPr>
        <w:tc>
          <w:tcPr>
            <w:tcW w:w="7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Gravotech (Shanghai) Engraving Equipment Co., Ltd.</w:t>
            </w:r>
          </w:p>
        </w:tc>
        <w:tc>
          <w:tcPr>
            <w:tcW w:w="21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rPr>
              <w:t>China</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r>
      <w:tr>
        <w:trPr>
          <w:trHeight w:val="213"/>
        </w:trPr>
        <w:tc>
          <w:tcPr>
            <w:tcW w:w="7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Brady A/S</w:t>
            </w:r>
          </w:p>
        </w:tc>
        <w:tc>
          <w:tcPr>
            <w:tcW w:w="21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Denmark</w:t>
            </w: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r>
      <w:tr>
        <w:trPr>
          <w:trHeight w:val="219"/>
        </w:trPr>
        <w:tc>
          <w:tcPr>
            <w:tcW w:w="7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Nordic ID Oyj</w:t>
            </w:r>
          </w:p>
        </w:tc>
        <w:tc>
          <w:tcPr>
            <w:tcW w:w="21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w w:val="98"/>
              </w:rPr>
              <w:t>Finland</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r>
      <w:tr>
        <w:trPr>
          <w:trHeight w:val="213"/>
        </w:trPr>
        <w:tc>
          <w:tcPr>
            <w:tcW w:w="714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Doing Business As:</w:t>
            </w: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19"/>
        </w:trPr>
        <w:tc>
          <w:tcPr>
            <w:tcW w:w="714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Suomen Turvakilvet</w:t>
            </w:r>
          </w:p>
        </w:tc>
        <w:tc>
          <w:tcPr>
            <w:tcW w:w="1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r>
      <w:tr>
        <w:trPr>
          <w:trHeight w:val="213"/>
        </w:trPr>
        <w:tc>
          <w:tcPr>
            <w:tcW w:w="71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Seripaino Hämäläinen</w:t>
            </w: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19"/>
        </w:trPr>
        <w:tc>
          <w:tcPr>
            <w:tcW w:w="714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SPH-Opastepaino.fi</w:t>
            </w:r>
          </w:p>
        </w:tc>
        <w:tc>
          <w:tcPr>
            <w:tcW w:w="1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r>
      <w:tr>
        <w:trPr>
          <w:trHeight w:val="213"/>
        </w:trPr>
        <w:tc>
          <w:tcPr>
            <w:tcW w:w="7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Braton Europe S.A.R.L.</w:t>
            </w:r>
          </w:p>
        </w:tc>
        <w:tc>
          <w:tcPr>
            <w:tcW w:w="21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France</w:t>
            </w: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r>
      <w:tr>
        <w:trPr>
          <w:trHeight w:val="219"/>
        </w:trPr>
        <w:tc>
          <w:tcPr>
            <w:tcW w:w="7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Brady Groupe S.A.S.</w:t>
            </w:r>
          </w:p>
        </w:tc>
        <w:tc>
          <w:tcPr>
            <w:tcW w:w="21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rPr>
              <w:t>France</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r>
      <w:tr>
        <w:trPr>
          <w:trHeight w:val="213"/>
        </w:trPr>
        <w:tc>
          <w:tcPr>
            <w:tcW w:w="714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Doing Business As:</w:t>
            </w: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19"/>
        </w:trPr>
        <w:tc>
          <w:tcPr>
            <w:tcW w:w="714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Brady</w:t>
            </w:r>
          </w:p>
        </w:tc>
        <w:tc>
          <w:tcPr>
            <w:tcW w:w="1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r>
      <w:tr>
        <w:trPr>
          <w:trHeight w:val="213"/>
        </w:trPr>
        <w:tc>
          <w:tcPr>
            <w:tcW w:w="71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PDC</w:t>
            </w: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19"/>
        </w:trPr>
        <w:tc>
          <w:tcPr>
            <w:tcW w:w="714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Seton</w:t>
            </w:r>
          </w:p>
        </w:tc>
        <w:tc>
          <w:tcPr>
            <w:tcW w:w="1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r>
      <w:tr>
        <w:trPr>
          <w:trHeight w:val="213"/>
        </w:trPr>
        <w:tc>
          <w:tcPr>
            <w:tcW w:w="71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Signals</w:t>
            </w: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19"/>
        </w:trPr>
        <w:tc>
          <w:tcPr>
            <w:tcW w:w="7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Gravotech Holding SAS</w:t>
            </w:r>
          </w:p>
        </w:tc>
        <w:tc>
          <w:tcPr>
            <w:tcW w:w="21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rPr>
              <w:t>France</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r>
      <w:tr>
        <w:trPr>
          <w:trHeight w:val="213"/>
        </w:trPr>
        <w:tc>
          <w:tcPr>
            <w:tcW w:w="7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Gravotech Marking SAS</w:t>
            </w:r>
          </w:p>
        </w:tc>
        <w:tc>
          <w:tcPr>
            <w:tcW w:w="21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France</w:t>
            </w: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r>
      <w:tr>
        <w:trPr>
          <w:trHeight w:val="219"/>
        </w:trPr>
        <w:tc>
          <w:tcPr>
            <w:tcW w:w="7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Securimed S.A.S.</w:t>
            </w:r>
          </w:p>
        </w:tc>
        <w:tc>
          <w:tcPr>
            <w:tcW w:w="21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rPr>
              <w:t>France</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r>
      <w:tr>
        <w:trPr>
          <w:trHeight w:val="213"/>
        </w:trPr>
        <w:tc>
          <w:tcPr>
            <w:tcW w:w="7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Brady GmbH</w:t>
            </w:r>
          </w:p>
        </w:tc>
        <w:tc>
          <w:tcPr>
            <w:tcW w:w="21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Germany</w:t>
            </w: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r>
      <w:tr>
        <w:trPr>
          <w:trHeight w:val="219"/>
        </w:trPr>
        <w:tc>
          <w:tcPr>
            <w:tcW w:w="71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Doing Business As:</w:t>
            </w:r>
          </w:p>
        </w:tc>
        <w:tc>
          <w:tcPr>
            <w:tcW w:w="1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r>
      <w:tr>
        <w:trPr>
          <w:trHeight w:val="213"/>
        </w:trPr>
        <w:tc>
          <w:tcPr>
            <w:tcW w:w="71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Brady</w:t>
            </w: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19"/>
        </w:trPr>
        <w:tc>
          <w:tcPr>
            <w:tcW w:w="714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Code</w:t>
            </w:r>
          </w:p>
        </w:tc>
        <w:tc>
          <w:tcPr>
            <w:tcW w:w="1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r>
      <w:tr>
        <w:trPr>
          <w:trHeight w:val="213"/>
        </w:trPr>
        <w:tc>
          <w:tcPr>
            <w:tcW w:w="71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Nordic ID</w:t>
            </w: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19"/>
        </w:trPr>
        <w:tc>
          <w:tcPr>
            <w:tcW w:w="714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PDC</w:t>
            </w:r>
          </w:p>
        </w:tc>
        <w:tc>
          <w:tcPr>
            <w:tcW w:w="1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r>
      <w:tr>
        <w:trPr>
          <w:trHeight w:val="213"/>
        </w:trPr>
        <w:tc>
          <w:tcPr>
            <w:tcW w:w="71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Seton</w:t>
            </w: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19"/>
        </w:trPr>
        <w:tc>
          <w:tcPr>
            <w:tcW w:w="714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Transposafe</w:t>
            </w:r>
          </w:p>
        </w:tc>
        <w:tc>
          <w:tcPr>
            <w:tcW w:w="1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r>
      <w:tr>
        <w:trPr>
          <w:trHeight w:val="213"/>
        </w:trPr>
        <w:tc>
          <w:tcPr>
            <w:tcW w:w="7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Gravotech GmbH</w:t>
            </w:r>
          </w:p>
        </w:tc>
        <w:tc>
          <w:tcPr>
            <w:tcW w:w="21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Germany</w:t>
            </w: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r>
      <w:tr>
        <w:trPr>
          <w:trHeight w:val="219"/>
        </w:trPr>
        <w:tc>
          <w:tcPr>
            <w:tcW w:w="7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Bakee Metal Manufactory Company Limited</w:t>
            </w:r>
          </w:p>
        </w:tc>
        <w:tc>
          <w:tcPr>
            <w:tcW w:w="21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rPr>
              <w:t>Hong Kong</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r>
      <w:tr>
        <w:trPr>
          <w:trHeight w:val="213"/>
        </w:trPr>
        <w:tc>
          <w:tcPr>
            <w:tcW w:w="7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Brady Corporation Hong Kong Limited</w:t>
            </w:r>
          </w:p>
        </w:tc>
        <w:tc>
          <w:tcPr>
            <w:tcW w:w="21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Hong Kong</w:t>
            </w: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r>
      <w:tr>
        <w:trPr>
          <w:trHeight w:val="219"/>
        </w:trPr>
        <w:tc>
          <w:tcPr>
            <w:tcW w:w="7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Brady Company India Private Limited</w:t>
            </w:r>
          </w:p>
        </w:tc>
        <w:tc>
          <w:tcPr>
            <w:tcW w:w="21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w w:val="97"/>
              </w:rPr>
              <w:t>India</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r>
      <w:tr>
        <w:trPr>
          <w:trHeight w:val="213"/>
        </w:trPr>
        <w:tc>
          <w:tcPr>
            <w:tcW w:w="7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Gravotech Engineering Private Limited</w:t>
            </w:r>
          </w:p>
        </w:tc>
        <w:tc>
          <w:tcPr>
            <w:tcW w:w="21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7"/>
              </w:rPr>
              <w:t>India</w:t>
            </w: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r>
      <w:tr>
        <w:trPr>
          <w:trHeight w:val="219"/>
        </w:trPr>
        <w:tc>
          <w:tcPr>
            <w:tcW w:w="7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Brady Italia, S.r.l.</w:t>
            </w:r>
          </w:p>
        </w:tc>
        <w:tc>
          <w:tcPr>
            <w:tcW w:w="21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Italy</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r>
      <w:tr>
        <w:trPr>
          <w:trHeight w:val="213"/>
        </w:trPr>
        <w:tc>
          <w:tcPr>
            <w:tcW w:w="7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Gravotech Italia S.R.L.</w:t>
            </w:r>
          </w:p>
        </w:tc>
        <w:tc>
          <w:tcPr>
            <w:tcW w:w="21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Italy</w:t>
            </w: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r>
      <w:tr>
        <w:trPr>
          <w:trHeight w:val="219"/>
        </w:trPr>
        <w:tc>
          <w:tcPr>
            <w:tcW w:w="7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Gravotech K.K.</w:t>
            </w:r>
          </w:p>
        </w:tc>
        <w:tc>
          <w:tcPr>
            <w:tcW w:w="21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w w:val="98"/>
              </w:rPr>
              <w:t>Japan</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r>
      <w:tr>
        <w:trPr>
          <w:trHeight w:val="213"/>
        </w:trPr>
        <w:tc>
          <w:tcPr>
            <w:tcW w:w="7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Nippon Brady K.K.</w:t>
            </w:r>
          </w:p>
        </w:tc>
        <w:tc>
          <w:tcPr>
            <w:tcW w:w="21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8"/>
              </w:rPr>
              <w:t>Japan</w:t>
            </w: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r>
      <w:tr>
        <w:trPr>
          <w:trHeight w:val="219"/>
        </w:trPr>
        <w:tc>
          <w:tcPr>
            <w:tcW w:w="7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Brady IDS Korea LLC</w:t>
            </w:r>
          </w:p>
        </w:tc>
        <w:tc>
          <w:tcPr>
            <w:tcW w:w="21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rPr>
              <w:t>Korea</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r>
      <w:tr>
        <w:trPr>
          <w:trHeight w:val="213"/>
        </w:trPr>
        <w:tc>
          <w:tcPr>
            <w:tcW w:w="7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Brady Finance Luxembourg S.à.r.l.</w:t>
            </w:r>
          </w:p>
        </w:tc>
        <w:tc>
          <w:tcPr>
            <w:tcW w:w="21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Luxembourg</w:t>
            </w: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r>
      <w:tr>
        <w:trPr>
          <w:trHeight w:val="219"/>
        </w:trPr>
        <w:tc>
          <w:tcPr>
            <w:tcW w:w="7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Brady Luxembourg S.à.r.l.</w:t>
            </w:r>
          </w:p>
        </w:tc>
        <w:tc>
          <w:tcPr>
            <w:tcW w:w="21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rPr>
              <w:t>Luxembourg</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r>
      <w:tr>
        <w:trPr>
          <w:trHeight w:val="213"/>
        </w:trPr>
        <w:tc>
          <w:tcPr>
            <w:tcW w:w="7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Brady S.à.r.l.</w:t>
            </w:r>
          </w:p>
        </w:tc>
        <w:tc>
          <w:tcPr>
            <w:tcW w:w="21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Luxembourg</w:t>
            </w: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r>
      <w:tr>
        <w:trPr>
          <w:trHeight w:val="219"/>
        </w:trPr>
        <w:tc>
          <w:tcPr>
            <w:tcW w:w="7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Brady Technology SDN. BHD.</w:t>
            </w:r>
          </w:p>
        </w:tc>
        <w:tc>
          <w:tcPr>
            <w:tcW w:w="21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rPr>
              <w:t>Malaysia</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r>
      <w:tr>
        <w:trPr>
          <w:trHeight w:val="213"/>
        </w:trPr>
        <w:tc>
          <w:tcPr>
            <w:tcW w:w="7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Brady Mexico, S. de R.L. de C.V.</w:t>
            </w:r>
          </w:p>
        </w:tc>
        <w:tc>
          <w:tcPr>
            <w:tcW w:w="21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8"/>
              </w:rPr>
              <w:t>Mexico</w:t>
            </w: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r>
      <w:tr>
        <w:trPr>
          <w:trHeight w:val="219"/>
        </w:trPr>
        <w:tc>
          <w:tcPr>
            <w:tcW w:w="7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Gravotech S. de R.L. de C.V.</w:t>
            </w:r>
          </w:p>
        </w:tc>
        <w:tc>
          <w:tcPr>
            <w:tcW w:w="21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w w:val="98"/>
              </w:rPr>
              <w:t>Mexico</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r>
    </w:tbl>
    <w:p>
      <w:pPr>
        <w:sectPr>
          <w:pgSz w:w="11900" w:h="16838" w:orient="portrait"/>
          <w:cols w:equalWidth="0" w:num="1">
            <w:col w:w="11200"/>
          </w:cols>
          <w:pgMar w:left="320" w:top="932" w:right="379" w:bottom="1440" w:gutter="0" w:footer="0" w:header="0"/>
        </w:sectPr>
      </w:pPr>
    </w:p>
    <w:bookmarkStart w:id="105" w:name="page106"/>
    <w:bookmarkEnd w:id="10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i w:val="1"/>
                <w:iCs w:val="1"/>
                <w:color w:val="auto"/>
              </w:rPr>
              <w:t>State (Country)</w:t>
            </w: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Percentage of Voting</w:t>
            </w:r>
          </w:p>
        </w:tc>
      </w:tr>
      <w:tr>
        <w:trPr>
          <w:trHeight w:val="219"/>
        </w:trPr>
        <w:tc>
          <w:tcPr>
            <w:tcW w:w="71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Name of Company</w:t>
            </w:r>
          </w:p>
        </w:tc>
        <w:tc>
          <w:tcPr>
            <w:tcW w:w="21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i w:val="1"/>
                <w:iCs w:val="1"/>
                <w:color w:val="auto"/>
              </w:rPr>
              <w:t>of Incorporation</w:t>
            </w: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Securities Owned</w:t>
            </w:r>
          </w:p>
        </w:tc>
      </w:tr>
      <w:tr>
        <w:trPr>
          <w:trHeight w:val="210"/>
        </w:trPr>
        <w:tc>
          <w:tcPr>
            <w:tcW w:w="70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W.H. Brady S. de R.L. de C.V.</w:t>
            </w:r>
          </w:p>
        </w:tc>
        <w:tc>
          <w:tcPr>
            <w:tcW w:w="140" w:type="dxa"/>
            <w:vAlign w:val="bottom"/>
          </w:tcPr>
          <w:p>
            <w:pPr>
              <w:spacing w:after="0"/>
              <w:rPr>
                <w:sz w:val="18"/>
                <w:szCs w:val="18"/>
                <w:color w:val="auto"/>
              </w:rPr>
            </w:pPr>
          </w:p>
        </w:tc>
        <w:tc>
          <w:tcPr>
            <w:tcW w:w="1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Mexico</w:t>
            </w:r>
          </w:p>
        </w:tc>
        <w:tc>
          <w:tcPr>
            <w:tcW w:w="140" w:type="dxa"/>
            <w:vAlign w:val="bottom"/>
          </w:tcPr>
          <w:p>
            <w:pPr>
              <w:spacing w:after="0"/>
              <w:rPr>
                <w:sz w:val="18"/>
                <w:szCs w:val="18"/>
                <w:color w:val="auto"/>
              </w:rPr>
            </w:pPr>
          </w:p>
        </w:tc>
        <w:tc>
          <w:tcPr>
            <w:tcW w:w="1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r>
      <w:tr>
        <w:trPr>
          <w:trHeight w:val="219"/>
        </w:trPr>
        <w:tc>
          <w:tcPr>
            <w:tcW w:w="7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Brady B.V.</w:t>
            </w:r>
          </w:p>
        </w:tc>
        <w:tc>
          <w:tcPr>
            <w:tcW w:w="21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Netherlands</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r>
      <w:tr>
        <w:trPr>
          <w:trHeight w:val="213"/>
        </w:trPr>
        <w:tc>
          <w:tcPr>
            <w:tcW w:w="714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Doing Business As:</w:t>
            </w: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19"/>
        </w:trPr>
        <w:tc>
          <w:tcPr>
            <w:tcW w:w="714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PDC</w:t>
            </w:r>
          </w:p>
        </w:tc>
        <w:tc>
          <w:tcPr>
            <w:tcW w:w="1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r>
      <w:tr>
        <w:trPr>
          <w:trHeight w:val="213"/>
        </w:trPr>
        <w:tc>
          <w:tcPr>
            <w:tcW w:w="7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Brady Finance B.V.</w:t>
            </w:r>
          </w:p>
        </w:tc>
        <w:tc>
          <w:tcPr>
            <w:tcW w:w="21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Netherlands</w:t>
            </w: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r>
      <w:tr>
        <w:trPr>
          <w:trHeight w:val="219"/>
        </w:trPr>
        <w:tc>
          <w:tcPr>
            <w:tcW w:w="7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Code Corporation B.V.</w:t>
            </w:r>
          </w:p>
        </w:tc>
        <w:tc>
          <w:tcPr>
            <w:tcW w:w="21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Netherlands</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r>
      <w:tr>
        <w:trPr>
          <w:trHeight w:val="213"/>
        </w:trPr>
        <w:tc>
          <w:tcPr>
            <w:tcW w:w="7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Brady AS</w:t>
            </w:r>
          </w:p>
        </w:tc>
        <w:tc>
          <w:tcPr>
            <w:tcW w:w="21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Norway</w:t>
            </w: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r>
      <w:tr>
        <w:trPr>
          <w:trHeight w:val="219"/>
        </w:trPr>
        <w:tc>
          <w:tcPr>
            <w:tcW w:w="7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Pervaco AS</w:t>
            </w:r>
          </w:p>
        </w:tc>
        <w:tc>
          <w:tcPr>
            <w:tcW w:w="21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rPr>
              <w:t>Norway</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r>
      <w:tr>
        <w:trPr>
          <w:trHeight w:val="213"/>
        </w:trPr>
        <w:tc>
          <w:tcPr>
            <w:tcW w:w="7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Brady Philippines Services Inc.</w:t>
            </w:r>
          </w:p>
        </w:tc>
        <w:tc>
          <w:tcPr>
            <w:tcW w:w="21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9"/>
              </w:rPr>
              <w:t>Philippines</w:t>
            </w: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r>
      <w:tr>
        <w:trPr>
          <w:trHeight w:val="219"/>
        </w:trPr>
        <w:tc>
          <w:tcPr>
            <w:tcW w:w="7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Brady Polska Sp. Z.o.o.</w:t>
            </w:r>
          </w:p>
        </w:tc>
        <w:tc>
          <w:tcPr>
            <w:tcW w:w="21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w w:val="98"/>
              </w:rPr>
              <w:t>Poland</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r>
      <w:tr>
        <w:trPr>
          <w:trHeight w:val="213"/>
        </w:trPr>
        <w:tc>
          <w:tcPr>
            <w:tcW w:w="7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Gravotech Sp. Z.o.o.</w:t>
            </w:r>
          </w:p>
        </w:tc>
        <w:tc>
          <w:tcPr>
            <w:tcW w:w="21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8"/>
              </w:rPr>
              <w:t>Poland</w:t>
            </w: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r>
      <w:tr>
        <w:trPr>
          <w:trHeight w:val="219"/>
        </w:trPr>
        <w:tc>
          <w:tcPr>
            <w:tcW w:w="7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Brady Arabia Manufacturing Company</w:t>
            </w:r>
          </w:p>
        </w:tc>
        <w:tc>
          <w:tcPr>
            <w:tcW w:w="21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w w:val="99"/>
              </w:rPr>
              <w:t>Saudi Arabia</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r>
      <w:tr>
        <w:trPr>
          <w:trHeight w:val="213"/>
        </w:trPr>
        <w:tc>
          <w:tcPr>
            <w:tcW w:w="7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Brady Asia Holding Pte. Ltd.</w:t>
            </w:r>
          </w:p>
        </w:tc>
        <w:tc>
          <w:tcPr>
            <w:tcW w:w="21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Singapore</w:t>
            </w: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r>
      <w:tr>
        <w:trPr>
          <w:trHeight w:val="219"/>
        </w:trPr>
        <w:tc>
          <w:tcPr>
            <w:tcW w:w="7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Brady Asia Pacific Pte. Ltd.</w:t>
            </w:r>
          </w:p>
        </w:tc>
        <w:tc>
          <w:tcPr>
            <w:tcW w:w="21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Singapore</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r>
      <w:tr>
        <w:trPr>
          <w:trHeight w:val="213"/>
        </w:trPr>
        <w:tc>
          <w:tcPr>
            <w:tcW w:w="7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Brady Corporation Asia Pte. Ltd.</w:t>
            </w:r>
          </w:p>
        </w:tc>
        <w:tc>
          <w:tcPr>
            <w:tcW w:w="21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Singapore</w:t>
            </w: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r>
      <w:tr>
        <w:trPr>
          <w:trHeight w:val="219"/>
        </w:trPr>
        <w:tc>
          <w:tcPr>
            <w:tcW w:w="7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Brady Singapore Pte. Ltd.</w:t>
            </w:r>
          </w:p>
        </w:tc>
        <w:tc>
          <w:tcPr>
            <w:tcW w:w="21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Singapore</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r>
      <w:tr>
        <w:trPr>
          <w:trHeight w:val="213"/>
        </w:trPr>
        <w:tc>
          <w:tcPr>
            <w:tcW w:w="7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Gravotech Singapore Pte. Ltd.</w:t>
            </w:r>
          </w:p>
        </w:tc>
        <w:tc>
          <w:tcPr>
            <w:tcW w:w="21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Singapore</w:t>
            </w: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r>
      <w:tr>
        <w:trPr>
          <w:trHeight w:val="219"/>
        </w:trPr>
        <w:tc>
          <w:tcPr>
            <w:tcW w:w="7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Brady s.r.o.</w:t>
            </w:r>
          </w:p>
        </w:tc>
        <w:tc>
          <w:tcPr>
            <w:tcW w:w="21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w w:val="99"/>
              </w:rPr>
              <w:t>Slovakia</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r>
      <w:tr>
        <w:trPr>
          <w:trHeight w:val="213"/>
        </w:trPr>
        <w:tc>
          <w:tcPr>
            <w:tcW w:w="7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Grafo Wiremarkers Pty. Ltd.</w:t>
            </w:r>
          </w:p>
        </w:tc>
        <w:tc>
          <w:tcPr>
            <w:tcW w:w="21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South Africa</w:t>
            </w: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r>
      <w:tr>
        <w:trPr>
          <w:trHeight w:val="219"/>
        </w:trPr>
        <w:tc>
          <w:tcPr>
            <w:tcW w:w="7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Wiremarkers Africa Pty. Ltd.</w:t>
            </w:r>
          </w:p>
        </w:tc>
        <w:tc>
          <w:tcPr>
            <w:tcW w:w="21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rPr>
              <w:t>South Africa</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r>
      <w:tr>
        <w:trPr>
          <w:trHeight w:val="213"/>
        </w:trPr>
        <w:tc>
          <w:tcPr>
            <w:tcW w:w="7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Brady Identificación S.L.U.</w:t>
            </w:r>
          </w:p>
        </w:tc>
        <w:tc>
          <w:tcPr>
            <w:tcW w:w="21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8"/>
              </w:rPr>
              <w:t>Spain</w:t>
            </w: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r>
      <w:tr>
        <w:trPr>
          <w:trHeight w:val="219"/>
        </w:trPr>
        <w:tc>
          <w:tcPr>
            <w:tcW w:w="71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Doing Business As:</w:t>
            </w:r>
          </w:p>
        </w:tc>
        <w:tc>
          <w:tcPr>
            <w:tcW w:w="1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r>
      <w:tr>
        <w:trPr>
          <w:trHeight w:val="213"/>
        </w:trPr>
        <w:tc>
          <w:tcPr>
            <w:tcW w:w="71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PDC</w:t>
            </w: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19"/>
        </w:trPr>
        <w:tc>
          <w:tcPr>
            <w:tcW w:w="7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Brady AB</w:t>
            </w:r>
          </w:p>
        </w:tc>
        <w:tc>
          <w:tcPr>
            <w:tcW w:w="21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rPr>
              <w:t>Sweden</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r>
      <w:tr>
        <w:trPr>
          <w:trHeight w:val="213"/>
        </w:trPr>
        <w:tc>
          <w:tcPr>
            <w:tcW w:w="7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Brady Sweden Holding AB</w:t>
            </w:r>
          </w:p>
        </w:tc>
        <w:tc>
          <w:tcPr>
            <w:tcW w:w="21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Sweden</w:t>
            </w: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r>
      <w:tr>
        <w:trPr>
          <w:trHeight w:val="219"/>
        </w:trPr>
        <w:tc>
          <w:tcPr>
            <w:tcW w:w="7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Gravograph AG</w:t>
            </w:r>
          </w:p>
        </w:tc>
        <w:tc>
          <w:tcPr>
            <w:tcW w:w="21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w w:val="99"/>
              </w:rPr>
              <w:t>Switzerland</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r>
      <w:tr>
        <w:trPr>
          <w:trHeight w:val="213"/>
        </w:trPr>
        <w:tc>
          <w:tcPr>
            <w:tcW w:w="7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Brady (Thailand) Co., Ltd.</w:t>
            </w:r>
          </w:p>
        </w:tc>
        <w:tc>
          <w:tcPr>
            <w:tcW w:w="21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8"/>
              </w:rPr>
              <w:t>Thailand</w:t>
            </w: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r>
      <w:tr>
        <w:trPr>
          <w:trHeight w:val="219"/>
        </w:trPr>
        <w:tc>
          <w:tcPr>
            <w:tcW w:w="7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Brady Etiket ve Isaretleme Ticaret Ltd. Sirketi</w:t>
            </w:r>
          </w:p>
        </w:tc>
        <w:tc>
          <w:tcPr>
            <w:tcW w:w="21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Turkey</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r>
      <w:tr>
        <w:trPr>
          <w:trHeight w:val="213"/>
        </w:trPr>
        <w:tc>
          <w:tcPr>
            <w:tcW w:w="7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Brady Middle East FZE</w:t>
            </w:r>
          </w:p>
        </w:tc>
        <w:tc>
          <w:tcPr>
            <w:tcW w:w="21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United Arab Emirates</w:t>
            </w: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r>
      <w:tr>
        <w:trPr>
          <w:trHeight w:val="219"/>
        </w:trPr>
        <w:tc>
          <w:tcPr>
            <w:tcW w:w="7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Gravotech DMCC</w:t>
            </w:r>
          </w:p>
        </w:tc>
        <w:tc>
          <w:tcPr>
            <w:tcW w:w="21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United Arab Emirates</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r>
      <w:tr>
        <w:trPr>
          <w:trHeight w:val="213"/>
        </w:trPr>
        <w:tc>
          <w:tcPr>
            <w:tcW w:w="7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B.I. (UK) Limited</w:t>
            </w:r>
          </w:p>
        </w:tc>
        <w:tc>
          <w:tcPr>
            <w:tcW w:w="21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9"/>
              </w:rPr>
              <w:t>United Kingdom</w:t>
            </w: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r>
      <w:tr>
        <w:trPr>
          <w:trHeight w:val="219"/>
        </w:trPr>
        <w:tc>
          <w:tcPr>
            <w:tcW w:w="7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Brady Corporation Limited</w:t>
            </w:r>
          </w:p>
        </w:tc>
        <w:tc>
          <w:tcPr>
            <w:tcW w:w="21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w w:val="99"/>
              </w:rPr>
              <w:t>United Kingdom</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r>
      <w:tr>
        <w:trPr>
          <w:trHeight w:val="213"/>
        </w:trPr>
        <w:tc>
          <w:tcPr>
            <w:tcW w:w="714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Doing Business As:</w:t>
            </w: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19"/>
        </w:trPr>
        <w:tc>
          <w:tcPr>
            <w:tcW w:w="714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BIG</w:t>
            </w:r>
          </w:p>
        </w:tc>
        <w:tc>
          <w:tcPr>
            <w:tcW w:w="1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r>
      <w:tr>
        <w:trPr>
          <w:trHeight w:val="213"/>
        </w:trPr>
        <w:tc>
          <w:tcPr>
            <w:tcW w:w="71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PDC</w:t>
            </w: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19"/>
        </w:trPr>
        <w:tc>
          <w:tcPr>
            <w:tcW w:w="714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Safetyshop</w:t>
            </w:r>
          </w:p>
        </w:tc>
        <w:tc>
          <w:tcPr>
            <w:tcW w:w="1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r>
      <w:tr>
        <w:trPr>
          <w:trHeight w:val="213"/>
        </w:trPr>
        <w:tc>
          <w:tcPr>
            <w:tcW w:w="71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Scafftag</w:t>
            </w: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19"/>
        </w:trPr>
        <w:tc>
          <w:tcPr>
            <w:tcW w:w="714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Seton</w:t>
            </w:r>
          </w:p>
        </w:tc>
        <w:tc>
          <w:tcPr>
            <w:tcW w:w="1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r>
      <w:tr>
        <w:trPr>
          <w:trHeight w:val="213"/>
        </w:trPr>
        <w:tc>
          <w:tcPr>
            <w:tcW w:w="71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Signs and Labels</w:t>
            </w: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19"/>
        </w:trPr>
        <w:tc>
          <w:tcPr>
            <w:tcW w:w="7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Brady European Holdings Limited</w:t>
            </w:r>
          </w:p>
        </w:tc>
        <w:tc>
          <w:tcPr>
            <w:tcW w:w="21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w w:val="99"/>
              </w:rPr>
              <w:t>United Kingdom</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r>
      <w:tr>
        <w:trPr>
          <w:trHeight w:val="213"/>
        </w:trPr>
        <w:tc>
          <w:tcPr>
            <w:tcW w:w="7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Gravotech Limited</w:t>
            </w:r>
          </w:p>
        </w:tc>
        <w:tc>
          <w:tcPr>
            <w:tcW w:w="21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9"/>
              </w:rPr>
              <w:t>United Kingdom</w:t>
            </w: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r>
      <w:tr>
        <w:trPr>
          <w:trHeight w:val="219"/>
        </w:trPr>
        <w:tc>
          <w:tcPr>
            <w:tcW w:w="7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Magicard Holdings Limited</w:t>
            </w:r>
          </w:p>
        </w:tc>
        <w:tc>
          <w:tcPr>
            <w:tcW w:w="21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w w:val="99"/>
              </w:rPr>
              <w:t>United Kingdom</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r>
      <w:tr>
        <w:trPr>
          <w:trHeight w:val="213"/>
        </w:trPr>
        <w:tc>
          <w:tcPr>
            <w:tcW w:w="7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Magicard Ltd.</w:t>
            </w:r>
          </w:p>
        </w:tc>
        <w:tc>
          <w:tcPr>
            <w:tcW w:w="21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9"/>
              </w:rPr>
              <w:t>United Kingdom</w:t>
            </w: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r>
      <w:tr>
        <w:trPr>
          <w:trHeight w:val="219"/>
        </w:trPr>
        <w:tc>
          <w:tcPr>
            <w:tcW w:w="7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Brady Vietnam Company Limited</w:t>
            </w:r>
          </w:p>
        </w:tc>
        <w:tc>
          <w:tcPr>
            <w:tcW w:w="21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rPr>
              <w:t>Vietnam</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r>
    </w:tbl>
    <w:p>
      <w:pPr>
        <w:sectPr>
          <w:pgSz w:w="11900" w:h="16838" w:orient="portrait"/>
          <w:cols w:equalWidth="0" w:num="1">
            <w:col w:w="11200"/>
          </w:cols>
          <w:pgMar w:left="320" w:top="932" w:right="37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4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Nos. 333-38857, 333-92417, 333-137686, 333-177039, 333-212625 and 333-274342 on Form S-8 and Registration Statement No. 333-274341 on Form S-3 of our reports dated September 4, 2025, relating to the financial statements of Brady Corporation and the effectiveness of Brady Corporation’s internal control over financial reporting, appearing in this Annual Report on Form 10-K of Brady Corporation for the year ended July 31, 2025.</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Milwaukee, Wisconsin,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4, 2025</w:t>
      </w:r>
    </w:p>
    <w:p>
      <w:pPr>
        <w:sectPr>
          <w:pgSz w:w="11900" w:h="16838" w:orient="portrait"/>
          <w:cols w:equalWidth="0" w:num="1">
            <w:col w:w="11240"/>
          </w:cols>
          <w:pgMar w:left="320" w:top="887" w:right="33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13a-14(a)/15d-14(a) 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Russell R. Shaller, certify that:</w:t>
      </w:r>
    </w:p>
    <w:p>
      <w:pPr>
        <w:spacing w:after="0" w:line="104" w:lineRule="exact"/>
        <w:rPr>
          <w:sz w:val="20"/>
          <w:szCs w:val="20"/>
          <w:color w:val="auto"/>
        </w:rPr>
      </w:pPr>
    </w:p>
    <w:p>
      <w:pPr>
        <w:ind w:left="700" w:hanging="247"/>
        <w:spacing w:after="0"/>
        <w:tabs>
          <w:tab w:leader="none" w:pos="7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Brady Corporation;</w:t>
      </w:r>
    </w:p>
    <w:p>
      <w:pPr>
        <w:spacing w:after="0" w:line="171" w:lineRule="exact"/>
        <w:rPr>
          <w:rFonts w:ascii="Times New Roman" w:cs="Times New Roman" w:eastAsia="Times New Roman" w:hAnsi="Times New Roman"/>
          <w:sz w:val="18"/>
          <w:szCs w:val="18"/>
          <w:color w:val="auto"/>
        </w:rPr>
      </w:pPr>
    </w:p>
    <w:p>
      <w:pPr>
        <w:ind w:right="20" w:firstLine="453"/>
        <w:spacing w:after="0" w:line="282" w:lineRule="auto"/>
        <w:tabs>
          <w:tab w:leader="none" w:pos="702"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firstLine="453"/>
        <w:spacing w:after="0" w:line="282" w:lineRule="auto"/>
        <w:tabs>
          <w:tab w:leader="none" w:pos="702"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firstLine="453"/>
        <w:spacing w:after="0" w:line="266" w:lineRule="auto"/>
        <w:tabs>
          <w:tab w:leader="none" w:pos="713"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1" w:lineRule="exact"/>
        <w:rPr>
          <w:sz w:val="20"/>
          <w:szCs w:val="20"/>
          <w:color w:val="auto"/>
        </w:rPr>
      </w:pPr>
    </w:p>
    <w:p>
      <w:pPr>
        <w:jc w:val="both"/>
        <w:ind w:firstLine="453"/>
        <w:spacing w:after="0" w:line="266" w:lineRule="auto"/>
        <w:tabs>
          <w:tab w:leader="none" w:pos="65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firstLine="453"/>
        <w:spacing w:after="0" w:line="266" w:lineRule="auto"/>
        <w:tabs>
          <w:tab w:leader="none" w:pos="679"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provided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right="20" w:firstLine="453"/>
        <w:spacing w:after="0" w:line="282" w:lineRule="auto"/>
        <w:tabs>
          <w:tab w:leader="none" w:pos="677"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firstLine="453"/>
        <w:spacing w:after="0" w:line="266" w:lineRule="auto"/>
        <w:tabs>
          <w:tab w:leader="none" w:pos="658"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sz w:val="20"/>
          <w:szCs w:val="20"/>
          <w:color w:val="auto"/>
        </w:rPr>
      </w:pPr>
    </w:p>
    <w:p>
      <w:pPr>
        <w:ind w:firstLine="453"/>
        <w:spacing w:after="0" w:line="282" w:lineRule="auto"/>
        <w:tabs>
          <w:tab w:leader="none" w:pos="71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8" w:lineRule="exact"/>
        <w:rPr>
          <w:sz w:val="20"/>
          <w:szCs w:val="20"/>
          <w:color w:val="auto"/>
        </w:rPr>
      </w:pPr>
    </w:p>
    <w:p>
      <w:pPr>
        <w:ind w:right="20" w:firstLine="453"/>
        <w:spacing w:after="0" w:line="282" w:lineRule="auto"/>
        <w:tabs>
          <w:tab w:leader="none" w:pos="644"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firstLine="453"/>
        <w:spacing w:after="0" w:line="282" w:lineRule="auto"/>
        <w:tabs>
          <w:tab w:leader="none" w:pos="651"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September 4, 2025</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RUSSELL R. SHALLER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1517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Russell R. Shaller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240"/>
          </w:cols>
          <w:pgMar w:left="320" w:top="887" w:right="33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13a-14(a)/15d-14(a) 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Ann E. Thornton, certify that:</w:t>
      </w:r>
    </w:p>
    <w:p>
      <w:pPr>
        <w:spacing w:after="0" w:line="104" w:lineRule="exact"/>
        <w:rPr>
          <w:sz w:val="20"/>
          <w:szCs w:val="20"/>
          <w:color w:val="auto"/>
        </w:rPr>
      </w:pPr>
    </w:p>
    <w:p>
      <w:pPr>
        <w:ind w:left="700" w:hanging="247"/>
        <w:spacing w:after="0"/>
        <w:tabs>
          <w:tab w:leader="none" w:pos="7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Brady Corporation;</w:t>
      </w:r>
    </w:p>
    <w:p>
      <w:pPr>
        <w:spacing w:after="0" w:line="171" w:lineRule="exact"/>
        <w:rPr>
          <w:rFonts w:ascii="Times New Roman" w:cs="Times New Roman" w:eastAsia="Times New Roman" w:hAnsi="Times New Roman"/>
          <w:sz w:val="18"/>
          <w:szCs w:val="18"/>
          <w:color w:val="auto"/>
        </w:rPr>
      </w:pPr>
    </w:p>
    <w:p>
      <w:pPr>
        <w:ind w:right="20" w:firstLine="453"/>
        <w:spacing w:after="0" w:line="282" w:lineRule="auto"/>
        <w:tabs>
          <w:tab w:leader="none" w:pos="702"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firstLine="453"/>
        <w:spacing w:after="0" w:line="282" w:lineRule="auto"/>
        <w:tabs>
          <w:tab w:leader="none" w:pos="702"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firstLine="453"/>
        <w:spacing w:after="0" w:line="266" w:lineRule="auto"/>
        <w:tabs>
          <w:tab w:leader="none" w:pos="713"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1" w:lineRule="exact"/>
        <w:rPr>
          <w:sz w:val="20"/>
          <w:szCs w:val="20"/>
          <w:color w:val="auto"/>
        </w:rPr>
      </w:pPr>
    </w:p>
    <w:p>
      <w:pPr>
        <w:jc w:val="both"/>
        <w:ind w:firstLine="453"/>
        <w:spacing w:after="0" w:line="266" w:lineRule="auto"/>
        <w:tabs>
          <w:tab w:leader="none" w:pos="65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firstLine="453"/>
        <w:spacing w:after="0" w:line="266" w:lineRule="auto"/>
        <w:tabs>
          <w:tab w:leader="none" w:pos="679"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provided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right="20" w:firstLine="453"/>
        <w:spacing w:after="0" w:line="282" w:lineRule="auto"/>
        <w:tabs>
          <w:tab w:leader="none" w:pos="677"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firstLine="453"/>
        <w:spacing w:after="0" w:line="266" w:lineRule="auto"/>
        <w:tabs>
          <w:tab w:leader="none" w:pos="658"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sz w:val="20"/>
          <w:szCs w:val="20"/>
          <w:color w:val="auto"/>
        </w:rPr>
      </w:pPr>
    </w:p>
    <w:p>
      <w:pPr>
        <w:ind w:firstLine="453"/>
        <w:spacing w:after="0" w:line="282" w:lineRule="auto"/>
        <w:tabs>
          <w:tab w:leader="none" w:pos="71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8" w:lineRule="exact"/>
        <w:rPr>
          <w:sz w:val="20"/>
          <w:szCs w:val="20"/>
          <w:color w:val="auto"/>
        </w:rPr>
      </w:pPr>
    </w:p>
    <w:p>
      <w:pPr>
        <w:ind w:right="20" w:firstLine="453"/>
        <w:spacing w:after="0" w:line="282" w:lineRule="auto"/>
        <w:tabs>
          <w:tab w:leader="none" w:pos="644"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firstLine="453"/>
        <w:spacing w:after="0" w:line="282" w:lineRule="auto"/>
        <w:tabs>
          <w:tab w:leader="none" w:pos="651"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September 4, 2025</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ANN E. THORNTON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1517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4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Ann E. Thornton</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 Chief Accounting Officer and Treasurer</w:t>
      </w:r>
    </w:p>
    <w:p>
      <w:pPr>
        <w:sectPr>
          <w:pgSz w:w="11900" w:h="16838" w:orient="portrait"/>
          <w:cols w:equalWidth="0" w:num="1">
            <w:col w:w="11240"/>
          </w:cols>
          <w:pgMar w:left="320" w:top="887" w:right="33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1350 CERTIFICATION</w:t>
      </w:r>
    </w:p>
    <w:p>
      <w:pPr>
        <w:spacing w:after="0" w:line="175"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Pursuant to 18 U.S.C. Section 1350, as adopted pursuant to Section 906 of the Sarbanes-Oxley Act of 2002, the undersigned officer of Brady Corporation (the “Company”) certifies to his knowledge that:</w:t>
      </w:r>
    </w:p>
    <w:p>
      <w:pPr>
        <w:spacing w:after="0" w:line="40" w:lineRule="exact"/>
        <w:rPr>
          <w:sz w:val="20"/>
          <w:szCs w:val="20"/>
          <w:color w:val="auto"/>
        </w:rPr>
      </w:pPr>
    </w:p>
    <w:p>
      <w:pPr>
        <w:ind w:right="20" w:firstLine="453"/>
        <w:spacing w:after="0" w:line="282" w:lineRule="auto"/>
        <w:tabs>
          <w:tab w:leader="none" w:pos="716"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of the Company for the year ended July 31, 2025 fully complies with the requirements of Section 13(a) or 15(d) of the Securities Exchange Act of 1934; and</w:t>
      </w:r>
    </w:p>
    <w:p>
      <w:pPr>
        <w:spacing w:after="0" w:line="107" w:lineRule="exact"/>
        <w:rPr>
          <w:rFonts w:ascii="Times New Roman" w:cs="Times New Roman" w:eastAsia="Times New Roman" w:hAnsi="Times New Roman"/>
          <w:sz w:val="18"/>
          <w:szCs w:val="18"/>
          <w:color w:val="auto"/>
        </w:rPr>
      </w:pPr>
    </w:p>
    <w:p>
      <w:pPr>
        <w:ind w:firstLine="453"/>
        <w:spacing w:after="0" w:line="282" w:lineRule="auto"/>
        <w:tabs>
          <w:tab w:leader="none" w:pos="7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that Form 10-K fairly presents, in all material respects, the financial conditions and results of operations of the Company.</w:t>
      </w:r>
    </w:p>
    <w:p>
      <w:pPr>
        <w:spacing w:after="0" w:line="200" w:lineRule="exact"/>
        <w:rPr>
          <w:sz w:val="20"/>
          <w:szCs w:val="20"/>
          <w:color w:val="auto"/>
        </w:rPr>
      </w:pPr>
    </w:p>
    <w:p>
      <w:pPr>
        <w:spacing w:after="0" w:line="2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September 4, 2025</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RUSSELL R. SHALLER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1517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4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Russell R. Shaller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 This certification accompanies this report pursuant to Section 906 of the Sarbanes-Oxley Act of 2002 and shall not be deemed filed by the Company for purposes of Section 18 of the Securities Exchange Act of 1934, as amended.</w:t>
      </w:r>
    </w:p>
    <w:p>
      <w:pPr>
        <w:sectPr>
          <w:pgSz w:w="11900" w:h="16838" w:orient="portrait"/>
          <w:cols w:equalWidth="0" w:num="1">
            <w:col w:w="11240"/>
          </w:cols>
          <w:pgMar w:left="320" w:top="887" w:right="339"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1350 CERTIFICATION</w:t>
      </w:r>
    </w:p>
    <w:p>
      <w:pPr>
        <w:spacing w:after="0" w:line="175"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Pursuant to 18 U.S.C. Section 1350, as adopted pursuant to Section 906 of the Sarbanes-Oxley Act of 2002, the undersigned officer of Brady Corporation (the “Company”) certifies to her knowledge that:</w:t>
      </w:r>
    </w:p>
    <w:p>
      <w:pPr>
        <w:spacing w:after="0" w:line="40" w:lineRule="exact"/>
        <w:rPr>
          <w:sz w:val="20"/>
          <w:szCs w:val="20"/>
          <w:color w:val="auto"/>
        </w:rPr>
      </w:pPr>
    </w:p>
    <w:p>
      <w:pPr>
        <w:ind w:right="20" w:firstLine="453"/>
        <w:spacing w:after="0" w:line="282" w:lineRule="auto"/>
        <w:tabs>
          <w:tab w:leader="none" w:pos="716"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of the Company for the year ended July 31, 2025 fully complies with the requirements of Section 13(a) or 15(d) of the Securities Exchange Act of 1934; and</w:t>
      </w:r>
    </w:p>
    <w:p>
      <w:pPr>
        <w:spacing w:after="0" w:line="107" w:lineRule="exact"/>
        <w:rPr>
          <w:rFonts w:ascii="Times New Roman" w:cs="Times New Roman" w:eastAsia="Times New Roman" w:hAnsi="Times New Roman"/>
          <w:sz w:val="18"/>
          <w:szCs w:val="18"/>
          <w:color w:val="auto"/>
        </w:rPr>
      </w:pPr>
    </w:p>
    <w:p>
      <w:pPr>
        <w:ind w:firstLine="453"/>
        <w:spacing w:after="0" w:line="282" w:lineRule="auto"/>
        <w:tabs>
          <w:tab w:leader="none" w:pos="7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that Form 10-K fairly presents, in all material respects, the financial conditions and results of operations of the Company.</w:t>
      </w:r>
    </w:p>
    <w:p>
      <w:pPr>
        <w:spacing w:after="0" w:line="200" w:lineRule="exact"/>
        <w:rPr>
          <w:sz w:val="20"/>
          <w:szCs w:val="20"/>
          <w:color w:val="auto"/>
        </w:rPr>
      </w:pPr>
    </w:p>
    <w:p>
      <w:pPr>
        <w:spacing w:after="0" w:line="2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September 4, 2025</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ANN E. THORNTON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Ann E. Thornton</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 Chief Accounting Officer and Treasurer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 This certification accompanies this report pursuant to Section 906 of the Sarbanes-Oxley Act of 2002 and shall not be deemed filed by the Company for purposes of Section 18 of the Securities Exchange Act of 1934, as amended.</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53EA438"/>
    <w:multiLevelType w:val="hybridMultilevel"/>
    <w:lvl w:ilvl="0">
      <w:lvlJc w:val="left"/>
      <w:lvlText w:val="☑"/>
      <w:numFmt w:val="bullet"/>
      <w:start w:val="1"/>
    </w:lvl>
    <w:lvl w:ilvl="1">
      <w:lvlJc w:val="left"/>
      <w:lvlText w:val="☐"/>
      <w:numFmt w:val="bullet"/>
      <w:start w:val="1"/>
    </w:lvl>
  </w:abstractNum>
  <w:abstractNum w:abstractNumId="1">
    <w:nsid w:val="3855585C"/>
    <w:multiLevelType w:val="hybridMultilevel"/>
    <w:lvl w:ilvl="0">
      <w:lvlJc w:val="left"/>
      <w:lvlText w:val="•"/>
      <w:numFmt w:val="bullet"/>
      <w:start w:val="1"/>
    </w:lvl>
  </w:abstractNum>
  <w:abstractNum w:abstractNumId="2">
    <w:nsid w:val="70A64E2A"/>
    <w:multiLevelType w:val="hybridMultilevel"/>
    <w:lvl w:ilvl="0">
      <w:lvlJc w:val="left"/>
      <w:lvlText w:val="•"/>
      <w:numFmt w:val="bullet"/>
      <w:start w:val="1"/>
    </w:lvl>
  </w:abstractNum>
  <w:abstractNum w:abstractNumId="3">
    <w:nsid w:val="6A2342EC"/>
    <w:multiLevelType w:val="hybridMultilevel"/>
    <w:lvl w:ilvl="0">
      <w:lvlJc w:val="left"/>
      <w:lvlText w:val="•"/>
      <w:numFmt w:val="bullet"/>
      <w:start w:val="1"/>
    </w:lvl>
  </w:abstractNum>
  <w:abstractNum w:abstractNumId="4">
    <w:nsid w:val="2A487CB0"/>
    <w:multiLevelType w:val="hybridMultilevel"/>
    <w:lvl w:ilvl="0">
      <w:lvlJc w:val="left"/>
      <w:lvlText w:val="•"/>
      <w:numFmt w:val="bullet"/>
      <w:start w:val="1"/>
    </w:lvl>
  </w:abstractNum>
  <w:abstractNum w:abstractNumId="5">
    <w:nsid w:val="1D4ED43B"/>
    <w:multiLevelType w:val="hybridMultilevel"/>
    <w:lvl w:ilvl="0">
      <w:lvlJc w:val="left"/>
      <w:lvlText w:val="•"/>
      <w:numFmt w:val="bullet"/>
      <w:start w:val="1"/>
    </w:lvl>
  </w:abstractNum>
  <w:abstractNum w:abstractNumId="6">
    <w:nsid w:val="725A06FB"/>
    <w:multiLevelType w:val="hybridMultilevel"/>
    <w:lvl w:ilvl="0">
      <w:lvlJc w:val="left"/>
      <w:lvlText w:val="•"/>
      <w:numFmt w:val="bullet"/>
      <w:start w:val="1"/>
    </w:lvl>
  </w:abstractNum>
  <w:abstractNum w:abstractNumId="7">
    <w:nsid w:val="2CD89A32"/>
    <w:multiLevelType w:val="hybridMultilevel"/>
    <w:lvl w:ilvl="0">
      <w:lvlJc w:val="left"/>
      <w:lvlText w:val="•"/>
      <w:numFmt w:val="bullet"/>
      <w:start w:val="1"/>
    </w:lvl>
  </w:abstractNum>
  <w:abstractNum w:abstractNumId="8">
    <w:nsid w:val="57E4CCAF"/>
    <w:multiLevelType w:val="hybridMultilevel"/>
    <w:lvl w:ilvl="0">
      <w:lvlJc w:val="left"/>
      <w:lvlText w:val="•"/>
      <w:numFmt w:val="bullet"/>
      <w:start w:val="1"/>
    </w:lvl>
  </w:abstractNum>
  <w:abstractNum w:abstractNumId="9">
    <w:nsid w:val="7A6D8D3C"/>
    <w:multiLevelType w:val="hybridMultilevel"/>
    <w:lvl w:ilvl="0">
      <w:lvlJc w:val="left"/>
      <w:lvlText w:val="•"/>
      <w:numFmt w:val="bullet"/>
      <w:start w:val="1"/>
    </w:lvl>
  </w:abstractNum>
  <w:abstractNum w:abstractNumId="10">
    <w:nsid w:val="4B588F54"/>
    <w:multiLevelType w:val="hybridMultilevel"/>
    <w:lvl w:ilvl="0">
      <w:lvlJc w:val="left"/>
      <w:lvlText w:val="(%1)"/>
      <w:numFmt w:val="lowerRoman"/>
      <w:start w:val="3"/>
    </w:lvl>
  </w:abstractNum>
  <w:abstractNum w:abstractNumId="11">
    <w:nsid w:val="542289EC"/>
    <w:multiLevelType w:val="hybridMultilevel"/>
    <w:lvl w:ilvl="0">
      <w:lvlJc w:val="left"/>
      <w:lvlText w:val="(%1)"/>
      <w:numFmt w:val="lowerRoman"/>
      <w:start w:val="4"/>
    </w:lvl>
  </w:abstractNum>
  <w:abstractNum w:abstractNumId="12">
    <w:nsid w:val="6DE91B18"/>
    <w:multiLevelType w:val="hybridMultilevel"/>
    <w:lvl w:ilvl="0">
      <w:lvlJc w:val="left"/>
      <w:lvlText w:val="•"/>
      <w:numFmt w:val="bullet"/>
      <w:start w:val="1"/>
    </w:lvl>
  </w:abstractNum>
  <w:abstractNum w:abstractNumId="13">
    <w:nsid w:val="38437FDB"/>
    <w:multiLevelType w:val="hybridMultilevel"/>
    <w:lvl w:ilvl="0">
      <w:lvlJc w:val="left"/>
      <w:lvlText w:val="(%1)"/>
      <w:numFmt w:val="decimal"/>
      <w:start w:val="1"/>
    </w:lvl>
  </w:abstractNum>
  <w:abstractNum w:abstractNumId="14">
    <w:nsid w:val="7644A45C"/>
    <w:multiLevelType w:val="hybridMultilevel"/>
    <w:lvl w:ilvl="0">
      <w:lvlJc w:val="left"/>
      <w:lvlText w:val="(%1)"/>
      <w:numFmt w:val="decimal"/>
      <w:start w:val="1"/>
    </w:lvl>
  </w:abstractNum>
  <w:abstractNum w:abstractNumId="15">
    <w:nsid w:val="32FFF902"/>
    <w:multiLevelType w:val="hybridMultilevel"/>
    <w:lvl w:ilvl="0">
      <w:lvlJc w:val="left"/>
      <w:lvlText w:val="%1."/>
      <w:numFmt w:val="decimal"/>
      <w:start w:val="10"/>
    </w:lvl>
    <w:lvl w:ilvl="1">
      <w:lvlJc w:val="left"/>
      <w:lvlText w:val="**"/>
      <w:numFmt w:val="bullet"/>
      <w:start w:val="1"/>
    </w:lvl>
  </w:abstractNum>
  <w:abstractNum w:abstractNumId="16">
    <w:nsid w:val="684A481A"/>
    <w:multiLevelType w:val="hybridMultilevel"/>
    <w:lvl w:ilvl="0">
      <w:lvlJc w:val="left"/>
      <w:lvlText w:val="•"/>
      <w:numFmt w:val="bullet"/>
      <w:start w:val="1"/>
    </w:lvl>
  </w:abstractNum>
  <w:abstractNum w:abstractNumId="17">
    <w:nsid w:val="579478FE"/>
    <w:multiLevelType w:val="hybridMultilevel"/>
    <w:lvl w:ilvl="0">
      <w:lvlJc w:val="left"/>
      <w:lvlText w:val="(%1)"/>
      <w:numFmt w:val="decimal"/>
      <w:start w:val="1"/>
    </w:lvl>
  </w:abstractNum>
  <w:abstractNum w:abstractNumId="18">
    <w:nsid w:val="749ABB43"/>
    <w:multiLevelType w:val="hybridMultilevel"/>
    <w:lvl w:ilvl="0">
      <w:lvlJc w:val="left"/>
      <w:lvlText w:val="$"/>
      <w:numFmt w:val="bullet"/>
      <w:start w:val="1"/>
    </w:lvl>
  </w:abstractNum>
  <w:abstractNum w:abstractNumId="19">
    <w:nsid w:val="3DC240FB"/>
    <w:multiLevelType w:val="hybridMultilevel"/>
    <w:lvl w:ilvl="0">
      <w:lvlJc w:val="left"/>
      <w:lvlText w:val="$"/>
      <w:numFmt w:val="bullet"/>
      <w:start w:val="1"/>
    </w:lvl>
  </w:abstractNum>
  <w:abstractNum w:abstractNumId="20">
    <w:nsid w:val="1BA026FA"/>
    <w:multiLevelType w:val="hybridMultilevel"/>
    <w:lvl w:ilvl="0">
      <w:lvlJc w:val="left"/>
      <w:lvlText w:val="$"/>
      <w:numFmt w:val="bullet"/>
      <w:start w:val="1"/>
    </w:lvl>
  </w:abstractNum>
  <w:abstractNum w:abstractNumId="21">
    <w:nsid w:val="79A1DEAA"/>
    <w:multiLevelType w:val="hybridMultilevel"/>
    <w:lvl w:ilvl="0">
      <w:lvlJc w:val="left"/>
      <w:lvlText w:val="$"/>
      <w:numFmt w:val="bullet"/>
      <w:start w:val="1"/>
    </w:lvl>
  </w:abstractNum>
  <w:abstractNum w:abstractNumId="22">
    <w:nsid w:val="75C6C33A"/>
    <w:multiLevelType w:val="hybridMultilevel"/>
    <w:lvl w:ilvl="0">
      <w:lvlJc w:val="left"/>
      <w:lvlText w:val="•"/>
      <w:numFmt w:val="bullet"/>
      <w:start w:val="1"/>
    </w:lvl>
  </w:abstractNum>
  <w:abstractNum w:abstractNumId="23">
    <w:nsid w:val="12E685FB"/>
    <w:multiLevelType w:val="hybridMultilevel"/>
    <w:lvl w:ilvl="0">
      <w:lvlJc w:val="left"/>
      <w:lvlText w:val="•"/>
      <w:numFmt w:val="bullet"/>
      <w:start w:val="1"/>
    </w:lvl>
  </w:abstractNum>
  <w:abstractNum w:abstractNumId="24">
    <w:nsid w:val="70C6A529"/>
    <w:multiLevelType w:val="hybridMultilevel"/>
    <w:lvl w:ilvl="0">
      <w:lvlJc w:val="left"/>
      <w:lvlText w:val="•"/>
      <w:numFmt w:val="bullet"/>
      <w:start w:val="1"/>
    </w:lvl>
  </w:abstractNum>
  <w:abstractNum w:abstractNumId="25">
    <w:nsid w:val="520EEDD1"/>
    <w:multiLevelType w:val="hybridMultilevel"/>
    <w:lvl w:ilvl="0">
      <w:lvlJc w:val="left"/>
      <w:lvlText w:val="•"/>
      <w:numFmt w:val="bullet"/>
      <w:start w:val="1"/>
    </w:lvl>
  </w:abstractNum>
  <w:abstractNum w:abstractNumId="26">
    <w:nsid w:val="374A3FE6"/>
    <w:multiLevelType w:val="hybridMultilevel"/>
    <w:lvl w:ilvl="0">
      <w:lvlJc w:val="left"/>
      <w:lvlText w:val="&amp;"/>
      <w:numFmt w:val="bullet"/>
      <w:start w:val="1"/>
    </w:lvl>
  </w:abstractNum>
  <w:abstractNum w:abstractNumId="27">
    <w:nsid w:val="4F4EF005"/>
    <w:multiLevelType w:val="hybridMultilevel"/>
    <w:lvl w:ilvl="0">
      <w:lvlJc w:val="left"/>
      <w:lvlText w:val="•"/>
      <w:numFmt w:val="bullet"/>
      <w:start w:val="1"/>
    </w:lvl>
  </w:abstractNum>
  <w:abstractNum w:abstractNumId="28">
    <w:nsid w:val="23F9C13C"/>
    <w:multiLevelType w:val="hybridMultilevel"/>
    <w:lvl w:ilvl="0">
      <w:lvlJc w:val="left"/>
      <w:lvlText w:val="•"/>
      <w:numFmt w:val="bullet"/>
      <w:start w:val="1"/>
    </w:lvl>
  </w:abstractNum>
  <w:abstractNum w:abstractNumId="29">
    <w:nsid w:val="649BB77C"/>
    <w:multiLevelType w:val="hybridMultilevel"/>
    <w:lvl w:ilvl="0">
      <w:lvlJc w:val="left"/>
      <w:lvlText w:val="•"/>
      <w:numFmt w:val="bullet"/>
      <w:start w:val="1"/>
    </w:lvl>
  </w:abstractNum>
  <w:abstractNum w:abstractNumId="30">
    <w:nsid w:val="275AC794"/>
    <w:multiLevelType w:val="hybridMultilevel"/>
    <w:lvl w:ilvl="0">
      <w:lvlJc w:val="left"/>
      <w:lvlText w:val="•"/>
      <w:numFmt w:val="bullet"/>
      <w:start w:val="1"/>
    </w:lvl>
  </w:abstractNum>
  <w:abstractNum w:abstractNumId="31">
    <w:nsid w:val="39386575"/>
    <w:multiLevelType w:val="hybridMultilevel"/>
    <w:lvl w:ilvl="0">
      <w:lvlJc w:val="left"/>
      <w:lvlText w:val="•"/>
      <w:numFmt w:val="bullet"/>
      <w:start w:val="1"/>
    </w:lvl>
  </w:abstractNum>
  <w:abstractNum w:abstractNumId="32">
    <w:nsid w:val="1CF10FD8"/>
    <w:multiLevelType w:val="hybridMultilevel"/>
    <w:lvl w:ilvl="0">
      <w:lvlJc w:val="left"/>
      <w:lvlText w:val="(%1)"/>
      <w:numFmt w:val="decimal"/>
      <w:start w:val="1"/>
    </w:lvl>
  </w:abstractNum>
  <w:abstractNum w:abstractNumId="33">
    <w:nsid w:val="180115BE"/>
    <w:multiLevelType w:val="hybridMultilevel"/>
    <w:lvl w:ilvl="0">
      <w:lvlJc w:val="left"/>
      <w:lvlText w:val="•"/>
      <w:numFmt w:val="bullet"/>
      <w:start w:val="1"/>
    </w:lvl>
  </w:abstractNum>
  <w:abstractNum w:abstractNumId="34">
    <w:nsid w:val="235BA861"/>
    <w:multiLevelType w:val="hybridMultilevel"/>
    <w:lvl w:ilvl="0">
      <w:lvlJc w:val="left"/>
      <w:lvlText w:val="(%1)"/>
      <w:numFmt w:val="decimal"/>
      <w:start w:val="1"/>
    </w:lvl>
  </w:abstractNum>
  <w:abstractNum w:abstractNumId="35">
    <w:nsid w:val="47398C89"/>
    <w:multiLevelType w:val="hybridMultilevel"/>
    <w:lvl w:ilvl="0">
      <w:lvlJc w:val="left"/>
      <w:lvlText w:val="(%1)"/>
      <w:numFmt w:val="decimal"/>
      <w:start w:val="1"/>
    </w:lvl>
  </w:abstractNum>
  <w:abstractNum w:abstractNumId="36">
    <w:nsid w:val="354FE9F9"/>
    <w:multiLevelType w:val="hybridMultilevel"/>
    <w:lvl w:ilvl="0">
      <w:lvlJc w:val="left"/>
      <w:lvlText w:val="(%1)"/>
      <w:numFmt w:val="decimal"/>
      <w:start w:val="1"/>
    </w:lvl>
  </w:abstractNum>
  <w:abstractNum w:abstractNumId="37">
    <w:nsid w:val="15B5AF5C"/>
    <w:multiLevelType w:val="hybridMultilevel"/>
    <w:lvl w:ilvl="0">
      <w:lvlJc w:val="left"/>
      <w:lvlText w:val="(%1)"/>
      <w:numFmt w:val="decimal"/>
      <w:start w:val="1"/>
    </w:lvl>
  </w:abstractNum>
  <w:abstractNum w:abstractNumId="38">
    <w:nsid w:val="741226BB"/>
    <w:multiLevelType w:val="hybridMultilevel"/>
    <w:lvl w:ilvl="0">
      <w:lvlJc w:val="left"/>
      <w:lvlText w:val="•"/>
      <w:numFmt w:val="bullet"/>
      <w:start w:val="1"/>
    </w:lvl>
  </w:abstractNum>
  <w:abstractNum w:abstractNumId="39">
    <w:nsid w:val="D34B6A8"/>
    <w:multiLevelType w:val="hybridMultilevel"/>
    <w:lvl w:ilvl="0">
      <w:lvlJc w:val="left"/>
      <w:lvlText w:val="(%1)"/>
      <w:numFmt w:val="decimal"/>
      <w:start w:val="1"/>
    </w:lvl>
  </w:abstractNum>
  <w:abstractNum w:abstractNumId="40">
    <w:nsid w:val="10233C99"/>
    <w:multiLevelType w:val="hybridMultilevel"/>
    <w:lvl w:ilvl="0">
      <w:lvlJc w:val="left"/>
      <w:lvlText w:val="(%1)"/>
      <w:numFmt w:val="decimal"/>
      <w:start w:val="1"/>
    </w:lvl>
  </w:abstractNum>
  <w:abstractNum w:abstractNumId="41">
    <w:nsid w:val="3F6AB60F"/>
    <w:multiLevelType w:val="hybridMultilevel"/>
    <w:lvl w:ilvl="0">
      <w:lvlJc w:val="left"/>
      <w:lvlText w:val="(%1)"/>
      <w:numFmt w:val="decimal"/>
      <w:start w:val="1"/>
    </w:lvl>
  </w:abstractNum>
  <w:abstractNum w:abstractNumId="42">
    <w:nsid w:val="61574095"/>
    <w:multiLevelType w:val="hybridMultilevel"/>
    <w:lvl w:ilvl="0">
      <w:lvlJc w:val="left"/>
      <w:lvlText w:val="(%1)"/>
      <w:numFmt w:val="decimal"/>
      <w:start w:val="1"/>
    </w:lvl>
  </w:abstractNum>
  <w:abstractNum w:abstractNumId="43">
    <w:nsid w:val="7E0C57B1"/>
    <w:multiLevelType w:val="hybridMultilevel"/>
    <w:lvl w:ilvl="0">
      <w:lvlJc w:val="left"/>
      <w:lvlText w:val="(%1)"/>
      <w:numFmt w:val="decimal"/>
      <w:start w:val="1"/>
    </w:lvl>
  </w:abstractNum>
  <w:abstractNum w:abstractNumId="44">
    <w:nsid w:val="77AE35EB"/>
    <w:multiLevelType w:val="hybridMultilevel"/>
    <w:lvl w:ilvl="0">
      <w:lvlJc w:val="left"/>
      <w:lvlText w:val="(%1)"/>
      <w:numFmt w:val="decimal"/>
      <w:start w:val="1"/>
    </w:lvl>
  </w:abstractNum>
  <w:abstractNum w:abstractNumId="45">
    <w:nsid w:val="579BE4F1"/>
    <w:multiLevelType w:val="hybridMultilevel"/>
    <w:lvl w:ilvl="0">
      <w:lvlJc w:val="left"/>
      <w:lvlText w:val="(%1)"/>
      <w:numFmt w:val="decimal"/>
      <w:start w:val="1"/>
    </w:lvl>
  </w:abstractNum>
  <w:abstractNum w:abstractNumId="46">
    <w:nsid w:val="310C50B3"/>
    <w:multiLevelType w:val="hybridMultilevel"/>
    <w:lvl w:ilvl="0">
      <w:lvlJc w:val="left"/>
      <w:lvlText w:val="(%1)"/>
      <w:numFmt w:val="decimal"/>
      <w:start w:val="1"/>
    </w:lvl>
  </w:abstractNum>
  <w:abstractNum w:abstractNumId="47">
    <w:nsid w:val="5FF87E05"/>
    <w:multiLevelType w:val="hybridMultilevel"/>
    <w:lvl w:ilvl="0">
      <w:lvlJc w:val="left"/>
      <w:lvlText w:val="•"/>
      <w:numFmt w:val="bullet"/>
      <w:start w:val="1"/>
    </w:lvl>
  </w:abstractNum>
  <w:abstractNum w:abstractNumId="48">
    <w:nsid w:val="2F305DEF"/>
    <w:multiLevelType w:val="hybridMultilevel"/>
    <w:lvl w:ilvl="0">
      <w:lvlJc w:val="left"/>
      <w:lvlText w:val="•"/>
      <w:numFmt w:val="bullet"/>
      <w:start w:val="1"/>
    </w:lvl>
  </w:abstractNum>
  <w:abstractNum w:abstractNumId="49">
    <w:nsid w:val="25A70BF7"/>
    <w:multiLevelType w:val="hybridMultilevel"/>
    <w:lvl w:ilvl="0">
      <w:lvlJc w:val="left"/>
      <w:lvlText w:val="(%1)"/>
      <w:numFmt w:val="decimal"/>
      <w:start w:val="1"/>
    </w:lvl>
  </w:abstractNum>
  <w:abstractNum w:abstractNumId="50">
    <w:nsid w:val="1DBABF00"/>
    <w:multiLevelType w:val="hybridMultilevel"/>
    <w:lvl w:ilvl="0">
      <w:lvlJc w:val="left"/>
      <w:lvlText w:val="(%1)"/>
      <w:numFmt w:val="decimal"/>
      <w:start w:val="3"/>
    </w:lvl>
  </w:abstractNum>
  <w:abstractNum w:abstractNumId="51">
    <w:nsid w:val="4AD084E9"/>
    <w:multiLevelType w:val="hybridMultilevel"/>
    <w:lvl w:ilvl="0">
      <w:lvlJc w:val="left"/>
      <w:lvlText w:val="(%1)"/>
      <w:numFmt w:val="decimal"/>
      <w:start w:val="1"/>
    </w:lvl>
  </w:abstractNum>
  <w:abstractNum w:abstractNumId="52">
    <w:nsid w:val="1F48EAA1"/>
    <w:multiLevelType w:val="hybridMultilevel"/>
    <w:lvl w:ilvl="0">
      <w:lvlJc w:val="left"/>
      <w:lvlText w:val="(%1)"/>
      <w:numFmt w:val="decimal"/>
      <w:start w:val="2"/>
    </w:lvl>
  </w:abstractNum>
  <w:abstractNum w:abstractNumId="53">
    <w:nsid w:val="1381823A"/>
    <w:multiLevelType w:val="hybridMultilevel"/>
    <w:lvl w:ilvl="0">
      <w:lvlJc w:val="left"/>
      <w:lvlText w:val="(%1)"/>
      <w:numFmt w:val="decimal"/>
      <w:start w:val="1"/>
    </w:lvl>
  </w:abstractNum>
  <w:abstractNum w:abstractNumId="54">
    <w:nsid w:val="5DB70AE5"/>
    <w:multiLevelType w:val="hybridMultilevel"/>
    <w:lvl w:ilvl="0">
      <w:lvlJc w:val="left"/>
      <w:lvlText w:val="(%1)"/>
      <w:numFmt w:val="decimal"/>
      <w:start w:val="1"/>
    </w:lvl>
  </w:abstractNum>
  <w:abstractNum w:abstractNumId="55">
    <w:nsid w:val="100F8FCA"/>
    <w:multiLevelType w:val="hybridMultilevel"/>
    <w:lvl w:ilvl="0">
      <w:lvlJc w:val="left"/>
      <w:lvlText w:val="(%1)"/>
      <w:numFmt w:val="lowerLetter"/>
      <w:start w:val="1"/>
    </w:lvl>
  </w:abstractNum>
  <w:abstractNum w:abstractNumId="56">
    <w:nsid w:val="6590700B"/>
    <w:multiLevelType w:val="hybridMultilevel"/>
    <w:lvl w:ilvl="0">
      <w:lvlJc w:val="left"/>
      <w:lvlText w:val="(%1)"/>
      <w:numFmt w:val="decimal"/>
      <w:start w:val="1"/>
    </w:lvl>
  </w:abstractNum>
  <w:abstractNum w:abstractNumId="57">
    <w:nsid w:val="15014ACB"/>
    <w:multiLevelType w:val="hybridMultilevel"/>
    <w:lvl w:ilvl="0">
      <w:lvlJc w:val="left"/>
      <w:lvlText w:val="(%1)"/>
      <w:numFmt w:val="lowerLetter"/>
      <w:start w:val="2"/>
    </w:lvl>
  </w:abstractNum>
  <w:abstractNum w:abstractNumId="58">
    <w:nsid w:val="5F5E7FD0"/>
    <w:multiLevelType w:val="hybridMultilevel"/>
    <w:lvl w:ilvl="0">
      <w:lvlJc w:val="left"/>
      <w:lvlText w:val="%1"/>
      <w:numFmt w:val="lowerLetter"/>
      <w:start w:val="1"/>
    </w:lvl>
    <w:lvl w:ilvl="1">
      <w:lvlJc w:val="left"/>
      <w:lvlText w:val="*"/>
      <w:numFmt w:val="bullet"/>
      <w:start w:val="1"/>
    </w:lvl>
    <w:lvl w:ilvl="2">
      <w:lvlJc w:val="left"/>
      <w:lvlText w:val="(%3)"/>
      <w:numFmt w:val="decimal"/>
      <w:start w:val="1"/>
    </w:lvl>
  </w:abstractNum>
  <w:abstractNum w:abstractNumId="59">
    <w:nsid w:val="98A3148"/>
    <w:multiLevelType w:val="hybridMultilevel"/>
    <w:lvl w:ilvl="0">
      <w:lvlJc w:val="left"/>
      <w:lvlText w:val="(%1)"/>
      <w:numFmt w:val="lowerLetter"/>
      <w:start w:val="3"/>
    </w:lvl>
    <w:lvl w:ilvl="1">
      <w:lvlJc w:val="left"/>
      <w:lvlText w:val="*"/>
      <w:numFmt w:val="bullet"/>
      <w:start w:val="1"/>
    </w:lvl>
    <w:lvl w:ilvl="2">
      <w:lvlJc w:val="left"/>
      <w:lvlText w:val="%3"/>
      <w:numFmt w:val="decimal"/>
      <w:start w:val="1"/>
    </w:lvl>
  </w:abstractNum>
  <w:abstractNum w:abstractNumId="60">
    <w:nsid w:val="799D0247"/>
    <w:multiLevelType w:val="hybridMultilevel"/>
    <w:lvl w:ilvl="0">
      <w:lvlJc w:val="left"/>
      <w:lvlText w:val="(%1)"/>
      <w:numFmt w:val="lowerLetter"/>
      <w:start w:val="4"/>
    </w:lvl>
  </w:abstractNum>
  <w:abstractNum w:abstractNumId="61">
    <w:nsid w:val="6B94764"/>
    <w:multiLevelType w:val="hybridMultilevel"/>
    <w:lvl w:ilvl="0">
      <w:lvlJc w:val="left"/>
      <w:lvlText w:val="(%1)"/>
      <w:numFmt w:val="decimal"/>
      <w:start w:val="1"/>
    </w:lvl>
  </w:abstractNum>
  <w:abstractNum w:abstractNumId="62">
    <w:nsid w:val="42C296BD"/>
    <w:multiLevelType w:val="hybridMultilevel"/>
    <w:lvl w:ilvl="0">
      <w:lvlJc w:val="left"/>
      <w:lvlText w:val="%1)"/>
      <w:numFmt w:val="decimal"/>
      <w:start w:val="1"/>
    </w:lvl>
  </w:abstractNum>
  <w:abstractNum w:abstractNumId="63">
    <w:nsid w:val="168E121F"/>
    <w:multiLevelType w:val="hybridMultilevel"/>
    <w:lvl w:ilvl="0">
      <w:lvlJc w:val="left"/>
      <w:lvlText w:val="%1"/>
      <w:numFmt w:val="decimal"/>
      <w:start w:val="19"/>
    </w:lvl>
  </w:abstractNum>
  <w:abstractNum w:abstractNumId="64">
    <w:nsid w:val="1EBA5D23"/>
    <w:multiLevelType w:val="hybridMultilevel"/>
    <w:lvl w:ilvl="0">
      <w:lvlJc w:val="left"/>
      <w:lvlText w:val="%1"/>
      <w:numFmt w:val="decimal"/>
      <w:start w:val="21"/>
    </w:lvl>
  </w:abstractNum>
  <w:abstractNum w:abstractNumId="65">
    <w:nsid w:val="661E3F1E"/>
    <w:multiLevelType w:val="hybridMultilevel"/>
    <w:lvl w:ilvl="0">
      <w:lvlJc w:val="left"/>
      <w:lvlText w:val="%1"/>
      <w:numFmt w:val="decimal"/>
      <w:start w:val="23"/>
    </w:lvl>
  </w:abstractNum>
  <w:abstractNum w:abstractNumId="66">
    <w:nsid w:val="5DC79EA8"/>
    <w:multiLevelType w:val="hybridMultilevel"/>
    <w:lvl w:ilvl="0">
      <w:lvlJc w:val="left"/>
      <w:lvlText w:val="%1"/>
      <w:numFmt w:val="decimal"/>
      <w:start w:val="97"/>
    </w:lvl>
  </w:abstractNum>
  <w:abstractNum w:abstractNumId="67">
    <w:nsid w:val="540A471C"/>
    <w:multiLevelType w:val="hybridMultilevel"/>
    <w:lvl w:ilvl="0">
      <w:lvlJc w:val="left"/>
      <w:lvlText w:val="*"/>
      <w:numFmt w:val="bullet"/>
      <w:start w:val="1"/>
    </w:lvl>
    <w:lvl w:ilvl="1">
      <w:lvlJc w:val="left"/>
      <w:lvlText w:val="%2"/>
      <w:numFmt w:val="decimal"/>
      <w:start w:val="1"/>
    </w:lvl>
    <w:lvl w:ilvl="2">
      <w:lvlJc w:val="left"/>
      <w:lvlText w:val="%3"/>
      <w:numFmt w:val="decimal"/>
      <w:start w:val="104"/>
    </w:lvl>
  </w:abstractNum>
  <w:abstractNum w:abstractNumId="68">
    <w:nsid w:val="7BD3EE7B"/>
    <w:multiLevelType w:val="hybridMultilevel"/>
    <w:lvl w:ilvl="0">
      <w:lvlJc w:val="left"/>
      <w:lvlText w:val="*"/>
      <w:numFmt w:val="bullet"/>
      <w:start w:val="1"/>
    </w:lvl>
    <w:lvl w:ilvl="1">
      <w:lvlJc w:val="left"/>
      <w:lvlText w:val="(%2)"/>
      <w:numFmt w:val="decimal"/>
      <w:start w:val="1"/>
    </w:lvl>
    <w:lvl w:ilvl="2">
      <w:lvlJc w:val="left"/>
      <w:lvlText w:val="%3"/>
      <w:numFmt w:val="decimal"/>
      <w:start w:val="1"/>
    </w:lvl>
  </w:abstractNum>
  <w:abstractNum w:abstractNumId="69">
    <w:nsid w:val="51D9C564"/>
    <w:multiLevelType w:val="hybridMultilevel"/>
    <w:lvl w:ilvl="0">
      <w:lvlJc w:val="left"/>
      <w:lvlText w:val="(%1)"/>
      <w:numFmt w:val="decimal"/>
      <w:start w:val="37"/>
    </w:lvl>
  </w:abstractNum>
  <w:abstractNum w:abstractNumId="70">
    <w:nsid w:val="613EFDC5"/>
    <w:multiLevelType w:val="hybridMultilevel"/>
    <w:lvl w:ilvl="0">
      <w:lvlJc w:val="left"/>
      <w:lvlText w:val="*"/>
      <w:numFmt w:val="bullet"/>
      <w:start w:val="1"/>
    </w:lvl>
  </w:abstractNum>
  <w:abstractNum w:abstractNumId="71">
    <w:nsid w:val="BF72B14"/>
    <w:multiLevelType w:val="hybridMultilevel"/>
    <w:lvl w:ilvl="0">
      <w:lvlJc w:val="left"/>
      <w:lvlText w:val="(%1)"/>
      <w:numFmt w:val="decimal"/>
      <w:start w:val="1"/>
    </w:lvl>
  </w:abstractNum>
  <w:abstractNum w:abstractNumId="72">
    <w:nsid w:val="11447B73"/>
    <w:multiLevelType w:val="hybridMultilevel"/>
    <w:lvl w:ilvl="0">
      <w:lvlJc w:val="left"/>
      <w:lvlText w:val="%1)"/>
      <w:numFmt w:val="lowerLetter"/>
      <w:start w:val="1"/>
    </w:lvl>
  </w:abstractNum>
  <w:abstractNum w:abstractNumId="73">
    <w:nsid w:val="42963E5A"/>
    <w:multiLevelType w:val="hybridMultilevel"/>
    <w:lvl w:ilvl="0">
      <w:lvlJc w:val="left"/>
      <w:lvlText w:val="(%1)"/>
      <w:numFmt w:val="decimal"/>
      <w:start w:val="5"/>
    </w:lvl>
  </w:abstractNum>
  <w:abstractNum w:abstractNumId="74">
    <w:nsid w:val="A0382C5"/>
    <w:multiLevelType w:val="hybridMultilevel"/>
    <w:lvl w:ilvl="0">
      <w:lvlJc w:val="left"/>
      <w:lvlText w:val="%1)"/>
      <w:numFmt w:val="lowerLetter"/>
      <w:start w:val="1"/>
    </w:lvl>
  </w:abstractNum>
  <w:abstractNum w:abstractNumId="75">
    <w:nsid w:val="8F2B15E"/>
    <w:multiLevelType w:val="hybridMultilevel"/>
    <w:lvl w:ilvl="0">
      <w:lvlJc w:val="left"/>
      <w:lvlText w:val="(%1)"/>
      <w:numFmt w:val="decimal"/>
      <w:start w:val="1"/>
    </w:lvl>
  </w:abstractNum>
  <w:abstractNum w:abstractNumId="76">
    <w:nsid w:val="1A32234B"/>
    <w:multiLevelType w:val="hybridMultilevel"/>
    <w:lvl w:ilvl="0">
      <w:lvlJc w:val="left"/>
      <w:lvlText w:val="%1)"/>
      <w:numFmt w:val="lowerLetter"/>
      <w:start w:val="1"/>
    </w:lvl>
  </w:abstractNum>
  <w:abstractNum w:abstractNumId="77">
    <w:nsid w:val="3B0FD379"/>
    <w:multiLevelType w:val="hybridMultilevel"/>
    <w:lvl w:ilvl="0">
      <w:lvlJc w:val="left"/>
      <w:lvlText w:val="(%1)"/>
      <w:numFmt w:val="decimal"/>
      <w:start w:val="5"/>
    </w:lvl>
  </w:abstractNum>
  <w:abstractNum w:abstractNumId="78">
    <w:nsid w:val="68EB2F63"/>
    <w:multiLevelType w:val="hybridMultilevel"/>
    <w:lvl w:ilvl="0">
      <w:lvlJc w:val="left"/>
      <w:lvlText w:val="%1)"/>
      <w:numFmt w:val="lowerLetter"/>
      <w:start w:val="1"/>
    </w:lvl>
  </w:abstractNum>
  <w:abstractNum w:abstractNumId="79">
    <w:nsid w:val="4962813B"/>
    <w:multiLevelType w:val="hybridMultilevel"/>
    <w:lvl w:ilvl="0">
      <w:lvlJc w:val="left"/>
      <w:lvlText w:val="(%1)"/>
      <w:numFmt w:val="decimal"/>
      <w:start w:val="1"/>
    </w:lvl>
  </w:abstractNum>
  <w:abstractNum w:abstractNumId="80">
    <w:nsid w:val="60B6DF7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62" Type="http://schemas.openxmlformats.org/officeDocument/2006/relationships/image" Target="media/image152.png"/><Relationship Id="rId165" Type="http://schemas.openxmlformats.org/officeDocument/2006/relationships/image" Target="media/image153.png"/><Relationship Id="rId167" Type="http://schemas.openxmlformats.org/officeDocument/2006/relationships/image" Target="media/image154.png"/><Relationship Id="rId169" Type="http://schemas.openxmlformats.org/officeDocument/2006/relationships/image" Target="media/image155.png"/><Relationship Id="rId171" Type="http://schemas.openxmlformats.org/officeDocument/2006/relationships/image" Target="media/image156.png"/><Relationship Id="rId173" Type="http://schemas.openxmlformats.org/officeDocument/2006/relationships/image" Target="media/image157.png"/><Relationship Id="rId175" Type="http://schemas.openxmlformats.org/officeDocument/2006/relationships/image" Target="media/image158.png"/><Relationship Id="rId178" Type="http://schemas.openxmlformats.org/officeDocument/2006/relationships/image" Target="media/image159.png"/><Relationship Id="rId181" Type="http://schemas.openxmlformats.org/officeDocument/2006/relationships/image" Target="media/image160.png"/><Relationship Id="rId183" Type="http://schemas.openxmlformats.org/officeDocument/2006/relationships/image" Target="media/image161.png"/><Relationship Id="rId186" Type="http://schemas.openxmlformats.org/officeDocument/2006/relationships/image" Target="media/image162.png"/><Relationship Id="rId189" Type="http://schemas.openxmlformats.org/officeDocument/2006/relationships/image" Target="media/image163.png"/><Relationship Id="rId191" Type="http://schemas.openxmlformats.org/officeDocument/2006/relationships/image" Target="media/image164.png"/><Relationship Id="rId192" Type="http://schemas.openxmlformats.org/officeDocument/2006/relationships/image" Target="media/image165.png"/><Relationship Id="rId195" Type="http://schemas.openxmlformats.org/officeDocument/2006/relationships/image" Target="media/image166.png"/><Relationship Id="rId198" Type="http://schemas.openxmlformats.org/officeDocument/2006/relationships/image" Target="media/image167.png"/><Relationship Id="rId202" Type="http://schemas.openxmlformats.org/officeDocument/2006/relationships/image" Target="media/image168.png"/><Relationship Id="rId205" Type="http://schemas.openxmlformats.org/officeDocument/2006/relationships/image" Target="media/image169.png"/><Relationship Id="rId208" Type="http://schemas.openxmlformats.org/officeDocument/2006/relationships/image" Target="media/image170.png"/><Relationship Id="rId211" Type="http://schemas.openxmlformats.org/officeDocument/2006/relationships/image" Target="media/image171.png"/><Relationship Id="rId213" Type="http://schemas.openxmlformats.org/officeDocument/2006/relationships/image" Target="media/image172.png"/><Relationship Id="rId216" Type="http://schemas.openxmlformats.org/officeDocument/2006/relationships/image" Target="media/image173.png"/><Relationship Id="rId219" Type="http://schemas.openxmlformats.org/officeDocument/2006/relationships/image" Target="media/image174.png"/><Relationship Id="rId223" Type="http://schemas.openxmlformats.org/officeDocument/2006/relationships/image" Target="media/image175.png"/><Relationship Id="rId224" Type="http://schemas.openxmlformats.org/officeDocument/2006/relationships/image" Target="media/image176.png"/><Relationship Id="rId225" Type="http://schemas.openxmlformats.org/officeDocument/2006/relationships/image" Target="media/image177.png"/><Relationship Id="rId226" Type="http://schemas.openxmlformats.org/officeDocument/2006/relationships/image" Target="media/image178.png"/><Relationship Id="rId227" Type="http://schemas.openxmlformats.org/officeDocument/2006/relationships/image" Target="media/image179.png"/><Relationship Id="rId229" Type="http://schemas.openxmlformats.org/officeDocument/2006/relationships/image" Target="media/image180.png"/><Relationship Id="rId230" Type="http://schemas.openxmlformats.org/officeDocument/2006/relationships/image" Target="media/image181.png"/><Relationship Id="rId231" Type="http://schemas.openxmlformats.org/officeDocument/2006/relationships/image" Target="media/image182.png"/><Relationship Id="rId232" Type="http://schemas.openxmlformats.org/officeDocument/2006/relationships/image" Target="media/image183.png"/><Relationship Id="rId233" Type="http://schemas.openxmlformats.org/officeDocument/2006/relationships/image" Target="media/image184.png"/><Relationship Id="rId234" Type="http://schemas.openxmlformats.org/officeDocument/2006/relationships/image" Target="media/image185.png"/><Relationship Id="rId235" Type="http://schemas.openxmlformats.org/officeDocument/2006/relationships/image" Target="media/image186.png"/><Relationship Id="rId236" Type="http://schemas.openxmlformats.org/officeDocument/2006/relationships/image" Target="media/image187.png"/><Relationship Id="rId237" Type="http://schemas.openxmlformats.org/officeDocument/2006/relationships/image" Target="media/image188.png"/><Relationship Id="rId238" Type="http://schemas.openxmlformats.org/officeDocument/2006/relationships/image" Target="media/image189.png"/><Relationship Id="rId239" Type="http://schemas.openxmlformats.org/officeDocument/2006/relationships/image" Target="media/image190.png"/><Relationship Id="rId240" Type="http://schemas.openxmlformats.org/officeDocument/2006/relationships/image" Target="media/image191.png"/><Relationship Id="rId241" Type="http://schemas.openxmlformats.org/officeDocument/2006/relationships/image" Target="media/image192.png"/><Relationship Id="rId242" Type="http://schemas.openxmlformats.org/officeDocument/2006/relationships/image" Target="media/image193.png"/><Relationship Id="rId159" Type="http://schemas.openxmlformats.org/officeDocument/2006/relationships/hyperlink" Target="https://www.sec.gov/Archives/edgar/data/746598/000074659812000124/exhibit21-agreement.htm" TargetMode="External"/><Relationship Id="rId160" Type="http://schemas.openxmlformats.org/officeDocument/2006/relationships/hyperlink" Target="https://www.sec.gov/Archives/edgar/data/746598/000074659814000038/exhibit21precisepurchaseag.htm" TargetMode="External"/><Relationship Id="rId161" Type="http://schemas.openxmlformats.org/officeDocument/2006/relationships/hyperlink" Target="https://www.sec.gov/Archives/edgar/data/746598/000074659821000057/exhibit21combinationagreem.htm" TargetMode="External"/><Relationship Id="rId163" Type="http://schemas.openxmlformats.org/officeDocument/2006/relationships/hyperlink" Target="https://www.sec.gov/Archives/edgar/data/746598/000074659821000070/exhibit21agreementforpurch.htm" TargetMode="External"/><Relationship Id="rId164" Type="http://schemas.openxmlformats.org/officeDocument/2006/relationships/hyperlink" Target="https://www.sec.gov/Archives/edgar/data/746598/000074659821000080/exhibit21agreementforpurch.htm" TargetMode="External"/><Relationship Id="rId166" Type="http://schemas.openxmlformats.org/officeDocument/2006/relationships/hyperlink" Target="https://www.sec.gov/Archives/edgar/data/746598/000074659824000055/exhibit21spa.htm" TargetMode="External"/><Relationship Id="rId168" Type="http://schemas.openxmlformats.org/officeDocument/2006/relationships/hyperlink" Target="https://www.sec.gov/Archives/edgar/data/746598/000074659820000095/exhibit31bylawsasamend.htm" TargetMode="External"/><Relationship Id="rId170" Type="http://schemas.openxmlformats.org/officeDocument/2006/relationships/hyperlink" Target="https://www.sec.gov/Archives/edgar/data/746598/000074659819000128/brc-20190731xex41.htm" TargetMode="External"/><Relationship Id="rId172" Type="http://schemas.openxmlformats.org/officeDocument/2006/relationships/hyperlink" Target="https://www.sec.gov/Archives/edgar/data/746598/000074659823000064/exhibit101bradycorporation.htm" TargetMode="External"/><Relationship Id="rId174" Type="http://schemas.openxmlformats.org/officeDocument/2006/relationships/hyperlink" Target="https://www.sec.gov/Archives/edgar/data/746598/000074659818000086/brc-2018731xex104.htm" TargetMode="External"/><Relationship Id="rId176" Type="http://schemas.openxmlformats.org/officeDocument/2006/relationships/hyperlink" Target="https://www.sec.gov/Archives/edgar/data/746598/000074659818000086/brc-2018731xex105.htm" TargetMode="External"/><Relationship Id="rId177" Type="http://schemas.openxmlformats.org/officeDocument/2006/relationships/hyperlink" Target="https://www.sec.gov/Archives/edgar/data/746598/000074659822000067/brc-20220731xex106changeof.htm" TargetMode="External"/><Relationship Id="rId179" Type="http://schemas.openxmlformats.org/officeDocument/2006/relationships/hyperlink" Target="https://www.sec.gov/Archives/edgar/data/746598/000074659816000242/exhibit1012017omnibusincen.htm" TargetMode="External"/><Relationship Id="rId180" Type="http://schemas.openxmlformats.org/officeDocument/2006/relationships/hyperlink" Target="https://www.sec.gov/Archives/edgar/data/746598/000074659816000259/exhibit101-stockoptionagre.htm" TargetMode="External"/><Relationship Id="rId182" Type="http://schemas.openxmlformats.org/officeDocument/2006/relationships/hyperlink" Target="https://www.sec.gov/Archives/edgar/data/746598/000074659823000004/exhibit101employmentcontra.htm" TargetMode="External"/><Relationship Id="rId184" Type="http://schemas.openxmlformats.org/officeDocument/2006/relationships/hyperlink" Target="https://www.sec.gov/Archives/edgar/data/746598/000074659823000004/exhibit102addendumemployme.htm" TargetMode="External"/><Relationship Id="rId185" Type="http://schemas.openxmlformats.org/officeDocument/2006/relationships/hyperlink" Target="https://www.sec.gov/Archives/edgar/data/746598/000074659823000004/exhibit103changeofcontrola.htm" TargetMode="External"/><Relationship Id="rId187" Type="http://schemas.openxmlformats.org/officeDocument/2006/relationships/hyperlink" Target="https://www.sec.gov/Archives/edgar/data/746598/000074659819000128/brc-20190731xex1057.htm" TargetMode="External"/><Relationship Id="rId188" Type="http://schemas.openxmlformats.org/officeDocument/2006/relationships/hyperlink" Target="https://www.sec.gov/Archives/edgar/data/746598/000074659823000058/brc-20220731xex10532023bra.htm" TargetMode="External"/><Relationship Id="rId190" Type="http://schemas.openxmlformats.org/officeDocument/2006/relationships/hyperlink" Target="https://www.sec.gov/Archives/edgar/data/746598/000074659818000086/brc-2018731xex1021.htm" TargetMode="External"/><Relationship Id="rId193" Type="http://schemas.openxmlformats.org/officeDocument/2006/relationships/hyperlink" Target="https://www.sec.gov/Archives/edgar/data/746598/000074659823000064/brc-20230731xex102formof20.htm" TargetMode="External"/><Relationship Id="rId194" Type="http://schemas.openxmlformats.org/officeDocument/2006/relationships/hyperlink" Target="https://www.sec.gov/Archives/edgar/data/746598/000074659822000022/exhibit102offerletterrusse.htm" TargetMode="External"/><Relationship Id="rId196" Type="http://schemas.openxmlformats.org/officeDocument/2006/relationships/hyperlink" Target="https://www.sec.gov/Archives/edgar/data/746598/000074659822000022/exhibit104changeofcontrola.htm" TargetMode="External"/><Relationship Id="rId197" Type="http://schemas.openxmlformats.org/officeDocument/2006/relationships/hyperlink" Target="https://www.sec.gov/Archives/edgar/data/746598/000074659822000067/brc-20220731xex1023offerle.htm" TargetMode="External"/><Relationship Id="rId199" Type="http://schemas.openxmlformats.org/officeDocument/2006/relationships/hyperlink" Target="https://www.sec.gov/Archives/edgar/data/746598/000074659819000121/exhibit101creditagreement-.htm" TargetMode="External"/><Relationship Id="rId200" Type="http://schemas.openxmlformats.org/officeDocument/2006/relationships/hyperlink" Target="https://www.sec.gov/Archives/edgar/data/0000746598/000074659821000203/exhibit101creditagreementa.htm" TargetMode="External"/><Relationship Id="rId201" Type="http://schemas.openxmlformats.org/officeDocument/2006/relationships/hyperlink" Target="https://www.sec.gov/Archives/edgar/data/746598/000074659822000142/exhibit101creditagreementa.htm" TargetMode="External"/><Relationship Id="rId203" Type="http://schemas.openxmlformats.org/officeDocument/2006/relationships/hyperlink" Target="https://www.sec.gov/Archives/edgar/data/746598/000074659824000132/exhibit101creditagreementa.htm" TargetMode="External"/><Relationship Id="rId204" Type="http://schemas.openxmlformats.org/officeDocument/2006/relationships/hyperlink" Target="https://www.sec.gov/Archives/edgar/data/746598/000074659822000057/exhibit101offerletterolivi.htm" TargetMode="External"/><Relationship Id="rId206" Type="http://schemas.openxmlformats.org/officeDocument/2006/relationships/hyperlink" Target="https://www.sec.gov/Archives/edgar/data/746598/000074659822000057/exhibit102non-competeolivi.htm" TargetMode="External"/><Relationship Id="rId207" Type="http://schemas.openxmlformats.org/officeDocument/2006/relationships/hyperlink" Target="https://www.sec.gov/Archives/edgar/data/746598/000074659823000064/brc-20230731xex103formof20.htm" TargetMode="External"/><Relationship Id="rId209" Type="http://schemas.openxmlformats.org/officeDocument/2006/relationships/hyperlink" Target="https://www.sec.gov/Archives/edgar/data/746598/000074659822000067/brc-20220731xex1024.htm" TargetMode="External"/><Relationship Id="rId210" Type="http://schemas.openxmlformats.org/officeDocument/2006/relationships/hyperlink" Target="https://www.sec.gov/Archives/edgar/data/746598/000074659821000102/brc-20210731xex1034.htm" TargetMode="External"/><Relationship Id="rId212" Type="http://schemas.openxmlformats.org/officeDocument/2006/relationships/hyperlink" Target="https://www.sec.gov/Archives/edgar/data/746598/000074659820000097/brc-20200731xex1035.htm" TargetMode="External"/><Relationship Id="rId214" Type="http://schemas.openxmlformats.org/officeDocument/2006/relationships/hyperlink" Target="https://www.sec.gov/Archives/edgar/data/746598/000074659820000097/brc-20200731xex1036.htm" TargetMode="External"/><Relationship Id="rId215" Type="http://schemas.openxmlformats.org/officeDocument/2006/relationships/hyperlink" Target="https://www.sec.gov/Archives/edgar/data/746598/000074659823000027/exhibit102offerletterannth.htm" TargetMode="External"/><Relationship Id="rId217" Type="http://schemas.openxmlformats.org/officeDocument/2006/relationships/hyperlink" Target="https://www.sec.gov/Archives/edgar/data/746598/000074659823000027/exhibit103changeofcontrola.htm" TargetMode="External"/><Relationship Id="rId218" Type="http://schemas.openxmlformats.org/officeDocument/2006/relationships/hyperlink" Target="https://www.sec.gov/Archives/edgar/data/746598/000074659824000046/exhibit101offerlettertomde.htm" TargetMode="External"/><Relationship Id="rId220" Type="http://schemas.openxmlformats.org/officeDocument/2006/relationships/hyperlink" Target="https://www.sec.gov/Archives/edgar/data/746598/000074659824000046/exhibit102changeofcontrola.htm" TargetMode="External"/><Relationship Id="rId221" Type="http://schemas.openxmlformats.org/officeDocument/2006/relationships/hyperlink" Target="https://www.sec.gov/Archives/edgar/data/746598/000074659824000065/brc-20240731xex1042.htm" TargetMode="External"/><Relationship Id="rId222" Type="http://schemas.openxmlformats.org/officeDocument/2006/relationships/hyperlink" Target="https://www.sec.gov/Archives/edgar/data/746598/000074659824000065/brc-20240731xex19insidertr.htm" TargetMode="External"/><Relationship Id="rId228" Type="http://schemas.openxmlformats.org/officeDocument/2006/relationships/hyperlink" Target="https://www.sec.gov/Archives/edgar/data/746598/000074659824000065/brc-20240731xex97clawbackp.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2025-09-04T06:13:39Z</dcterms:created>
  <dcterms:modified xsi:type="dcterms:W3CDTF">2025-09-04T06:13:39Z</dcterms:modified>
</cp:coreProperties>
</file>