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8"/>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Date of Report (Date of earliest event reported): November 18,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379"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47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19"/>
          </w:cols>
          <w:pgMar w:left="261" w:top="670" w:right="31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jc w:val="both"/>
        <w:ind w:right="20" w:firstLine="290"/>
        <w:spacing w:after="0" w:line="279" w:lineRule="auto"/>
        <w:rPr>
          <w:sz w:val="20"/>
          <w:szCs w:val="20"/>
          <w:color w:val="auto"/>
        </w:rPr>
      </w:pPr>
      <w:r>
        <w:rPr>
          <w:rFonts w:ascii="Arial" w:cs="Arial" w:eastAsia="Arial" w:hAnsi="Arial"/>
          <w:sz w:val="16"/>
          <w:szCs w:val="16"/>
          <w:color w:val="auto"/>
        </w:rPr>
        <w:t>On November 19, 2015, Brady Corporation (the “Company”) issued a press release announcing its fiscal 2016 first quarter financial results. A copy of the press release is being furnished to the Securities and Exchange Commission as Exhibit 99.1 attached hereto and is incorporated herein by reference.</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5.07</w:t>
      </w:r>
      <w:r>
        <w:rPr>
          <w:sz w:val="20"/>
          <w:szCs w:val="20"/>
          <w:color w:val="auto"/>
        </w:rPr>
        <w:tab/>
      </w:r>
      <w:r>
        <w:rPr>
          <w:rFonts w:ascii="Arial" w:cs="Arial" w:eastAsia="Arial" w:hAnsi="Arial"/>
          <w:sz w:val="15"/>
          <w:szCs w:val="15"/>
          <w:color w:val="auto"/>
        </w:rPr>
        <w:t>SUBMISSIONS OF MATTERS TO A VOTE OF SECURITY HOLDERS</w:t>
      </w:r>
    </w:p>
    <w:p>
      <w:pPr>
        <w:spacing w:after="0" w:line="200" w:lineRule="exact"/>
        <w:rPr>
          <w:sz w:val="20"/>
          <w:szCs w:val="20"/>
          <w:color w:val="auto"/>
        </w:rPr>
      </w:pPr>
    </w:p>
    <w:p>
      <w:pPr>
        <w:spacing w:after="0" w:line="219" w:lineRule="exact"/>
        <w:rPr>
          <w:sz w:val="20"/>
          <w:szCs w:val="20"/>
          <w:color w:val="auto"/>
        </w:rPr>
      </w:pPr>
    </w:p>
    <w:p>
      <w:pPr>
        <w:jc w:val="both"/>
        <w:ind w:right="20" w:firstLine="290"/>
        <w:spacing w:after="0" w:line="265" w:lineRule="auto"/>
        <w:rPr>
          <w:sz w:val="20"/>
          <w:szCs w:val="20"/>
          <w:color w:val="auto"/>
        </w:rPr>
      </w:pPr>
      <w:r>
        <w:rPr>
          <w:rFonts w:ascii="Arial" w:cs="Arial" w:eastAsia="Arial" w:hAnsi="Arial"/>
          <w:sz w:val="16"/>
          <w:szCs w:val="16"/>
          <w:color w:val="auto"/>
        </w:rPr>
        <w:t>On November 18, 2015, at the Company’s Annual Shareholders’ Meeting, the holders of all of the 3,538,628 shares of the Company’s Class B Common Stock voted unanimously in favor of electing the following persons to serve as the Company’s directors until the next annual meeting of shareholders and until their successors have been elected: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Patrick W. Allender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Gary S. Balkema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Elizabeth P. Bruno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Nancy L. Gioia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Conrad G. Goodkind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Frank W. Harris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 Michael Nauman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Bradley C. Richardson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Harold L. Sirkin</w:t>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7.01</w:t>
      </w:r>
      <w:r>
        <w:rPr>
          <w:sz w:val="20"/>
          <w:szCs w:val="20"/>
          <w:color w:val="auto"/>
        </w:rPr>
        <w:tab/>
      </w:r>
      <w:r>
        <w:rPr>
          <w:rFonts w:ascii="Arial" w:cs="Arial" w:eastAsia="Arial" w:hAnsi="Arial"/>
          <w:sz w:val="15"/>
          <w:szCs w:val="15"/>
          <w:color w:val="auto"/>
        </w:rPr>
        <w:t>REGULATION FD DISCLOSURE</w:t>
      </w:r>
    </w:p>
    <w:p>
      <w:pPr>
        <w:spacing w:after="0" w:line="226" w:lineRule="exact"/>
        <w:rPr>
          <w:sz w:val="20"/>
          <w:szCs w:val="20"/>
          <w:color w:val="auto"/>
        </w:rPr>
      </w:pPr>
    </w:p>
    <w:p>
      <w:pPr>
        <w:jc w:val="both"/>
        <w:ind w:right="20" w:firstLine="290"/>
        <w:spacing w:after="0" w:line="265" w:lineRule="auto"/>
        <w:rPr>
          <w:sz w:val="20"/>
          <w:szCs w:val="20"/>
          <w:color w:val="auto"/>
        </w:rPr>
      </w:pPr>
      <w:r>
        <w:rPr>
          <w:rFonts w:ascii="Arial" w:cs="Arial" w:eastAsia="Arial" w:hAnsi="Arial"/>
          <w:sz w:val="16"/>
          <w:szCs w:val="16"/>
          <w:color w:val="auto"/>
        </w:rPr>
        <w:t>On November 19, 2015, the Company hosted a conference call related to its fiscal 2016 first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8.01</w:t>
      </w:r>
      <w:r>
        <w:rPr>
          <w:sz w:val="20"/>
          <w:szCs w:val="20"/>
          <w:color w:val="auto"/>
        </w:rPr>
        <w:tab/>
      </w:r>
      <w:r>
        <w:rPr>
          <w:rFonts w:ascii="Arial" w:cs="Arial" w:eastAsia="Arial" w:hAnsi="Arial"/>
          <w:sz w:val="15"/>
          <w:szCs w:val="15"/>
          <w:color w:val="auto"/>
        </w:rPr>
        <w:t>OTHER EVENTS</w:t>
      </w:r>
    </w:p>
    <w:p>
      <w:pPr>
        <w:spacing w:after="0" w:line="226" w:lineRule="exact"/>
        <w:rPr>
          <w:sz w:val="20"/>
          <w:szCs w:val="20"/>
          <w:color w:val="auto"/>
        </w:rPr>
      </w:pPr>
    </w:p>
    <w:p>
      <w:pPr>
        <w:jc w:val="both"/>
        <w:ind w:firstLine="290"/>
        <w:spacing w:after="0" w:line="279" w:lineRule="auto"/>
        <w:rPr>
          <w:sz w:val="20"/>
          <w:szCs w:val="20"/>
          <w:color w:val="auto"/>
        </w:rPr>
      </w:pPr>
      <w:r>
        <w:rPr>
          <w:rFonts w:ascii="Arial" w:cs="Arial" w:eastAsia="Arial" w:hAnsi="Arial"/>
          <w:sz w:val="15"/>
          <w:szCs w:val="15"/>
          <w:color w:val="auto"/>
        </w:rPr>
        <w:t>On November 19, 2015, the Company announced that its Board of Directors authorized an increase in the Company’s share buyback program, authorizing the repurchase of an additional 807,692 shares, for a total of up to two million shares of the Corporation’s Class A Common Stock available for repurchase as of November 18, 2015. The share repurchase plan may be implemented from time to time on the open market or in privately negotiated transactions. The repurchased shares will be available for use in connection with the Corporation’s stock-based plans and for other corporate purposes. The share buyback program was described in a press release issued by the Company in connection with its fiscal 2016 first quarter financial results, which is attached hereto as Exhibit 99.1 and is incorporated herein by reference.</w:t>
      </w:r>
    </w:p>
    <w:p>
      <w:pPr>
        <w:sectPr>
          <w:pgSz w:w="11900" w:h="16838" w:orient="portrait"/>
          <w:cols w:equalWidth="0" w:num="1">
            <w:col w:w="11440"/>
          </w:cols>
          <w:pgMar w:left="240" w:top="682" w:right="219" w:bottom="1440" w:gutter="0" w:footer="0" w:header="0"/>
        </w:sectPr>
      </w:pPr>
    </w:p>
    <w:bookmarkStart w:id="2" w:name="page3"/>
    <w:bookmarkEnd w:id="2"/>
    <w:p>
      <w:pPr>
        <w:ind w:left="20"/>
        <w:spacing w:after="0"/>
        <w:tabs>
          <w:tab w:leader="none" w:pos="940" w:val="left"/>
        </w:tabs>
        <w:rPr>
          <w:sz w:val="20"/>
          <w:szCs w:val="20"/>
          <w:color w:val="auto"/>
        </w:rPr>
      </w:pPr>
      <w:r>
        <w:rPr>
          <w:rFonts w:ascii="Arial" w:cs="Arial" w:eastAsia="Arial" w:hAnsi="Arial"/>
          <w:sz w:val="16"/>
          <w:szCs w:val="16"/>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filed as Exhibits to this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80" w:type="dxa"/>
            <w:vAlign w:val="bottom"/>
            <w:gridSpan w:val="2"/>
          </w:tcPr>
          <w:p>
            <w:pPr>
              <w:ind w:left="20"/>
              <w:spacing w:after="0"/>
              <w:rPr>
                <w:sz w:val="20"/>
                <w:szCs w:val="20"/>
                <w:color w:val="auto"/>
              </w:rPr>
            </w:pPr>
            <w:r>
              <w:rPr>
                <w:rFonts w:ascii="Arial" w:cs="Arial" w:eastAsia="Arial" w:hAnsi="Arial"/>
                <w:sz w:val="16"/>
                <w:szCs w:val="16"/>
                <w:color w:val="auto"/>
              </w:rPr>
              <w:t>Exhibit No. Description of Exhibit</w:t>
            </w:r>
          </w:p>
        </w:tc>
        <w:tc>
          <w:tcPr>
            <w:tcW w:w="0" w:type="dxa"/>
            <w:vAlign w:val="bottom"/>
          </w:tcPr>
          <w:p>
            <w:pPr>
              <w:spacing w:after="0"/>
              <w:rPr>
                <w:sz w:val="1"/>
                <w:szCs w:val="1"/>
                <w:color w:val="auto"/>
              </w:rPr>
            </w:pPr>
          </w:p>
        </w:tc>
      </w:tr>
      <w:tr>
        <w:trPr>
          <w:trHeight w:val="24"/>
        </w:trPr>
        <w:tc>
          <w:tcPr>
            <w:tcW w:w="58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 w:type="dxa"/>
            <w:vAlign w:val="bottom"/>
          </w:tcPr>
          <w:p>
            <w:pPr>
              <w:ind w:left="20"/>
              <w:spacing w:after="0"/>
              <w:rPr>
                <w:sz w:val="20"/>
                <w:szCs w:val="20"/>
                <w:color w:val="auto"/>
              </w:rPr>
            </w:pPr>
            <w:r>
              <w:rPr>
                <w:rFonts w:ascii="Arial" w:cs="Arial" w:eastAsia="Arial" w:hAnsi="Arial"/>
                <w:sz w:val="16"/>
                <w:szCs w:val="16"/>
                <w:color w:val="auto"/>
              </w:rPr>
              <w:t>99.1</w:t>
            </w:r>
          </w:p>
        </w:tc>
        <w:tc>
          <w:tcPr>
            <w:tcW w:w="8100" w:type="dxa"/>
            <w:vAlign w:val="bottom"/>
            <w:vMerge w:val="restart"/>
          </w:tcPr>
          <w:p>
            <w:pPr>
              <w:ind w:left="280"/>
              <w:spacing w:after="0"/>
              <w:rPr>
                <w:sz w:val="20"/>
                <w:szCs w:val="20"/>
                <w:color w:val="auto"/>
              </w:rPr>
            </w:pPr>
            <w:r>
              <w:rPr>
                <w:rFonts w:ascii="Arial" w:cs="Arial" w:eastAsia="Arial" w:hAnsi="Arial"/>
                <w:sz w:val="16"/>
                <w:szCs w:val="16"/>
                <w:color w:val="auto"/>
                <w:w w:val="92"/>
              </w:rPr>
              <w:t>Press Release of Brady Corporation, dated November 19, 2015, relating to first quarter fiscal 2016 financial results and</w:t>
            </w:r>
          </w:p>
        </w:tc>
        <w:tc>
          <w:tcPr>
            <w:tcW w:w="0" w:type="dxa"/>
            <w:vAlign w:val="bottom"/>
          </w:tcPr>
          <w:p>
            <w:pPr>
              <w:spacing w:after="0"/>
              <w:rPr>
                <w:sz w:val="1"/>
                <w:szCs w:val="1"/>
                <w:color w:val="auto"/>
              </w:rPr>
            </w:pPr>
          </w:p>
        </w:tc>
      </w:tr>
      <w:tr>
        <w:trPr>
          <w:trHeight w:val="60"/>
        </w:trPr>
        <w:tc>
          <w:tcPr>
            <w:tcW w:w="580" w:type="dxa"/>
            <w:vAlign w:val="bottom"/>
          </w:tcPr>
          <w:p>
            <w:pPr>
              <w:spacing w:after="0"/>
              <w:rPr>
                <w:sz w:val="5"/>
                <w:szCs w:val="5"/>
                <w:color w:val="auto"/>
              </w:rPr>
            </w:pPr>
          </w:p>
        </w:tc>
        <w:tc>
          <w:tcPr>
            <w:tcW w:w="8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6"/>
                <w:szCs w:val="16"/>
                <w:color w:val="auto"/>
              </w:rPr>
              <w:t>increase in share buyback program.</w:t>
            </w:r>
          </w:p>
        </w:tc>
        <w:tc>
          <w:tcPr>
            <w:tcW w:w="0" w:type="dxa"/>
            <w:vAlign w:val="bottom"/>
          </w:tcPr>
          <w:p>
            <w:pPr>
              <w:spacing w:after="0"/>
              <w:rPr>
                <w:sz w:val="1"/>
                <w:szCs w:val="1"/>
                <w:color w:val="auto"/>
              </w:rPr>
            </w:pPr>
          </w:p>
        </w:tc>
      </w:tr>
      <w:tr>
        <w:trPr>
          <w:trHeight w:val="301"/>
        </w:trPr>
        <w:tc>
          <w:tcPr>
            <w:tcW w:w="580" w:type="dxa"/>
            <w:vAlign w:val="bottom"/>
          </w:tcPr>
          <w:p>
            <w:pPr>
              <w:ind w:left="20"/>
              <w:spacing w:after="0"/>
              <w:rPr>
                <w:sz w:val="20"/>
                <w:szCs w:val="20"/>
                <w:color w:val="auto"/>
              </w:rPr>
            </w:pPr>
            <w:r>
              <w:rPr>
                <w:rFonts w:ascii="Arial" w:cs="Arial" w:eastAsia="Arial" w:hAnsi="Arial"/>
                <w:sz w:val="16"/>
                <w:szCs w:val="16"/>
                <w:color w:val="auto"/>
              </w:rPr>
              <w:t>99.2</w:t>
            </w:r>
          </w:p>
        </w:tc>
        <w:tc>
          <w:tcPr>
            <w:tcW w:w="8100" w:type="dxa"/>
            <w:vAlign w:val="bottom"/>
          </w:tcPr>
          <w:p>
            <w:pPr>
              <w:ind w:left="280"/>
              <w:spacing w:after="0"/>
              <w:rPr>
                <w:sz w:val="20"/>
                <w:szCs w:val="20"/>
                <w:color w:val="auto"/>
              </w:rPr>
            </w:pPr>
            <w:r>
              <w:rPr>
                <w:rFonts w:ascii="Arial" w:cs="Arial" w:eastAsia="Arial" w:hAnsi="Arial"/>
                <w:sz w:val="16"/>
                <w:szCs w:val="16"/>
                <w:color w:val="auto"/>
                <w:w w:val="97"/>
              </w:rPr>
              <w:t>Informational slides provided by Brady Corporation, dated November 19, 2015, relating to first quarter fiscal 2016</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8100" w:type="dxa"/>
            <w:vAlign w:val="bottom"/>
          </w:tcPr>
          <w:p>
            <w:pPr>
              <w:ind w:left="28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November 19, 2015</w:t>
      </w:r>
    </w:p>
    <w:p>
      <w:pPr>
        <w:spacing w:after="0" w:line="34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Aaron J. Pearce</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Senior Vice President, Chief Financial Officer and Chief Accounting Officer</w:t>
      </w:r>
    </w:p>
    <w:p>
      <w:pPr>
        <w:sectPr>
          <w:pgSz w:w="11900" w:h="16838" w:orient="portrait"/>
          <w:cols w:equalWidth="0" w:num="1">
            <w:col w:w="11440"/>
          </w:cols>
          <w:pgMar w:left="240" w:top="682"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820" w:type="dxa"/>
            <w:vAlign w:val="bottom"/>
          </w:tcPr>
          <w:p>
            <w:pPr>
              <w:spacing w:after="0"/>
              <w:rPr>
                <w:sz w:val="17"/>
                <w:szCs w:val="17"/>
                <w:color w:val="auto"/>
              </w:rPr>
            </w:pPr>
          </w:p>
        </w:tc>
        <w:tc>
          <w:tcPr>
            <w:tcW w:w="7860" w:type="dxa"/>
            <w:vAlign w:val="bottom"/>
          </w:tcPr>
          <w:p>
            <w:pPr>
              <w:ind w:left="430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11"/>
        </w:trPr>
        <w:tc>
          <w:tcPr>
            <w:tcW w:w="820" w:type="dxa"/>
            <w:vAlign w:val="bottom"/>
          </w:tcPr>
          <w:p>
            <w:pPr>
              <w:ind w:left="20"/>
              <w:spacing w:after="0"/>
              <w:rPr>
                <w:sz w:val="20"/>
                <w:szCs w:val="20"/>
                <w:color w:val="auto"/>
              </w:rPr>
            </w:pPr>
            <w:r>
              <w:rPr>
                <w:rFonts w:ascii="Arial" w:cs="Arial" w:eastAsia="Arial" w:hAnsi="Arial"/>
                <w:sz w:val="14"/>
                <w:szCs w:val="14"/>
                <w:color w:val="auto"/>
              </w:rPr>
              <w:t>EXHIBIT</w:t>
            </w:r>
          </w:p>
        </w:tc>
        <w:tc>
          <w:tcPr>
            <w:tcW w:w="7860" w:type="dxa"/>
            <w:vAlign w:val="bottom"/>
            <w:vMerge w:val="restart"/>
          </w:tcPr>
          <w:p>
            <w:pPr>
              <w:ind w:left="18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820" w:type="dxa"/>
            <w:vAlign w:val="bottom"/>
          </w:tcPr>
          <w:p>
            <w:pPr>
              <w:ind w:left="20"/>
              <w:spacing w:after="0"/>
              <w:rPr>
                <w:sz w:val="20"/>
                <w:szCs w:val="20"/>
                <w:color w:val="auto"/>
              </w:rPr>
            </w:pPr>
            <w:r>
              <w:rPr>
                <w:rFonts w:ascii="Arial" w:cs="Arial" w:eastAsia="Arial" w:hAnsi="Arial"/>
                <w:sz w:val="14"/>
                <w:szCs w:val="14"/>
                <w:color w:val="auto"/>
              </w:rPr>
              <w:t>NUMBER</w:t>
            </w:r>
          </w:p>
        </w:tc>
        <w:tc>
          <w:tcPr>
            <w:tcW w:w="7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0" w:type="dxa"/>
            <w:vAlign w:val="bottom"/>
            <w:tcBorders>
              <w:bottom w:val="single" w:sz="8" w:color="auto"/>
            </w:tcBorders>
          </w:tcPr>
          <w:p>
            <w:pPr>
              <w:spacing w:after="0"/>
              <w:rPr>
                <w:sz w:val="2"/>
                <w:szCs w:val="2"/>
                <w:color w:val="auto"/>
              </w:rPr>
            </w:pPr>
          </w:p>
        </w:tc>
        <w:tc>
          <w:tcPr>
            <w:tcW w:w="7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0" w:type="dxa"/>
            <w:vAlign w:val="bottom"/>
          </w:tcPr>
          <w:p>
            <w:pPr>
              <w:ind w:left="20"/>
              <w:spacing w:after="0"/>
              <w:rPr>
                <w:sz w:val="20"/>
                <w:szCs w:val="20"/>
                <w:color w:val="auto"/>
              </w:rPr>
            </w:pPr>
            <w:r>
              <w:rPr>
                <w:rFonts w:ascii="Arial" w:cs="Arial" w:eastAsia="Arial" w:hAnsi="Arial"/>
                <w:sz w:val="16"/>
                <w:szCs w:val="16"/>
                <w:color w:val="auto"/>
              </w:rPr>
              <w:t>99.1</w:t>
            </w:r>
          </w:p>
        </w:tc>
        <w:tc>
          <w:tcPr>
            <w:tcW w:w="7860" w:type="dxa"/>
            <w:vAlign w:val="bottom"/>
            <w:vMerge w:val="restart"/>
          </w:tcPr>
          <w:p>
            <w:pPr>
              <w:ind w:left="180"/>
              <w:spacing w:after="0"/>
              <w:rPr>
                <w:sz w:val="20"/>
                <w:szCs w:val="20"/>
                <w:color w:val="auto"/>
              </w:rPr>
            </w:pPr>
            <w:r>
              <w:rPr>
                <w:rFonts w:ascii="Arial" w:cs="Arial" w:eastAsia="Arial" w:hAnsi="Arial"/>
                <w:sz w:val="16"/>
                <w:szCs w:val="16"/>
                <w:color w:val="auto"/>
                <w:w w:val="94"/>
              </w:rPr>
              <w:t>Press Release of Brady Corporation, dated November 19, 2015, relating to first quarter fiscal 2016 financial results</w:t>
            </w:r>
          </w:p>
        </w:tc>
        <w:tc>
          <w:tcPr>
            <w:tcW w:w="0" w:type="dxa"/>
            <w:vAlign w:val="bottom"/>
          </w:tcPr>
          <w:p>
            <w:pPr>
              <w:spacing w:after="0"/>
              <w:rPr>
                <w:sz w:val="1"/>
                <w:szCs w:val="1"/>
                <w:color w:val="auto"/>
              </w:rPr>
            </w:pPr>
          </w:p>
        </w:tc>
      </w:tr>
      <w:tr>
        <w:trPr>
          <w:trHeight w:val="60"/>
        </w:trPr>
        <w:tc>
          <w:tcPr>
            <w:tcW w:w="820" w:type="dxa"/>
            <w:vAlign w:val="bottom"/>
          </w:tcPr>
          <w:p>
            <w:pPr>
              <w:spacing w:after="0"/>
              <w:rPr>
                <w:sz w:val="5"/>
                <w:szCs w:val="5"/>
                <w:color w:val="auto"/>
              </w:rPr>
            </w:pPr>
          </w:p>
        </w:tc>
        <w:tc>
          <w:tcPr>
            <w:tcW w:w="7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7860" w:type="dxa"/>
            <w:vAlign w:val="bottom"/>
          </w:tcPr>
          <w:p>
            <w:pPr>
              <w:ind w:left="180"/>
              <w:spacing w:after="0"/>
              <w:rPr>
                <w:sz w:val="20"/>
                <w:szCs w:val="20"/>
                <w:color w:val="auto"/>
              </w:rPr>
            </w:pPr>
            <w:r>
              <w:rPr>
                <w:rFonts w:ascii="Arial" w:cs="Arial" w:eastAsia="Arial" w:hAnsi="Arial"/>
                <w:sz w:val="16"/>
                <w:szCs w:val="16"/>
                <w:color w:val="auto"/>
              </w:rPr>
              <w:t>and increase in share buyback program.</w:t>
            </w:r>
          </w:p>
        </w:tc>
        <w:tc>
          <w:tcPr>
            <w:tcW w:w="0" w:type="dxa"/>
            <w:vAlign w:val="bottom"/>
          </w:tcPr>
          <w:p>
            <w:pPr>
              <w:spacing w:after="0"/>
              <w:rPr>
                <w:sz w:val="1"/>
                <w:szCs w:val="1"/>
                <w:color w:val="auto"/>
              </w:rPr>
            </w:pPr>
          </w:p>
        </w:tc>
      </w:tr>
      <w:tr>
        <w:trPr>
          <w:trHeight w:val="639"/>
        </w:trPr>
        <w:tc>
          <w:tcPr>
            <w:tcW w:w="820" w:type="dxa"/>
            <w:vAlign w:val="bottom"/>
          </w:tcPr>
          <w:p>
            <w:pPr>
              <w:ind w:left="20"/>
              <w:spacing w:after="0"/>
              <w:rPr>
                <w:sz w:val="20"/>
                <w:szCs w:val="20"/>
                <w:color w:val="auto"/>
              </w:rPr>
            </w:pPr>
            <w:r>
              <w:rPr>
                <w:rFonts w:ascii="Arial" w:cs="Arial" w:eastAsia="Arial" w:hAnsi="Arial"/>
                <w:sz w:val="16"/>
                <w:szCs w:val="16"/>
                <w:color w:val="auto"/>
              </w:rPr>
              <w:t>99.2</w:t>
            </w:r>
          </w:p>
        </w:tc>
        <w:tc>
          <w:tcPr>
            <w:tcW w:w="7860" w:type="dxa"/>
            <w:vAlign w:val="bottom"/>
          </w:tcPr>
          <w:p>
            <w:pPr>
              <w:ind w:left="180"/>
              <w:spacing w:after="0"/>
              <w:rPr>
                <w:sz w:val="20"/>
                <w:szCs w:val="20"/>
                <w:color w:val="auto"/>
              </w:rPr>
            </w:pPr>
            <w:r>
              <w:rPr>
                <w:rFonts w:ascii="Arial" w:cs="Arial" w:eastAsia="Arial" w:hAnsi="Arial"/>
                <w:sz w:val="16"/>
                <w:szCs w:val="16"/>
                <w:color w:val="auto"/>
                <w:w w:val="95"/>
              </w:rPr>
              <w:t>Informational slides provided by Brady Corporation, dated November 19, 2015, relating to first quarter fiscal 2016</w:t>
            </w: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7860" w:type="dxa"/>
            <w:vAlign w:val="bottom"/>
          </w:tcPr>
          <w:p>
            <w:pPr>
              <w:ind w:left="18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bl>
    <w:p>
      <w:pPr>
        <w:sectPr>
          <w:pgSz w:w="11900" w:h="16838" w:orient="portrait"/>
          <w:cols w:equalWidth="0" w:num="1">
            <w:col w:w="10219"/>
          </w:cols>
          <w:pgMar w:left="240" w:top="73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Ann Thornton 414-438-6887</w:t>
      </w:r>
    </w:p>
    <w:p>
      <w:pPr>
        <w:spacing w:after="0"/>
        <w:rPr>
          <w:sz w:val="20"/>
          <w:szCs w:val="20"/>
          <w:color w:val="auto"/>
        </w:rPr>
      </w:pPr>
      <w:r>
        <w:rPr>
          <w:rFonts w:ascii="Arial" w:cs="Arial" w:eastAsia="Arial" w:hAnsi="Arial"/>
          <w:sz w:val="18"/>
          <w:szCs w:val="18"/>
          <w:color w:val="auto"/>
        </w:rPr>
        <w:t>Media contact: Carole Herbstreit 414-438-6882</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2016 First Quarter Results and Increases Share Buyback Program</w:t>
      </w:r>
    </w:p>
    <w:p>
      <w:pPr>
        <w:spacing w:after="0" w:line="245" w:lineRule="exact"/>
        <w:rPr>
          <w:sz w:val="20"/>
          <w:szCs w:val="20"/>
          <w:color w:val="auto"/>
        </w:rPr>
      </w:pPr>
    </w:p>
    <w:p>
      <w:pPr>
        <w:ind w:left="580" w:right="2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GAAP net earnings of $18.7 million in the first quarter of fiscal 2016 compared to GAAP and non-GAAP earnings from continuing operations* of $15.5 million and $18.4 million, respectively, in the same quarter of the prior year.</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First quarter organic revenue decline of 2.2 percent.</w:t>
      </w:r>
    </w:p>
    <w:p>
      <w:pPr>
        <w:spacing w:after="0" w:line="94" w:lineRule="exact"/>
        <w:rPr>
          <w:rFonts w:ascii="Arial" w:cs="Arial" w:eastAsia="Arial" w:hAnsi="Arial"/>
          <w:sz w:val="16"/>
          <w:szCs w:val="16"/>
          <w:color w:val="auto"/>
        </w:rPr>
      </w:pPr>
    </w:p>
    <w:p>
      <w:pPr>
        <w:ind w:left="580" w:right="20" w:hanging="294"/>
        <w:spacing w:after="0" w:line="419" w:lineRule="auto"/>
        <w:tabs>
          <w:tab w:leader="none" w:pos="580" w:val="left"/>
        </w:tabs>
        <w:numPr>
          <w:ilvl w:val="0"/>
          <w:numId w:val="2"/>
        </w:numPr>
        <w:rPr>
          <w:rFonts w:ascii="Arial" w:cs="Arial" w:eastAsia="Arial" w:hAnsi="Arial"/>
          <w:sz w:val="14"/>
          <w:szCs w:val="14"/>
          <w:color w:val="auto"/>
        </w:rPr>
      </w:pPr>
      <w:r>
        <w:rPr>
          <w:rFonts w:ascii="Arial" w:cs="Arial" w:eastAsia="Arial" w:hAnsi="Arial"/>
          <w:sz w:val="15"/>
          <w:szCs w:val="15"/>
          <w:color w:val="auto"/>
        </w:rPr>
        <w:t>Earnings per diluted Class A Nonvoting Common Share of $0.37 in the first quarter of fiscal 2016 compared to GAAP and non-GAAP earnings from continuing operations per diluted Class A Nonvoting Common Share* of $0.30 and $0.36, respectively, in the same quarter of the prior year.</w:t>
      </w: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Returned $16.2 million to shareholders through share repurchases and $10.2 million in the form of dividends.</w:t>
      </w:r>
    </w:p>
    <w:p>
      <w:pPr>
        <w:spacing w:after="0" w:line="94" w:lineRule="exact"/>
        <w:rPr>
          <w:rFonts w:ascii="Arial" w:cs="Arial" w:eastAsia="Arial" w:hAnsi="Arial"/>
          <w:sz w:val="16"/>
          <w:szCs w:val="16"/>
          <w:color w:val="auto"/>
        </w:rPr>
      </w:pPr>
    </w:p>
    <w:p>
      <w:pPr>
        <w:ind w:left="580" w:right="2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Net cash provided by operating activities was $30.4 million during the first quarter of fiscal 2016, compared to $18.6 million in the same quarter of the prior year.</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7"/>
          <w:szCs w:val="17"/>
          <w:color w:val="auto"/>
        </w:rPr>
        <w:t>Share buyback program increased to a total share repurchase authorization of up to 2 million shares of the Company’s Class A Common Stock.</w:t>
      </w:r>
    </w:p>
    <w:p>
      <w:pPr>
        <w:spacing w:after="0" w:line="384" w:lineRule="exact"/>
        <w:rPr>
          <w:sz w:val="20"/>
          <w:szCs w:val="20"/>
          <w:color w:val="auto"/>
        </w:rPr>
      </w:pPr>
    </w:p>
    <w:p>
      <w:pPr>
        <w:jc w:val="both"/>
        <w:ind w:right="20"/>
        <w:spacing w:after="0" w:line="368" w:lineRule="auto"/>
        <w:rPr>
          <w:sz w:val="20"/>
          <w:szCs w:val="20"/>
          <w:color w:val="auto"/>
        </w:rPr>
      </w:pPr>
      <w:r>
        <w:rPr>
          <w:rFonts w:ascii="Arial" w:cs="Arial" w:eastAsia="Arial" w:hAnsi="Arial"/>
          <w:sz w:val="18"/>
          <w:szCs w:val="18"/>
          <w:color w:val="auto"/>
        </w:rPr>
        <w:t>MILWAUKEE (November 19, 2015)--Brady Corporation (NYSE: BRC) (“Brady” or “Company”), a world leader in identification solutions, today reported its financial results for its fiscal 2016 first quarter ended October 31, 2015.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October 31, 2015 Financial Results:</w:t>
      </w:r>
    </w:p>
    <w:p>
      <w:pPr>
        <w:spacing w:after="0" w:line="101" w:lineRule="exact"/>
        <w:rPr>
          <w:sz w:val="20"/>
          <w:szCs w:val="20"/>
          <w:color w:val="auto"/>
        </w:rPr>
      </w:pPr>
    </w:p>
    <w:p>
      <w:pPr>
        <w:jc w:val="both"/>
        <w:ind w:right="20" w:firstLine="579"/>
        <w:spacing w:after="0" w:line="370" w:lineRule="auto"/>
        <w:rPr>
          <w:sz w:val="20"/>
          <w:szCs w:val="20"/>
          <w:color w:val="auto"/>
        </w:rPr>
      </w:pPr>
      <w:r>
        <w:rPr>
          <w:rFonts w:ascii="Arial" w:cs="Arial" w:eastAsia="Arial" w:hAnsi="Arial"/>
          <w:sz w:val="17"/>
          <w:szCs w:val="17"/>
          <w:color w:val="auto"/>
        </w:rPr>
        <w:t>Net earnings for the quarter ended October 31, 2015 were $18.7 million compared to earnings from continuing operations of $15.5 million in the same quarter last year. Non-GAAP earnings from continuing operations* were $18.4 million for the quarter ended October 31, 2014.</w:t>
      </w:r>
    </w:p>
    <w:p>
      <w:pPr>
        <w:jc w:val="both"/>
        <w:ind w:firstLine="579"/>
        <w:spacing w:after="0" w:line="349" w:lineRule="auto"/>
        <w:rPr>
          <w:sz w:val="20"/>
          <w:szCs w:val="20"/>
          <w:color w:val="auto"/>
        </w:rPr>
      </w:pPr>
      <w:r>
        <w:rPr>
          <w:rFonts w:ascii="Arial" w:cs="Arial" w:eastAsia="Arial" w:hAnsi="Arial"/>
          <w:sz w:val="18"/>
          <w:szCs w:val="18"/>
          <w:color w:val="auto"/>
        </w:rPr>
        <w:t>Earnings per diluted Class A Nonvoting Common Share were $0.37 for the first quarter ended October 31, 2015 compared to earnings from continuing operations per diluted Class A Nonvoting Common Share of $0.30 in the same quarter last year. Non-GAAP earnings from continuing operations per diluted Class A Nonvoting Common Share* were $0.36 for the quarter ended October 31, 2014.</w:t>
      </w:r>
    </w:p>
    <w:p>
      <w:pPr>
        <w:spacing w:after="0" w:line="2" w:lineRule="exact"/>
        <w:rPr>
          <w:sz w:val="20"/>
          <w:szCs w:val="20"/>
          <w:color w:val="auto"/>
        </w:rPr>
      </w:pPr>
    </w:p>
    <w:p>
      <w:pPr>
        <w:jc w:val="both"/>
        <w:ind w:right="20" w:firstLine="579"/>
        <w:spacing w:after="0" w:line="359" w:lineRule="auto"/>
        <w:rPr>
          <w:sz w:val="20"/>
          <w:szCs w:val="20"/>
          <w:color w:val="auto"/>
        </w:rPr>
      </w:pPr>
      <w:r>
        <w:rPr>
          <w:rFonts w:ascii="Arial" w:cs="Arial" w:eastAsia="Arial" w:hAnsi="Arial"/>
          <w:sz w:val="18"/>
          <w:szCs w:val="18"/>
          <w:color w:val="auto"/>
        </w:rPr>
        <w:t>Sales for the quarter ended October 31, 2015 decreased 8.8 percent to $283.1 million compared to $310.2 million in the first quarter of fiscal 2015. Total organic sales decreased 2.2 percent and foreign currency translation decreased sales by 6.6 percent. By segment, organic sales decreased 2.4 percent in Identification Solutions and decreased 1.7 percent in Workplace Safety.</w:t>
      </w:r>
    </w:p>
    <w:p>
      <w:pPr>
        <w:sectPr>
          <w:pgSz w:w="11900" w:h="16838" w:orient="portrait"/>
          <w:cols w:equalWidth="0" w:num="1">
            <w:col w:w="11440"/>
          </w:cols>
          <w:pgMar w:left="240" w:top="734"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Share Buyback Program:</w:t>
      </w:r>
    </w:p>
    <w:p>
      <w:pPr>
        <w:spacing w:after="0" w:line="101" w:lineRule="exact"/>
        <w:rPr>
          <w:sz w:val="20"/>
          <w:szCs w:val="20"/>
          <w:color w:val="auto"/>
        </w:rPr>
      </w:pPr>
    </w:p>
    <w:p>
      <w:pPr>
        <w:jc w:val="both"/>
        <w:ind w:firstLine="579"/>
        <w:spacing w:after="0" w:line="359" w:lineRule="auto"/>
        <w:rPr>
          <w:sz w:val="20"/>
          <w:szCs w:val="20"/>
          <w:color w:val="auto"/>
        </w:rPr>
      </w:pPr>
      <w:r>
        <w:rPr>
          <w:rFonts w:ascii="Arial" w:cs="Arial" w:eastAsia="Arial" w:hAnsi="Arial"/>
          <w:sz w:val="18"/>
          <w:szCs w:val="18"/>
          <w:color w:val="auto"/>
        </w:rPr>
        <w:t>On November 18, 2015, Brady’s Board of Directors authorized an increase in the Company’s share buyback program, authorizing the repurchase of up to a total of two million shares of the Company’s Class A Common Stock, inclusive of the shares in the existing share buyback program. The share buyback plan may be implemented from time to time on the open market or in privately negotiated transactions.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w:t>
      </w:r>
    </w:p>
    <w:p>
      <w:pPr>
        <w:spacing w:after="0" w:line="101" w:lineRule="exact"/>
        <w:rPr>
          <w:sz w:val="20"/>
          <w:szCs w:val="20"/>
          <w:color w:val="auto"/>
        </w:rPr>
      </w:pPr>
    </w:p>
    <w:p>
      <w:pPr>
        <w:jc w:val="both"/>
        <w:ind w:firstLine="579"/>
        <w:spacing w:after="0" w:line="370" w:lineRule="auto"/>
        <w:rPr>
          <w:sz w:val="20"/>
          <w:szCs w:val="20"/>
          <w:color w:val="auto"/>
        </w:rPr>
      </w:pPr>
      <w:r>
        <w:rPr>
          <w:rFonts w:ascii="Arial" w:cs="Arial" w:eastAsia="Arial" w:hAnsi="Arial"/>
          <w:sz w:val="17"/>
          <w:szCs w:val="17"/>
          <w:color w:val="auto"/>
        </w:rPr>
        <w:t>“We’re seeing positive gross margin and net earnings impacts from our activities to improve operational efficiencies. In addition, we’re making significant progress improving the overall buying experience for our customers, which as we’ve stated is a top priority for fiscal 2016,” said Brady’s President and Chief Executive Officer, J. Michael Nauman. “Organic sales declined in both business segments in the first quarter, and although we expect that our growth initiatives and slightly easier comparables will improve our year-over-year organic sales growth rate in the second half of the fiscal year, we ultimately expect organic sales growth to be challenged by macro-economic conditions in certain industrial markets and geographies, including North America. We will remain focused on enhancing efficiency and building an organization where local teams are empowered to own and are held accountable for their financial results, which will help us to successfully compete over the long term.”</w:t>
      </w:r>
    </w:p>
    <w:p>
      <w:pPr>
        <w:spacing w:after="0" w:line="1" w:lineRule="exact"/>
        <w:rPr>
          <w:sz w:val="20"/>
          <w:szCs w:val="20"/>
          <w:color w:val="auto"/>
        </w:rPr>
      </w:pPr>
    </w:p>
    <w:p>
      <w:pPr>
        <w:jc w:val="both"/>
        <w:ind w:right="20" w:firstLine="579"/>
        <w:spacing w:after="0" w:line="378" w:lineRule="auto"/>
        <w:rPr>
          <w:sz w:val="20"/>
          <w:szCs w:val="20"/>
          <w:color w:val="auto"/>
        </w:rPr>
      </w:pPr>
      <w:r>
        <w:rPr>
          <w:rFonts w:ascii="Arial" w:cs="Arial" w:eastAsia="Arial" w:hAnsi="Arial"/>
          <w:sz w:val="17"/>
          <w:szCs w:val="17"/>
          <w:color w:val="auto"/>
        </w:rPr>
        <w:t>“Our continuous drive to increase efficiency is offsetting the net earnings impact of our organic sales decline. We are seeing gross margin benefits from our activities to improve productivity and we are seeing steady improvements in selling, general and administrative expenses,” said Brady’s Chief Financial Officer, Aaron Pearce. “Our cash flow is strong. During the quarter ended October 31, 2015, we generated net cash from operating activities of $30.4 million, returned $10.2 million to our shareholders in the form of dividends, and repurchased 807,692 shares at an average price of $20 per share, all while maintaining our strong balance sheet with a conservative net debt-to-EBITDA ratio of 1.1 to 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Guidance:</w:t>
      </w:r>
    </w:p>
    <w:p>
      <w:pPr>
        <w:spacing w:after="0" w:line="101" w:lineRule="exact"/>
        <w:rPr>
          <w:sz w:val="20"/>
          <w:szCs w:val="20"/>
          <w:color w:val="auto"/>
        </w:rPr>
      </w:pPr>
    </w:p>
    <w:p>
      <w:pPr>
        <w:jc w:val="both"/>
        <w:ind w:right="20" w:firstLine="579"/>
        <w:spacing w:after="0" w:line="437" w:lineRule="auto"/>
        <w:rPr>
          <w:sz w:val="20"/>
          <w:szCs w:val="20"/>
          <w:color w:val="auto"/>
        </w:rPr>
      </w:pPr>
      <w:r>
        <w:rPr>
          <w:rFonts w:ascii="Arial" w:cs="Arial" w:eastAsia="Arial" w:hAnsi="Arial"/>
          <w:sz w:val="15"/>
          <w:szCs w:val="15"/>
          <w:color w:val="auto"/>
        </w:rPr>
        <w:t>The Company’s earnings per diluted Class A Nonvoting Common Share guidance for the year ending July 31, 2016 remains unchanged at $1.10 to $1.30. Included in this guidance is slightly down organic sales for the balance of fiscal 2016 which is reflective of economic challenges in certain industrial markets and geographies, including North America. Offsetting this weaker sales outlook are efficiency gains in the Company’s manufacturing facilities as well as increased efficiencies in selling, general, and administrative expenses. This guidance is based on exchange rates as of October 31, 2015, a full-year income tax rate in the upper 20 percent range, capital expenditures of approximately $25 million, and depreciation and amortization of up to approximately $40 million.</w:t>
      </w:r>
    </w:p>
    <w:p>
      <w:pPr>
        <w:spacing w:after="0" w:line="21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2016 first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ectPr>
          <w:pgSz w:w="11900" w:h="16838" w:orient="portrait"/>
          <w:cols w:equalWidth="0" w:num="1">
            <w:col w:w="11440"/>
          </w:cols>
          <w:pgMar w:left="240" w:top="577" w:right="219" w:bottom="1440" w:gutter="0" w:footer="0" w:header="0"/>
        </w:sectPr>
      </w:pPr>
    </w:p>
    <w:bookmarkStart w:id="6" w:name="page7"/>
    <w:bookmarkEnd w:id="6"/>
    <w:p>
      <w:pPr>
        <w:jc w:val="both"/>
        <w:ind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2015, employed approximately 6,400 people in its worldwide businesses. Brady’s fiscal 2015 sales were approximately $1.17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pacing w:after="0" w:line="2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See accompanying notes for Non-GAAP measures.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Workplace Safety strategy; Brady’s ability to develop and successfully market technologically advanced new products; risks associated with restructuring plans and maintaining acceptable operational service metrics; technology changes and potential security violations to the Company’s information technology systems; future competition; future financial performance of major markets Brady serves, which include, without limitation, telecommunications, hard disk drive, manufacturing, electrical, construction, laboratory, education, governmental, public utility, computer, healthcare and transportation; fluctuations in currency rates versus the U.S. dollar; risks associated with international operations; difficulties associated with exports; changes in the supply of, or price for, parts and components; increased price pressure from suppliers and customers; Brady’s ability to retain significant contracts and customers; risk associated with loss of key talent; risks associated with obtaining governmental approvals and maintaining regulatory compliance; risk associated with product liability claims; environmental, health and safety compliance costs and liabilities; potential write-offs of Brady’s substantial intangible assets; unforeseen tax consequences; risks associated with divestitures; risks associated with identifying, completing, and integrating acquisitions; risks associated with our ownership structure; Brady’s ability to maintain compliance with its debt covenants; increase in our level of debt;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2015.</w:t>
      </w:r>
    </w:p>
    <w:p>
      <w:pPr>
        <w:spacing w:after="0" w:line="166"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40"/>
          </w:cols>
          <w:pgMar w:left="240" w:top="583" w:right="2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4"/>
          </w:tcPr>
          <w:p>
            <w:pPr>
              <w:jc w:val="right"/>
              <w:ind w:right="188"/>
              <w:spacing w:after="0"/>
              <w:rPr>
                <w:sz w:val="20"/>
                <w:szCs w:val="20"/>
                <w:color w:val="auto"/>
              </w:rPr>
            </w:pPr>
            <w:r>
              <w:rPr>
                <w:rFonts w:ascii="Arial" w:cs="Arial" w:eastAsia="Arial" w:hAnsi="Arial"/>
                <w:sz w:val="14"/>
                <w:szCs w:val="14"/>
                <w:color w:val="auto"/>
                <w:w w:val="95"/>
              </w:rPr>
              <w:t>Three months ended October 31,</w:t>
            </w:r>
          </w:p>
        </w:tc>
      </w:tr>
      <w:tr>
        <w:trPr>
          <w:trHeight w:val="30"/>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3"/>
        </w:trPr>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2014</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283,073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310,240</w:t>
            </w: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143,724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160,079</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139,349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150,161</w:t>
            </w: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8,569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9,631</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100,678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109,279</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Restructuring charges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4,278</w:t>
            </w:r>
          </w:p>
        </w:tc>
      </w:tr>
      <w:tr>
        <w:trPr>
          <w:trHeight w:val="191"/>
        </w:trPr>
        <w:tc>
          <w:tcPr>
            <w:tcW w:w="62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109,247</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123,188</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30,102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26,973</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Investment and other (expense) income</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323</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(2,891)</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27,192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24,405</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8,489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8,906</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continuing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18,703</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15,499</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Loss from discontinued operations, net of income taxes</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(1,915)</w:t>
            </w:r>
          </w:p>
        </w:tc>
      </w:tr>
      <w:tr>
        <w:trPr>
          <w:trHeight w:val="30"/>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3"/>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61"/>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18,703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13,584</w:t>
            </w:r>
          </w:p>
        </w:tc>
      </w:tr>
      <w:tr>
        <w:trPr>
          <w:trHeight w:val="225"/>
        </w:trPr>
        <w:tc>
          <w:tcPr>
            <w:tcW w:w="6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A Nonvoting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0.30</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0.30</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B 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0.29</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0.29</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Loss from discontinued operations per Class A Nonvoting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Loss from discontinued operations per Class B 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(0.04)</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Net Earnings per Class A Nonvoting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0.27</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0.26</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r>
      <w:tr>
        <w:trPr>
          <w:trHeight w:val="241"/>
        </w:trPr>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per Class B Voting Common Share:</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0.25</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0.25</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0.18</w:t>
            </w: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1"/>
        </w:trPr>
        <w:tc>
          <w:tcPr>
            <w:tcW w:w="624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0"/>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51,029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51,251</w:t>
            </w:r>
          </w:p>
        </w:tc>
      </w:tr>
      <w:tr>
        <w:trPr>
          <w:trHeight w:val="211"/>
        </w:trPr>
        <w:tc>
          <w:tcPr>
            <w:tcW w:w="6240" w:type="dxa"/>
            <w:vAlign w:val="bottom"/>
          </w:tcPr>
          <w:p>
            <w:pPr>
              <w:ind w:left="24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51,089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51,313</w:t>
            </w:r>
          </w:p>
        </w:tc>
      </w:tr>
    </w:tbl>
    <w:p>
      <w:pPr>
        <w:sectPr>
          <w:pgSz w:w="11900" w:h="16838" w:orient="portrait"/>
          <w:cols w:equalWidth="0" w:num="1">
            <w:col w:w="10219"/>
          </w:cols>
          <w:pgMar w:left="240" w:top="537"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color w:val="auto"/>
              </w:rPr>
              <w:t>October 31, 2015</w:t>
            </w:r>
          </w:p>
        </w:tc>
        <w:tc>
          <w:tcPr>
            <w:tcW w:w="140" w:type="dxa"/>
            <w:vAlign w:val="bottom"/>
          </w:tcPr>
          <w:p>
            <w:pPr>
              <w:spacing w:after="0"/>
              <w:rPr>
                <w:sz w:val="15"/>
                <w:szCs w:val="15"/>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w w:val="96"/>
              </w:rPr>
              <w:t>July 31, 2015</w:t>
            </w: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13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ASSETS</w:t>
            </w:r>
          </w:p>
        </w:tc>
        <w:tc>
          <w:tcPr>
            <w:tcW w:w="284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110,610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114,492</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Accounts receivable—net</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159,174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157,386</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1"/>
        </w:trPr>
        <w:tc>
          <w:tcPr>
            <w:tcW w:w="6240" w:type="dxa"/>
            <w:vAlign w:val="bottom"/>
            <w:gridSpan w:val="5"/>
          </w:tcPr>
          <w:p>
            <w:pPr>
              <w:ind w:left="520"/>
              <w:spacing w:after="0"/>
              <w:rPr>
                <w:sz w:val="20"/>
                <w:szCs w:val="20"/>
                <w:color w:val="auto"/>
              </w:rPr>
            </w:pPr>
            <w:r>
              <w:rPr>
                <w:rFonts w:ascii="Arial" w:cs="Arial" w:eastAsia="Arial" w:hAnsi="Arial"/>
                <w:sz w:val="14"/>
                <w:szCs w:val="14"/>
                <w:color w:val="auto"/>
              </w:rPr>
              <w:t>Finished products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66,700</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color w:val="auto"/>
              </w:rPr>
              <w:t>Work-in-process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17,458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16,958</w:t>
            </w:r>
          </w:p>
        </w:tc>
      </w:tr>
      <w:tr>
        <w:trPr>
          <w:trHeight w:val="211"/>
        </w:trPr>
        <w:tc>
          <w:tcPr>
            <w:tcW w:w="6240" w:type="dxa"/>
            <w:vAlign w:val="bottom"/>
            <w:gridSpan w:val="5"/>
          </w:tcPr>
          <w:p>
            <w:pPr>
              <w:ind w:left="520"/>
              <w:spacing w:after="0"/>
              <w:rPr>
                <w:sz w:val="20"/>
                <w:szCs w:val="20"/>
                <w:color w:val="auto"/>
              </w:rPr>
            </w:pPr>
            <w:r>
              <w:rPr>
                <w:rFonts w:ascii="Arial" w:cs="Arial" w:eastAsia="Arial" w:hAnsi="Arial"/>
                <w:sz w:val="14"/>
                <w:szCs w:val="14"/>
                <w:color w:val="auto"/>
              </w:rPr>
              <w:t>Raw materials and supplies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21,059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20,849</w:t>
            </w: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gridSpan w:val="5"/>
            <w:shd w:val="clear" w:color="auto" w:fill="CCEEFF"/>
          </w:tcPr>
          <w:p>
            <w:pPr>
              <w:ind w:left="820"/>
              <w:spacing w:after="0"/>
              <w:rPr>
                <w:sz w:val="20"/>
                <w:szCs w:val="20"/>
                <w:color w:val="auto"/>
              </w:rPr>
            </w:pPr>
            <w:r>
              <w:rPr>
                <w:rFonts w:ascii="Arial" w:cs="Arial" w:eastAsia="Arial" w:hAnsi="Arial"/>
                <w:sz w:val="14"/>
                <w:szCs w:val="14"/>
                <w:color w:val="auto"/>
              </w:rPr>
              <w:t>Total inventories</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102,017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104,507</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35,407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32,197</w:t>
            </w: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Total current assets</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407,208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408,582</w:t>
            </w: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assets: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430,972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433,199</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Other intangible assets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66,242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68,888</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20,811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22,310</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17,508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18,704</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Cost: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color w:val="auto"/>
              </w:rPr>
              <w:t>Land</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5,284</w:t>
            </w:r>
          </w:p>
        </w:tc>
      </w:tr>
      <w:tr>
        <w:trPr>
          <w:trHeight w:val="211"/>
        </w:trPr>
        <w:tc>
          <w:tcPr>
            <w:tcW w:w="6240" w:type="dxa"/>
            <w:vAlign w:val="bottom"/>
            <w:gridSpan w:val="5"/>
          </w:tcPr>
          <w:p>
            <w:pPr>
              <w:ind w:left="520"/>
              <w:spacing w:after="0"/>
              <w:rPr>
                <w:sz w:val="20"/>
                <w:szCs w:val="20"/>
                <w:color w:val="auto"/>
              </w:rPr>
            </w:pPr>
            <w:r>
              <w:rPr>
                <w:rFonts w:ascii="Arial" w:cs="Arial" w:eastAsia="Arial" w:hAnsi="Arial"/>
                <w:sz w:val="14"/>
                <w:szCs w:val="14"/>
                <w:color w:val="auto"/>
              </w:rPr>
              <w:t>Buildings and improvements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93,803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94,423</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color w:val="auto"/>
              </w:rPr>
              <w:t>Machinery and equipment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257,602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270,086</w:t>
            </w:r>
          </w:p>
        </w:tc>
      </w:tr>
      <w:tr>
        <w:trPr>
          <w:trHeight w:val="211"/>
        </w:trPr>
        <w:tc>
          <w:tcPr>
            <w:tcW w:w="6240" w:type="dxa"/>
            <w:vAlign w:val="bottom"/>
            <w:gridSpan w:val="5"/>
          </w:tcPr>
          <w:p>
            <w:pPr>
              <w:ind w:left="520"/>
              <w:spacing w:after="0"/>
              <w:rPr>
                <w:sz w:val="20"/>
                <w:szCs w:val="20"/>
                <w:color w:val="auto"/>
              </w:rPr>
            </w:pPr>
            <w:r>
              <w:rPr>
                <w:rFonts w:ascii="Arial" w:cs="Arial" w:eastAsia="Arial" w:hAnsi="Arial"/>
                <w:sz w:val="14"/>
                <w:szCs w:val="14"/>
                <w:color w:val="auto"/>
              </w:rPr>
              <w:t>Construction in progress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2,901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2,164</w:t>
            </w: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13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359,403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371,957</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Less accumulated depreciation</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253,295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260,743</w:t>
            </w: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Property, plant and equipment—net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106,108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111,214</w:t>
            </w:r>
          </w:p>
        </w:tc>
      </w:tr>
      <w:tr>
        <w:trPr>
          <w:trHeight w:val="253"/>
        </w:trPr>
        <w:tc>
          <w:tcPr>
            <w:tcW w:w="6240" w:type="dxa"/>
            <w:vAlign w:val="bottom"/>
            <w:tcBorders>
              <w:bottom w:val="single" w:sz="8" w:color="CCEEFF"/>
            </w:tcBorders>
            <w:gridSpan w:val="5"/>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1,048,849</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1,062,897</w:t>
            </w:r>
          </w:p>
        </w:tc>
      </w:tr>
      <w:tr>
        <w:trPr>
          <w:trHeight w:val="205"/>
        </w:trPr>
        <w:tc>
          <w:tcPr>
            <w:tcW w:w="134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rPr>
              <w:t>LIABILITIES AND STOCKHOLDERS’ INVESTMENT</w:t>
            </w:r>
          </w:p>
        </w:tc>
        <w:tc>
          <w:tcPr>
            <w:tcW w:w="1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Notes payable</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9,173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10,411</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72,703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73,020</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Wages and amounts withheld from employees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29,726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30,282</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Taxes, other than income taxes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7,250</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Accrued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9,609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7,576</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Other current liabilities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41,723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38,194</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Current maturities on long-term debt</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42,514</w:t>
            </w:r>
          </w:p>
        </w:tc>
      </w:tr>
      <w:tr>
        <w:trPr>
          <w:trHeight w:val="191"/>
        </w:trPr>
        <w:tc>
          <w:tcPr>
            <w:tcW w:w="6240" w:type="dxa"/>
            <w:vAlign w:val="bottom"/>
            <w:gridSpan w:val="5"/>
          </w:tcPr>
          <w:p>
            <w:pPr>
              <w:ind w:left="520"/>
              <w:spacing w:after="0"/>
              <w:rPr>
                <w:sz w:val="20"/>
                <w:szCs w:val="20"/>
                <w:color w:val="auto"/>
              </w:rPr>
            </w:pPr>
            <w:r>
              <w:rPr>
                <w:rFonts w:ascii="Arial" w:cs="Arial" w:eastAsia="Arial" w:hAnsi="Arial"/>
                <w:sz w:val="14"/>
                <w:szCs w:val="14"/>
                <w:b w:val="1"/>
                <w:bCs w:val="1"/>
                <w:color w:val="auto"/>
              </w:rPr>
              <w:t>Total current liabilities</w:t>
            </w: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169,960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209,247</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Long-term obligations, less current maturities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241,434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200,774</w:t>
            </w: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liabilities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64,697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65,188</w:t>
            </w: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Total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476,091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475,209</w:t>
            </w:r>
          </w:p>
        </w:tc>
      </w:tr>
      <w:tr>
        <w:trPr>
          <w:trHeight w:val="211"/>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Stockholders’ investment: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Common stock:</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197"/>
        </w:trPr>
        <w:tc>
          <w:tcPr>
            <w:tcW w:w="6240" w:type="dxa"/>
            <w:vAlign w:val="bottom"/>
            <w:gridSpan w:val="5"/>
          </w:tcPr>
          <w:p>
            <w:pPr>
              <w:ind w:left="520"/>
              <w:spacing w:after="0"/>
              <w:rPr>
                <w:sz w:val="20"/>
                <w:szCs w:val="20"/>
                <w:color w:val="auto"/>
              </w:rPr>
            </w:pPr>
            <w:r>
              <w:rPr>
                <w:rFonts w:ascii="Arial" w:cs="Arial" w:eastAsia="Arial" w:hAnsi="Arial"/>
                <w:sz w:val="14"/>
                <w:szCs w:val="14"/>
                <w:color w:val="auto"/>
                <w:w w:val="96"/>
              </w:rPr>
              <w:t>Class A nonvoting common stock—Issued 51,261,487 and 51,261,487 shares, respectively and</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3"/>
        </w:trPr>
        <w:tc>
          <w:tcPr>
            <w:tcW w:w="6240" w:type="dxa"/>
            <w:vAlign w:val="bottom"/>
            <w:gridSpan w:val="5"/>
          </w:tcPr>
          <w:p>
            <w:pPr>
              <w:ind w:left="520"/>
              <w:spacing w:after="0"/>
              <w:rPr>
                <w:sz w:val="20"/>
                <w:szCs w:val="20"/>
                <w:color w:val="auto"/>
              </w:rPr>
            </w:pPr>
            <w:r>
              <w:rPr>
                <w:rFonts w:ascii="Arial" w:cs="Arial" w:eastAsia="Arial" w:hAnsi="Arial"/>
                <w:sz w:val="14"/>
                <w:szCs w:val="14"/>
                <w:color w:val="auto"/>
              </w:rPr>
              <w:t>outstanding 47,040,129 and 47,781,184 shares, respectively</w:t>
            </w:r>
          </w:p>
        </w:tc>
        <w:tc>
          <w:tcPr>
            <w:tcW w:w="3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513</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color w:val="auto"/>
              </w:rPr>
              <w:t>Class B voting common stock—Issued and outstanding, 3,538,628 shares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313,879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314,403</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Earnings retained in the business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422,589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414,069</w:t>
            </w:r>
          </w:p>
        </w:tc>
      </w:tr>
      <w:tr>
        <w:trPr>
          <w:trHeight w:val="197"/>
        </w:trPr>
        <w:tc>
          <w:tcPr>
            <w:tcW w:w="6240" w:type="dxa"/>
            <w:vAlign w:val="bottom"/>
            <w:gridSpan w:val="5"/>
          </w:tcPr>
          <w:p>
            <w:pPr>
              <w:ind w:left="340"/>
              <w:spacing w:after="0"/>
              <w:rPr>
                <w:sz w:val="20"/>
                <w:szCs w:val="20"/>
                <w:color w:val="auto"/>
              </w:rPr>
            </w:pPr>
            <w:r>
              <w:rPr>
                <w:rFonts w:ascii="Arial" w:cs="Arial" w:eastAsia="Arial" w:hAnsi="Arial"/>
                <w:sz w:val="14"/>
                <w:szCs w:val="14"/>
                <w:color w:val="auto"/>
                <w:w w:val="94"/>
              </w:rPr>
              <w:t>Treasury stock—4,221,358 and 3,480,303 shares, respectively of Class A nonvoting common stock,</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3"/>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at cost</w:t>
            </w: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(107,420)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(93,234)</w:t>
            </w:r>
          </w:p>
        </w:tc>
      </w:tr>
      <w:tr>
        <w:trPr>
          <w:trHeight w:val="30"/>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(53,426)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(45,034)</w:t>
            </w:r>
          </w:p>
        </w:tc>
      </w:tr>
      <w:tr>
        <w:trPr>
          <w:trHeight w:val="211"/>
        </w:trPr>
        <w:tc>
          <w:tcPr>
            <w:tcW w:w="6240" w:type="dxa"/>
            <w:vAlign w:val="bottom"/>
            <w:gridSpan w:val="5"/>
          </w:tcPr>
          <w:p>
            <w:pPr>
              <w:ind w:left="34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(3,064)</w:t>
            </w:r>
          </w:p>
        </w:tc>
      </w:tr>
      <w:tr>
        <w:trPr>
          <w:trHeight w:val="30"/>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Total stockholders’ investment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572,758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587,688</w:t>
            </w:r>
          </w:p>
        </w:tc>
      </w:tr>
      <w:tr>
        <w:trPr>
          <w:trHeight w:val="213"/>
        </w:trPr>
        <w:tc>
          <w:tcPr>
            <w:tcW w:w="624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1,048,849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1,062,897</w:t>
            </w:r>
          </w:p>
        </w:tc>
      </w:tr>
      <w:tr>
        <w:trPr>
          <w:trHeight w:val="20"/>
        </w:trPr>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4"/>
          </w:tcPr>
          <w:p>
            <w:pPr>
              <w:jc w:val="right"/>
              <w:ind w:right="88"/>
              <w:spacing w:after="0"/>
              <w:rPr>
                <w:sz w:val="20"/>
                <w:szCs w:val="20"/>
                <w:color w:val="auto"/>
              </w:rPr>
            </w:pPr>
            <w:r>
              <w:rPr>
                <w:rFonts w:ascii="Arial" w:cs="Arial" w:eastAsia="Arial" w:hAnsi="Arial"/>
                <w:sz w:val="14"/>
                <w:szCs w:val="14"/>
                <w:color w:val="auto"/>
                <w:w w:val="93"/>
              </w:rPr>
              <w:t>Three months ended October 31,</w:t>
            </w:r>
          </w:p>
        </w:tc>
      </w:tr>
      <w:tr>
        <w:trPr>
          <w:trHeight w:val="30"/>
        </w:trPr>
        <w:tc>
          <w:tcPr>
            <w:tcW w:w="6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6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2014</w:t>
            </w:r>
          </w:p>
        </w:tc>
      </w:tr>
      <w:tr>
        <w:trPr>
          <w:trHeight w:val="30"/>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18,703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13,584</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8,889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10,123</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Non-cash portion of stock-based compensation expense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2,596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1,319</w:t>
            </w: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Non-cash portion of restructuring charges</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196</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Loss on sale of business, net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2,346</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 (net of effects of business acquisitions/divestitures):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(3,916)</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1,368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(7,077)</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(2,999)</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Accounts payable and accrued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2,402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2,897</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1,705</w:t>
            </w:r>
          </w:p>
        </w:tc>
      </w:tr>
      <w:tr>
        <w:trPr>
          <w:trHeight w:val="30"/>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30,370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18,604</w:t>
            </w:r>
          </w:p>
        </w:tc>
      </w:tr>
      <w:tr>
        <w:trPr>
          <w:trHeight w:val="253"/>
        </w:trPr>
        <w:tc>
          <w:tcPr>
            <w:tcW w:w="6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Purchases of property, plant and equipment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(11,451)</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Sale of business, net of cash retained</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8,771</w:t>
            </w: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592</w:t>
            </w:r>
          </w:p>
        </w:tc>
      </w:tr>
      <w:tr>
        <w:trPr>
          <w:trHeight w:val="30"/>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(2,088)</w:t>
            </w:r>
          </w:p>
        </w:tc>
      </w:tr>
      <w:tr>
        <w:trPr>
          <w:trHeight w:val="253"/>
        </w:trPr>
        <w:tc>
          <w:tcPr>
            <w:tcW w:w="6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Payment of dividends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(10,191)</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Proceeds from issuance of common stock</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Purchase of treasury stock</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(16,160)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(repayments) proceeds from borrowings on credit facilities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33,286</w:t>
            </w: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Debt issuance costs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Income tax on equity-based compensation, and other</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(1,296)</w:t>
            </w:r>
          </w:p>
        </w:tc>
      </w:tr>
      <w:tr>
        <w:trPr>
          <w:trHeight w:val="191"/>
        </w:trPr>
        <w:tc>
          <w:tcPr>
            <w:tcW w:w="6440" w:type="dxa"/>
            <w:vAlign w:val="bottom"/>
          </w:tcPr>
          <w:p>
            <w:pPr>
              <w:ind w:left="920"/>
              <w:spacing w:after="0"/>
              <w:rPr>
                <w:sz w:val="20"/>
                <w:szCs w:val="20"/>
                <w:color w:val="auto"/>
              </w:rPr>
            </w:pPr>
            <w:r>
              <w:rPr>
                <w:rFonts w:ascii="Arial" w:cs="Arial" w:eastAsia="Arial" w:hAnsi="Arial"/>
                <w:sz w:val="14"/>
                <w:szCs w:val="14"/>
                <w:color w:val="auto"/>
              </w:rPr>
              <w:t>Net cash (used in) provided by financing activities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(30,891)</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21,890</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(3,766)</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34,640</w:t>
            </w: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114,492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81,834</w:t>
            </w:r>
          </w:p>
        </w:tc>
      </w:tr>
      <w:tr>
        <w:trPr>
          <w:trHeight w:val="245"/>
        </w:trPr>
        <w:tc>
          <w:tcPr>
            <w:tcW w:w="64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110,610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116,474</w:t>
            </w: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6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1"/>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Supplemental disclosures: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spacing w:after="0"/>
              <w:rPr>
                <w:sz w:val="20"/>
                <w:szCs w:val="20"/>
                <w:color w:val="auto"/>
              </w:rPr>
            </w:pPr>
            <w:r>
              <w:rPr>
                <w:rFonts w:ascii="Arial" w:cs="Arial" w:eastAsia="Arial" w:hAnsi="Arial"/>
                <w:sz w:val="14"/>
                <w:szCs w:val="14"/>
                <w:color w:val="auto"/>
              </w:rPr>
              <w:t>Cash paid during the period for:</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2,144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3,032</w:t>
            </w: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Income taxes, net of refunds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7,323</w:t>
            </w:r>
          </w:p>
        </w:tc>
      </w:tr>
    </w:tbl>
    <w:p>
      <w:pPr>
        <w:sectPr>
          <w:pgSz w:w="11900" w:h="16838" w:orient="portrait"/>
          <w:cols w:equalWidth="0" w:num="1">
            <w:col w:w="10219"/>
          </w:cols>
          <w:pgMar w:left="240" w:top="537"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4"/>
          </w:tcPr>
          <w:p>
            <w:pPr>
              <w:jc w:val="right"/>
              <w:ind w:right="68"/>
              <w:spacing w:after="0"/>
              <w:rPr>
                <w:sz w:val="20"/>
                <w:szCs w:val="20"/>
                <w:color w:val="auto"/>
              </w:rPr>
            </w:pPr>
            <w:r>
              <w:rPr>
                <w:rFonts w:ascii="Arial" w:cs="Arial" w:eastAsia="Arial" w:hAnsi="Arial"/>
                <w:sz w:val="14"/>
                <w:szCs w:val="14"/>
                <w:color w:val="auto"/>
                <w:w w:val="92"/>
              </w:rPr>
              <w:t>Three months ended October 31,</w:t>
            </w:r>
          </w:p>
        </w:tc>
      </w:tr>
      <w:tr>
        <w:trPr>
          <w:trHeight w:val="30"/>
        </w:trPr>
        <w:tc>
          <w:tcPr>
            <w:tcW w:w="6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3"/>
        </w:trPr>
        <w:tc>
          <w:tcPr>
            <w:tcW w:w="6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2014</w:t>
            </w:r>
          </w:p>
        </w:tc>
      </w:tr>
      <w:tr>
        <w:trPr>
          <w:trHeight w:val="30"/>
        </w:trPr>
        <w:tc>
          <w:tcPr>
            <w:tcW w:w="6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 TO EXTERNAL CUSTOMERS</w:t>
            </w: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211"/>
        </w:trPr>
        <w:tc>
          <w:tcPr>
            <w:tcW w:w="64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196,327</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212,097</w:t>
            </w:r>
          </w:p>
        </w:tc>
      </w:tr>
      <w:tr>
        <w:trPr>
          <w:trHeight w:val="30"/>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86,746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98,143</w:t>
            </w:r>
          </w:p>
        </w:tc>
      </w:tr>
      <w:tr>
        <w:trPr>
          <w:trHeight w:val="253"/>
        </w:trPr>
        <w:tc>
          <w:tcPr>
            <w:tcW w:w="64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Company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283,073</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310,240</w:t>
            </w:r>
          </w:p>
        </w:tc>
      </w:tr>
      <w:tr>
        <w:trPr>
          <w:trHeight w:val="213"/>
        </w:trPr>
        <w:tc>
          <w:tcPr>
            <w:tcW w:w="6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bl>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ind w:left="20"/>
              <w:spacing w:after="0"/>
              <w:rPr>
                <w:sz w:val="20"/>
                <w:szCs w:val="20"/>
                <w:color w:val="auto"/>
              </w:rPr>
            </w:pPr>
            <w:r>
              <w:rPr>
                <w:rFonts w:ascii="Arial" w:cs="Arial" w:eastAsia="Arial" w:hAnsi="Arial"/>
                <w:sz w:val="14"/>
                <w:szCs w:val="14"/>
                <w:b w:val="1"/>
                <w:bCs w:val="1"/>
                <w:color w:val="auto"/>
              </w:rPr>
              <w:t>SALES INFORMATION</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0"/>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ID Solutions</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1"/>
        </w:trPr>
        <w:tc>
          <w:tcPr>
            <w:tcW w:w="6480" w:type="dxa"/>
            <w:vAlign w:val="bottom"/>
          </w:tcPr>
          <w:p>
            <w:pPr>
              <w:ind w:left="340"/>
              <w:spacing w:after="0"/>
              <w:rPr>
                <w:sz w:val="20"/>
                <w:szCs w:val="20"/>
                <w:color w:val="auto"/>
              </w:rPr>
            </w:pPr>
            <w:r>
              <w:rPr>
                <w:rFonts w:ascii="Arial" w:cs="Arial" w:eastAsia="Arial" w:hAnsi="Arial"/>
                <w:sz w:val="14"/>
                <w:szCs w:val="14"/>
                <w:color w:val="auto"/>
              </w:rPr>
              <w:t>Organic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2.4 %</w:t>
            </w:r>
          </w:p>
        </w:tc>
      </w:tr>
      <w:tr>
        <w:trPr>
          <w:trHeight w:val="30"/>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Currency</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53"/>
        </w:trPr>
        <w:tc>
          <w:tcPr>
            <w:tcW w:w="64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1.2 %</w:t>
            </w:r>
          </w:p>
        </w:tc>
      </w:tr>
      <w:tr>
        <w:trPr>
          <w:trHeight w:val="213"/>
        </w:trPr>
        <w:tc>
          <w:tcPr>
            <w:tcW w:w="6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9"/>
        </w:trPr>
        <w:tc>
          <w:tcPr>
            <w:tcW w:w="6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Workplace Safety</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0"/>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Organic</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2.4 %</w:t>
            </w:r>
          </w:p>
        </w:tc>
      </w:tr>
      <w:tr>
        <w:trPr>
          <w:trHeight w:val="211"/>
        </w:trPr>
        <w:tc>
          <w:tcPr>
            <w:tcW w:w="6480" w:type="dxa"/>
            <w:vAlign w:val="bottom"/>
          </w:tcPr>
          <w:p>
            <w:pPr>
              <w:ind w:left="340"/>
              <w:spacing w:after="0"/>
              <w:rPr>
                <w:sz w:val="20"/>
                <w:szCs w:val="20"/>
                <w:color w:val="auto"/>
              </w:rPr>
            </w:pPr>
            <w:r>
              <w:rPr>
                <w:rFonts w:ascii="Arial" w:cs="Arial" w:eastAsia="Arial" w:hAnsi="Arial"/>
                <w:sz w:val="14"/>
                <w:szCs w:val="14"/>
                <w:color w:val="auto"/>
              </w:rPr>
              <w:t>Currency</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30"/>
        </w:trPr>
        <w:tc>
          <w:tcPr>
            <w:tcW w:w="6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0.2 %</w:t>
            </w: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3"/>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Total Company</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1"/>
        </w:trPr>
        <w:tc>
          <w:tcPr>
            <w:tcW w:w="6480" w:type="dxa"/>
            <w:vAlign w:val="bottom"/>
          </w:tcPr>
          <w:p>
            <w:pPr>
              <w:ind w:left="340"/>
              <w:spacing w:after="0"/>
              <w:rPr>
                <w:sz w:val="20"/>
                <w:szCs w:val="20"/>
                <w:color w:val="auto"/>
              </w:rPr>
            </w:pPr>
            <w:r>
              <w:rPr>
                <w:rFonts w:ascii="Arial" w:cs="Arial" w:eastAsia="Arial" w:hAnsi="Arial"/>
                <w:sz w:val="14"/>
                <w:szCs w:val="14"/>
                <w:color w:val="auto"/>
              </w:rPr>
              <w:t>Organic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2.4 %</w:t>
            </w:r>
          </w:p>
        </w:tc>
      </w:tr>
      <w:tr>
        <w:trPr>
          <w:trHeight w:val="30"/>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Currency</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53"/>
        </w:trPr>
        <w:tc>
          <w:tcPr>
            <w:tcW w:w="64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0.9 %</w:t>
            </w:r>
          </w:p>
        </w:tc>
      </w:tr>
      <w:tr>
        <w:trPr>
          <w:trHeight w:val="213"/>
        </w:trPr>
        <w:tc>
          <w:tcPr>
            <w:tcW w:w="6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9"/>
        </w:trPr>
        <w:tc>
          <w:tcPr>
            <w:tcW w:w="6480" w:type="dxa"/>
            <w:vAlign w:val="bottom"/>
          </w:tcPr>
          <w:p>
            <w:pPr>
              <w:ind w:left="20"/>
              <w:spacing w:after="0"/>
              <w:rPr>
                <w:sz w:val="20"/>
                <w:szCs w:val="20"/>
                <w:color w:val="auto"/>
              </w:rPr>
            </w:pPr>
            <w:r>
              <w:rPr>
                <w:rFonts w:ascii="Arial" w:cs="Arial" w:eastAsia="Arial" w:hAnsi="Arial"/>
                <w:sz w:val="14"/>
                <w:szCs w:val="14"/>
                <w:b w:val="1"/>
                <w:bCs w:val="1"/>
                <w:color w:val="auto"/>
              </w:rPr>
              <w:t>SEGMENT PROFIT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0"/>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ID Solutions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40,004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43,467</w:t>
            </w:r>
          </w:p>
        </w:tc>
      </w:tr>
      <w:tr>
        <w:trPr>
          <w:trHeight w:val="211"/>
        </w:trPr>
        <w:tc>
          <w:tcPr>
            <w:tcW w:w="6480" w:type="dxa"/>
            <w:vAlign w:val="bottom"/>
          </w:tcPr>
          <w:p>
            <w:pPr>
              <w:ind w:left="340"/>
              <w:spacing w:after="0"/>
              <w:rPr>
                <w:sz w:val="20"/>
                <w:szCs w:val="20"/>
                <w:color w:val="auto"/>
              </w:rPr>
            </w:pPr>
            <w:r>
              <w:rPr>
                <w:rFonts w:ascii="Arial" w:cs="Arial" w:eastAsia="Arial" w:hAnsi="Arial"/>
                <w:sz w:val="14"/>
                <w:szCs w:val="14"/>
                <w:color w:val="auto"/>
              </w:rPr>
              <w:t>Workplace Safety</w:t>
            </w:r>
          </w:p>
        </w:tc>
        <w:tc>
          <w:tcPr>
            <w:tcW w:w="140" w:type="dxa"/>
            <w:vAlign w:val="bottom"/>
          </w:tcPr>
          <w:p>
            <w:pPr>
              <w:spacing w:after="0"/>
              <w:rPr>
                <w:sz w:val="18"/>
                <w:szCs w:val="18"/>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16,664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15,539</w:t>
            </w:r>
          </w:p>
        </w:tc>
      </w:tr>
      <w:tr>
        <w:trPr>
          <w:trHeight w:val="30"/>
        </w:trPr>
        <w:tc>
          <w:tcPr>
            <w:tcW w:w="6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56,668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59,006</w:t>
            </w: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3"/>
        </w:trPr>
        <w:tc>
          <w:tcPr>
            <w:tcW w:w="6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PROFIT AS A PERCENT OF SALES</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211"/>
        </w:trPr>
        <w:tc>
          <w:tcPr>
            <w:tcW w:w="64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20.5 %</w:t>
            </w:r>
          </w:p>
        </w:tc>
      </w:tr>
      <w:tr>
        <w:trPr>
          <w:trHeight w:val="30"/>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15.8 %</w:t>
            </w:r>
          </w:p>
        </w:tc>
      </w:tr>
      <w:tr>
        <w:trPr>
          <w:trHeight w:val="213"/>
        </w:trPr>
        <w:tc>
          <w:tcPr>
            <w:tcW w:w="6480" w:type="dxa"/>
            <w:vAlign w:val="bottom"/>
          </w:tcPr>
          <w:p>
            <w:pPr>
              <w:ind w:left="34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20.0 %</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19.0 %</w:t>
            </w: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497"/>
        </w:trPr>
        <w:tc>
          <w:tcPr>
            <w:tcW w:w="6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4"/>
          </w:tcPr>
          <w:p>
            <w:pPr>
              <w:jc w:val="right"/>
              <w:ind w:right="68"/>
              <w:spacing w:after="0"/>
              <w:rPr>
                <w:sz w:val="20"/>
                <w:szCs w:val="20"/>
                <w:color w:val="auto"/>
              </w:rPr>
            </w:pPr>
            <w:r>
              <w:rPr>
                <w:rFonts w:ascii="Arial" w:cs="Arial" w:eastAsia="Arial" w:hAnsi="Arial"/>
                <w:sz w:val="14"/>
                <w:szCs w:val="14"/>
                <w:color w:val="auto"/>
                <w:w w:val="92"/>
              </w:rPr>
              <w:t>Three months ended October 31,</w:t>
            </w:r>
          </w:p>
        </w:tc>
      </w:tr>
      <w:tr>
        <w:trPr>
          <w:trHeight w:val="30"/>
        </w:trPr>
        <w:tc>
          <w:tcPr>
            <w:tcW w:w="6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3"/>
        </w:trPr>
        <w:tc>
          <w:tcPr>
            <w:tcW w:w="6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2014</w:t>
            </w:r>
          </w:p>
        </w:tc>
      </w:tr>
      <w:tr>
        <w:trPr>
          <w:trHeight w:val="30"/>
        </w:trPr>
        <w:tc>
          <w:tcPr>
            <w:tcW w:w="6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1"/>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56,668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59,006</w:t>
            </w:r>
          </w:p>
        </w:tc>
      </w:tr>
      <w:tr>
        <w:trPr>
          <w:trHeight w:val="211"/>
        </w:trPr>
        <w:tc>
          <w:tcPr>
            <w:tcW w:w="6480" w:type="dxa"/>
            <w:vAlign w:val="bottom"/>
          </w:tcPr>
          <w:p>
            <w:pPr>
              <w:ind w:left="20"/>
              <w:spacing w:after="0"/>
              <w:rPr>
                <w:sz w:val="20"/>
                <w:szCs w:val="20"/>
                <w:color w:val="auto"/>
              </w:rPr>
            </w:pPr>
            <w:r>
              <w:rPr>
                <w:rFonts w:ascii="Arial" w:cs="Arial" w:eastAsia="Arial" w:hAnsi="Arial"/>
                <w:sz w:val="14"/>
                <w:szCs w:val="14"/>
                <w:color w:val="auto"/>
              </w:rPr>
              <w:t>Unallocated amounts: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Administrative costs</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(26,566)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(27,755)</w:t>
            </w:r>
          </w:p>
        </w:tc>
      </w:tr>
      <w:tr>
        <w:trPr>
          <w:trHeight w:val="211"/>
        </w:trPr>
        <w:tc>
          <w:tcPr>
            <w:tcW w:w="6480" w:type="dxa"/>
            <w:vAlign w:val="bottom"/>
          </w:tcPr>
          <w:p>
            <w:pPr>
              <w:ind w:left="340"/>
              <w:spacing w:after="0"/>
              <w:rPr>
                <w:sz w:val="20"/>
                <w:szCs w:val="20"/>
                <w:color w:val="auto"/>
              </w:rPr>
            </w:pPr>
            <w:r>
              <w:rPr>
                <w:rFonts w:ascii="Arial" w:cs="Arial" w:eastAsia="Arial" w:hAnsi="Arial"/>
                <w:sz w:val="14"/>
                <w:szCs w:val="14"/>
                <w:color w:val="auto"/>
              </w:rPr>
              <w:t>Restructuring charges</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(4,278)</w:t>
            </w:r>
          </w:p>
        </w:tc>
      </w:tr>
      <w:tr>
        <w:trPr>
          <w:trHeight w:val="30"/>
        </w:trPr>
        <w:tc>
          <w:tcPr>
            <w:tcW w:w="6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1"/>
        </w:trPr>
        <w:tc>
          <w:tcPr>
            <w:tcW w:w="6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Investment and other (expense) income</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323</w:t>
            </w:r>
          </w:p>
        </w:tc>
      </w:tr>
      <w:tr>
        <w:trPr>
          <w:trHeight w:val="211"/>
        </w:trPr>
        <w:tc>
          <w:tcPr>
            <w:tcW w:w="6480" w:type="dxa"/>
            <w:vAlign w:val="bottom"/>
          </w:tcPr>
          <w:p>
            <w:pPr>
              <w:ind w:left="34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(2,891)</w:t>
            </w:r>
          </w:p>
        </w:tc>
      </w:tr>
      <w:tr>
        <w:trPr>
          <w:trHeight w:val="30"/>
        </w:trPr>
        <w:tc>
          <w:tcPr>
            <w:tcW w:w="6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27,192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24,405</w:t>
            </w:r>
          </w:p>
        </w:tc>
      </w:tr>
      <w:tr>
        <w:trPr>
          <w:trHeight w:val="20"/>
        </w:trPr>
        <w:tc>
          <w:tcPr>
            <w:tcW w:w="6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141" w:lineRule="exact"/>
        <w:rPr>
          <w:sz w:val="20"/>
          <w:szCs w:val="20"/>
          <w:color w:val="auto"/>
        </w:rPr>
      </w:pPr>
    </w:p>
    <w:p>
      <w:pPr>
        <w:ind w:left="60" w:right="1699"/>
        <w:spacing w:after="0" w:line="302"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w:t>
      </w:r>
    </w:p>
    <w:p>
      <w:pPr>
        <w:spacing w:after="0" w:line="72" w:lineRule="exact"/>
        <w:rPr>
          <w:sz w:val="20"/>
          <w:szCs w:val="20"/>
          <w:color w:val="auto"/>
        </w:rPr>
      </w:pPr>
    </w:p>
    <w:p>
      <w:pPr>
        <w:jc w:val="both"/>
        <w:ind w:left="60" w:right="1579"/>
        <w:spacing w:after="0" w:line="276" w:lineRule="auto"/>
        <w:rPr>
          <w:sz w:val="20"/>
          <w:szCs w:val="20"/>
          <w:color w:val="auto"/>
        </w:rPr>
      </w:pPr>
      <w:r>
        <w:rPr>
          <w:rFonts w:ascii="Arial" w:cs="Arial" w:eastAsia="Arial" w:hAnsi="Arial"/>
          <w:sz w:val="14"/>
          <w:szCs w:val="14"/>
          <w:color w:val="auto"/>
        </w:rPr>
        <w:t>Brady is presenting the Non-GAAP measure "Earnings from Continuing Operations Before Income Taxes Excluding Certain Items." This is not a calculation based upon GAAP. The amounts included in this Non-GAAP measure are derived from amounts included in the Condensed Consolidated Financial Statements and supporting footnote disclosures. We do not view these items to be part of our sustainable results. We believe this profit measure provides an important perspective of underlying business trends and results and provides a more comparable measure from year to year. The table below provides a reconciliation of Earnings from Continuing Operations Before Income Taxes to Earnings from Continuing Operations Before Income Taxes Excluding Certain Items:</w:t>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color w:val="auto"/>
                <w:w w:val="91"/>
              </w:rPr>
              <w:t>Three months ended October 31,</w:t>
            </w:r>
          </w:p>
        </w:tc>
        <w:tc>
          <w:tcPr>
            <w:tcW w:w="0" w:type="dxa"/>
            <w:vAlign w:val="bottom"/>
          </w:tcPr>
          <w:p>
            <w:pPr>
              <w:spacing w:after="0"/>
              <w:rPr>
                <w:sz w:val="1"/>
                <w:szCs w:val="1"/>
                <w:color w:val="auto"/>
              </w:rPr>
            </w:pPr>
          </w:p>
        </w:tc>
      </w:tr>
      <w:tr>
        <w:trPr>
          <w:trHeight w:val="30"/>
        </w:trPr>
        <w:tc>
          <w:tcPr>
            <w:tcW w:w="6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6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(GAAP measure)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27,192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24,405</w:t>
            </w:r>
          </w:p>
        </w:tc>
        <w:tc>
          <w:tcPr>
            <w:tcW w:w="0" w:type="dxa"/>
            <w:vAlign w:val="bottom"/>
          </w:tcPr>
          <w:p>
            <w:pPr>
              <w:spacing w:after="0"/>
              <w:rPr>
                <w:sz w:val="1"/>
                <w:szCs w:val="1"/>
                <w:color w:val="auto"/>
              </w:rPr>
            </w:pPr>
          </w:p>
        </w:tc>
      </w:tr>
      <w:tr>
        <w:trPr>
          <w:trHeight w:val="211"/>
        </w:trPr>
        <w:tc>
          <w:tcPr>
            <w:tcW w:w="6560" w:type="dxa"/>
            <w:vAlign w:val="bottom"/>
          </w:tcPr>
          <w:p>
            <w:pPr>
              <w:ind w:left="640"/>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4,278</w:t>
            </w:r>
          </w:p>
        </w:tc>
        <w:tc>
          <w:tcPr>
            <w:tcW w:w="0" w:type="dxa"/>
            <w:vAlign w:val="bottom"/>
          </w:tcPr>
          <w:p>
            <w:pPr>
              <w:spacing w:after="0"/>
              <w:rPr>
                <w:sz w:val="1"/>
                <w:szCs w:val="1"/>
                <w:color w:val="auto"/>
              </w:rPr>
            </w:pPr>
          </w:p>
        </w:tc>
      </w:tr>
      <w:tr>
        <w:trPr>
          <w:trHeight w:val="30"/>
        </w:trPr>
        <w:tc>
          <w:tcPr>
            <w:tcW w:w="6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 (non-GAAP</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27,192</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28,683</w:t>
            </w: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measure)</w:t>
            </w: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Income Taxes on Continuing Operations Excluding Certain Items:</w:t>
      </w:r>
    </w:p>
    <w:p>
      <w:pPr>
        <w:spacing w:after="0" w:line="72" w:lineRule="exact"/>
        <w:rPr>
          <w:sz w:val="20"/>
          <w:szCs w:val="20"/>
          <w:color w:val="auto"/>
        </w:rPr>
      </w:pPr>
    </w:p>
    <w:p>
      <w:pPr>
        <w:jc w:val="both"/>
        <w:ind w:left="60" w:right="1579"/>
        <w:spacing w:after="0" w:line="303" w:lineRule="auto"/>
        <w:rPr>
          <w:sz w:val="20"/>
          <w:szCs w:val="20"/>
          <w:color w:val="auto"/>
        </w:rPr>
      </w:pPr>
      <w:r>
        <w:rPr>
          <w:rFonts w:ascii="Arial" w:cs="Arial" w:eastAsia="Arial" w:hAnsi="Arial"/>
          <w:sz w:val="13"/>
          <w:szCs w:val="13"/>
          <w:color w:val="auto"/>
        </w:rPr>
        <w:t>Brady is presenting the Non-GAAP measure "Income Taxes on Continuing Operations Excluding Certain Items." This is not a calculation based upon GAAP. The amounts included in this Non-GAAP measure are derived from amounts included in the Condensed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4"/>
          </w:tcPr>
          <w:p>
            <w:pPr>
              <w:jc w:val="right"/>
              <w:ind w:right="8"/>
              <w:spacing w:after="0"/>
              <w:rPr>
                <w:sz w:val="20"/>
                <w:szCs w:val="20"/>
                <w:color w:val="auto"/>
              </w:rPr>
            </w:pPr>
            <w:r>
              <w:rPr>
                <w:rFonts w:ascii="Arial" w:cs="Arial" w:eastAsia="Arial" w:hAnsi="Arial"/>
                <w:sz w:val="14"/>
                <w:szCs w:val="14"/>
                <w:color w:val="auto"/>
                <w:w w:val="91"/>
              </w:rPr>
              <w:t>Three months ended October 31,</w:t>
            </w:r>
          </w:p>
        </w:tc>
      </w:tr>
      <w:tr>
        <w:trPr>
          <w:trHeight w:val="30"/>
        </w:trPr>
        <w:tc>
          <w:tcPr>
            <w:tcW w:w="6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3"/>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288"/>
              <w:spacing w:after="0"/>
              <w:rPr>
                <w:sz w:val="20"/>
                <w:szCs w:val="20"/>
                <w:color w:val="auto"/>
              </w:rPr>
            </w:pPr>
            <w:r>
              <w:rPr>
                <w:rFonts w:ascii="Arial" w:cs="Arial" w:eastAsia="Arial" w:hAnsi="Arial"/>
                <w:sz w:val="14"/>
                <w:szCs w:val="14"/>
                <w:color w:val="auto"/>
              </w:rPr>
              <w:t>2014</w:t>
            </w:r>
          </w:p>
        </w:tc>
      </w:tr>
      <w:tr>
        <w:trPr>
          <w:trHeight w:val="30"/>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1"/>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(GAAP measure)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8,489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8,906</w:t>
            </w:r>
          </w:p>
        </w:tc>
      </w:tr>
      <w:tr>
        <w:trPr>
          <w:trHeight w:val="211"/>
        </w:trPr>
        <w:tc>
          <w:tcPr>
            <w:tcW w:w="6540" w:type="dxa"/>
            <w:vAlign w:val="bottom"/>
          </w:tcPr>
          <w:p>
            <w:pPr>
              <w:ind w:left="640"/>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1,331</w:t>
            </w:r>
          </w:p>
        </w:tc>
      </w:tr>
      <w:tr>
        <w:trPr>
          <w:trHeight w:val="30"/>
        </w:trPr>
        <w:tc>
          <w:tcPr>
            <w:tcW w:w="6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 (non-GAAP measure)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8,489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10,237</w:t>
            </w: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Excluding Certain Items:</w:t>
      </w:r>
    </w:p>
    <w:p>
      <w:pPr>
        <w:spacing w:after="0" w:line="72" w:lineRule="exact"/>
        <w:rPr>
          <w:sz w:val="20"/>
          <w:szCs w:val="20"/>
          <w:color w:val="auto"/>
        </w:rPr>
      </w:pPr>
    </w:p>
    <w:p>
      <w:pPr>
        <w:jc w:val="both"/>
        <w:ind w:left="60" w:right="1579"/>
        <w:spacing w:after="0" w:line="303" w:lineRule="auto"/>
        <w:rPr>
          <w:sz w:val="20"/>
          <w:szCs w:val="20"/>
          <w:color w:val="auto"/>
        </w:rPr>
      </w:pPr>
      <w:r>
        <w:rPr>
          <w:rFonts w:ascii="Arial" w:cs="Arial" w:eastAsia="Arial" w:hAnsi="Arial"/>
          <w:sz w:val="13"/>
          <w:szCs w:val="13"/>
          <w:color w:val="auto"/>
        </w:rPr>
        <w:t>Brady is presenting the Non-GAAP measure "Net Earnings from Continuing Operations Excluding Certain Items." This is not a calculation based upon GAAP. The amounts included in this Non-GAAP measure are derived from amounts included in the Condensed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to Net Earnings from Continuing Operations Excluding Certain Items: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right"/>
              <w:spacing w:after="0"/>
              <w:rPr>
                <w:sz w:val="20"/>
                <w:szCs w:val="20"/>
                <w:color w:val="auto"/>
              </w:rPr>
            </w:pPr>
            <w:r>
              <w:rPr>
                <w:rFonts w:ascii="Arial" w:cs="Arial" w:eastAsia="Arial" w:hAnsi="Arial"/>
                <w:sz w:val="14"/>
                <w:szCs w:val="14"/>
                <w:color w:val="auto"/>
                <w:w w:val="91"/>
              </w:rPr>
              <w:t>Three months ended October 31,</w:t>
            </w:r>
          </w:p>
        </w:tc>
      </w:tr>
      <w:tr>
        <w:trPr>
          <w:trHeight w:val="30"/>
        </w:trPr>
        <w:tc>
          <w:tcPr>
            <w:tcW w:w="6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3"/>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2014</w:t>
            </w:r>
          </w:p>
        </w:tc>
      </w:tr>
      <w:tr>
        <w:trPr>
          <w:trHeight w:val="30"/>
        </w:trPr>
        <w:tc>
          <w:tcPr>
            <w:tcW w:w="6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1"/>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(GAAP measure)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18,703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15,499</w:t>
            </w:r>
          </w:p>
        </w:tc>
      </w:tr>
      <w:tr>
        <w:trPr>
          <w:trHeight w:val="211"/>
        </w:trPr>
        <w:tc>
          <w:tcPr>
            <w:tcW w:w="6560" w:type="dxa"/>
            <w:vAlign w:val="bottom"/>
          </w:tcPr>
          <w:p>
            <w:pPr>
              <w:ind w:left="640"/>
              <w:spacing w:after="0"/>
              <w:rPr>
                <w:sz w:val="20"/>
                <w:szCs w:val="20"/>
                <w:color w:val="auto"/>
              </w:rPr>
            </w:pPr>
            <w:r>
              <w:rPr>
                <w:rFonts w:ascii="Arial" w:cs="Arial" w:eastAsia="Arial" w:hAnsi="Arial"/>
                <w:sz w:val="14"/>
                <w:szCs w:val="14"/>
                <w:color w:val="auto"/>
              </w:rPr>
              <w:t>Restructuring charges</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2,947</w:t>
            </w:r>
          </w:p>
        </w:tc>
      </w:tr>
      <w:tr>
        <w:trPr>
          <w:trHeight w:val="30"/>
        </w:trPr>
        <w:tc>
          <w:tcPr>
            <w:tcW w:w="6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Excluding Certain Items (non-GAAP measure)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18,703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18,446</w:t>
            </w:r>
          </w:p>
        </w:tc>
      </w:tr>
      <w:tr>
        <w:trPr>
          <w:trHeight w:val="20"/>
        </w:trPr>
        <w:tc>
          <w:tcPr>
            <w:tcW w:w="6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60" w:right="1579"/>
        <w:spacing w:after="0" w:line="301" w:lineRule="auto"/>
        <w:rPr>
          <w:sz w:val="20"/>
          <w:szCs w:val="20"/>
          <w:color w:val="auto"/>
        </w:rPr>
      </w:pPr>
      <w:r>
        <w:rPr>
          <w:rFonts w:ascii="Arial" w:cs="Arial" w:eastAsia="Arial" w:hAnsi="Arial"/>
          <w:sz w:val="13"/>
          <w:szCs w:val="13"/>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Condensed Consolidated Financial Statements.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Per Diluted Class A Nonvoting Common Share to Net Earnings from Continuing Operations Per Diluted Class A Nonvoting Common Share Excluding Certain Items: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560" w:type="dxa"/>
            <w:vAlign w:val="bottom"/>
          </w:tcPr>
          <w:p>
            <w:pPr>
              <w:spacing w:after="0"/>
              <w:rPr>
                <w:sz w:val="15"/>
                <w:szCs w:val="15"/>
                <w:color w:val="auto"/>
              </w:rPr>
            </w:pPr>
          </w:p>
        </w:tc>
        <w:tc>
          <w:tcPr>
            <w:tcW w:w="2060" w:type="dxa"/>
            <w:vAlign w:val="bottom"/>
            <w:gridSpan w:val="5"/>
          </w:tcPr>
          <w:p>
            <w:pPr>
              <w:jc w:val="right"/>
              <w:spacing w:after="0"/>
              <w:rPr>
                <w:sz w:val="20"/>
                <w:szCs w:val="20"/>
                <w:color w:val="auto"/>
              </w:rPr>
            </w:pPr>
            <w:r>
              <w:rPr>
                <w:rFonts w:ascii="Arial" w:cs="Arial" w:eastAsia="Arial" w:hAnsi="Arial"/>
                <w:sz w:val="14"/>
                <w:szCs w:val="14"/>
                <w:color w:val="auto"/>
                <w:w w:val="95"/>
              </w:rPr>
              <w:t>Three months ended October 31,</w:t>
            </w:r>
          </w:p>
        </w:tc>
        <w:tc>
          <w:tcPr>
            <w:tcW w:w="0" w:type="dxa"/>
            <w:vAlign w:val="bottom"/>
          </w:tcPr>
          <w:p>
            <w:pPr>
              <w:spacing w:after="0"/>
              <w:rPr>
                <w:sz w:val="1"/>
                <w:szCs w:val="1"/>
                <w:color w:val="auto"/>
              </w:rPr>
            </w:pPr>
          </w:p>
        </w:tc>
      </w:tr>
      <w:tr>
        <w:trPr>
          <w:trHeight w:val="30"/>
        </w:trPr>
        <w:tc>
          <w:tcPr>
            <w:tcW w:w="65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2015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65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(GAAP</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measure)</w:t>
            </w:r>
          </w:p>
        </w:tc>
        <w:tc>
          <w:tcPr>
            <w:tcW w:w="660" w:type="dxa"/>
            <w:vAlign w:val="bottom"/>
            <w:tcBorders>
              <w:bottom w:val="single" w:sz="8" w:color="CCEEFF"/>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0.37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11"/>
        </w:trPr>
        <w:tc>
          <w:tcPr>
            <w:tcW w:w="6560" w:type="dxa"/>
            <w:vAlign w:val="bottom"/>
          </w:tcPr>
          <w:p>
            <w:pPr>
              <w:ind w:left="640"/>
              <w:spacing w:after="0"/>
              <w:rPr>
                <w:sz w:val="20"/>
                <w:szCs w:val="20"/>
                <w:color w:val="auto"/>
              </w:rPr>
            </w:pPr>
            <w:r>
              <w:rPr>
                <w:rFonts w:ascii="Arial" w:cs="Arial" w:eastAsia="Arial" w:hAnsi="Arial"/>
                <w:sz w:val="14"/>
                <w:szCs w:val="14"/>
                <w:color w:val="auto"/>
              </w:rPr>
              <w:t>Restructuring charges</w:t>
            </w:r>
          </w:p>
        </w:tc>
        <w:tc>
          <w:tcPr>
            <w:tcW w:w="66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30"/>
        </w:trPr>
        <w:tc>
          <w:tcPr>
            <w:tcW w:w="65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8"/>
              </w:rPr>
              <w:t>Net Earnings from Continuing Operations Per Diluted Class A Nonvoting Common Share Excluding</w:t>
            </w:r>
          </w:p>
        </w:tc>
        <w:tc>
          <w:tcPr>
            <w:tcW w:w="660" w:type="dxa"/>
            <w:vAlign w:val="bottom"/>
            <w:vMerge w:val="restart"/>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0.37</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0.36</w:t>
            </w: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Certain Items (non-GAAP measure)</w:t>
            </w: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2019-12-05T21:51:48Z</dcterms:created>
  <dcterms:modified xsi:type="dcterms:W3CDTF">2019-12-05T21:51:48Z</dcterms:modified>
</cp:coreProperties>
</file>