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1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July 31, 2009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122" w:right="239" w:bottom="0" w:gutter="0" w:footer="0" w:header="0"/>
        </w:sectPr>
      </w:pPr>
    </w:p>
    <w:p>
      <w:pPr>
        <w:spacing w:after="0" w:line="6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0"/>
          <w:szCs w:val="20"/>
          <w:color w:val="auto"/>
        </w:rPr>
      </w:pPr>
    </w:p>
    <w:p>
      <w:pPr>
        <w:sectPr>
          <w:pgSz w:w="11900" w:h="16838" w:orient="portrait"/>
          <w:cols w:equalWidth="0" w:num="2">
            <w:col w:w="3980" w:space="720"/>
            <w:col w:w="6720"/>
          </w:cols>
          <w:pgMar w:left="240" w:top="122" w:right="239" w:bottom="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220980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charter)</w:t>
      </w:r>
    </w:p>
    <w:p>
      <w:pPr>
        <w:sectPr>
          <w:pgSz w:w="11900" w:h="16838" w:orient="portrait"/>
          <w:cols w:equalWidth="0" w:num="1">
            <w:col w:w="11420"/>
          </w:cols>
          <w:pgMar w:left="240" w:top="122" w:right="239" w:bottom="0" w:gutter="0" w:footer="0" w:header="0"/>
          <w:type w:val="continuous"/>
        </w:sectPr>
      </w:pPr>
    </w:p>
    <w:p>
      <w:pPr>
        <w:spacing w:after="0" w:line="20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500"/>
        <w:spacing w:after="0"/>
        <w:rPr>
          <w:sz w:val="20"/>
          <w:szCs w:val="20"/>
          <w:color w:val="auto"/>
        </w:rPr>
      </w:pPr>
      <w:r>
        <w:rPr>
          <w:rFonts w:ascii="Arial" w:cs="Arial" w:eastAsia="Arial" w:hAnsi="Arial"/>
          <w:sz w:val="18"/>
          <w:szCs w:val="18"/>
          <w:b w:val="1"/>
          <w:bCs w:val="1"/>
          <w:color w:val="auto"/>
        </w:rPr>
        <w:t>39-0178960</w:t>
      </w:r>
    </w:p>
    <w:p>
      <w:pPr>
        <w:spacing w:after="0" w:line="27" w:lineRule="exact"/>
        <w:rPr>
          <w:sz w:val="20"/>
          <w:szCs w:val="20"/>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427" w:lineRule="exact"/>
        <w:rPr>
          <w:sz w:val="20"/>
          <w:szCs w:val="20"/>
          <w:color w:val="auto"/>
        </w:rPr>
      </w:pPr>
    </w:p>
    <w:p>
      <w:pPr>
        <w:sectPr>
          <w:pgSz w:w="11900" w:h="16838" w:orient="portrait"/>
          <w:cols w:equalWidth="0" w:num="2">
            <w:col w:w="6760" w:space="720"/>
            <w:col w:w="3940"/>
          </w:cols>
          <w:pgMar w:left="240" w:top="122" w:right="239" w:bottom="0" w:gutter="0" w:footer="0" w:header="0"/>
          <w:type w:val="continuous"/>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 53223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80" w:type="dxa"/>
            <w:vAlign w:val="bottom"/>
          </w:tcPr>
          <w:p>
            <w:pPr>
              <w:spacing w:after="0"/>
              <w:rPr>
                <w:sz w:val="14"/>
                <w:szCs w:val="14"/>
                <w:color w:val="auto"/>
              </w:rPr>
            </w:pPr>
          </w:p>
        </w:tc>
        <w:tc>
          <w:tcPr>
            <w:tcW w:w="5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Class A Nonvoting Common Stock, Par</w:t>
            </w:r>
          </w:p>
        </w:tc>
        <w:tc>
          <w:tcPr>
            <w:tcW w:w="580" w:type="dxa"/>
            <w:vAlign w:val="bottom"/>
          </w:tcPr>
          <w:p>
            <w:pPr>
              <w:spacing w:after="0"/>
              <w:rPr>
                <w:sz w:val="16"/>
                <w:szCs w:val="16"/>
                <w:color w:val="auto"/>
              </w:rPr>
            </w:pPr>
          </w:p>
        </w:tc>
        <w:tc>
          <w:tcPr>
            <w:tcW w:w="54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Value $.01 per share</w:t>
            </w: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9340" w:type="dxa"/>
            <w:vAlign w:val="bottom"/>
            <w:gridSpan w:val="3"/>
          </w:tcPr>
          <w:p>
            <w:pPr>
              <w:jc w:val="center"/>
              <w:ind w:left="2013"/>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080" w:type="dxa"/>
            <w:vAlign w:val="bottom"/>
          </w:tcPr>
          <w:p>
            <w:pPr>
              <w:spacing w:after="0"/>
              <w:rPr>
                <w:sz w:val="24"/>
                <w:szCs w:val="24"/>
                <w:color w:val="auto"/>
              </w:rPr>
            </w:pPr>
          </w:p>
        </w:tc>
      </w:tr>
      <w:tr>
        <w:trPr>
          <w:trHeight w:val="234"/>
        </w:trPr>
        <w:tc>
          <w:tcPr>
            <w:tcW w:w="5420" w:type="dxa"/>
            <w:vAlign w:val="bottom"/>
          </w:tcPr>
          <w:p>
            <w:pPr>
              <w:spacing w:after="0"/>
              <w:rPr>
                <w:sz w:val="20"/>
                <w:szCs w:val="20"/>
                <w:color w:val="auto"/>
              </w:rPr>
            </w:pPr>
          </w:p>
        </w:tc>
        <w:tc>
          <w:tcPr>
            <w:tcW w:w="3920" w:type="dxa"/>
            <w:vAlign w:val="bottom"/>
            <w:gridSpan w:val="2"/>
          </w:tcPr>
          <w:p>
            <w:pPr>
              <w:jc w:val="center"/>
              <w:ind w:right="3239"/>
              <w:spacing w:after="0"/>
              <w:rPr>
                <w:sz w:val="20"/>
                <w:szCs w:val="20"/>
                <w:color w:val="auto"/>
              </w:rPr>
            </w:pPr>
            <w:r>
              <w:rPr>
                <w:rFonts w:ascii="Arial" w:cs="Arial" w:eastAsia="Arial" w:hAnsi="Arial"/>
                <w:sz w:val="18"/>
                <w:szCs w:val="18"/>
                <w:b w:val="1"/>
                <w:bCs w:val="1"/>
                <w:color w:val="auto"/>
                <w:w w:val="88"/>
              </w:rPr>
              <w:t>None</w:t>
            </w:r>
          </w:p>
        </w:tc>
        <w:tc>
          <w:tcPr>
            <w:tcW w:w="2080" w:type="dxa"/>
            <w:vAlign w:val="bottom"/>
          </w:tcPr>
          <w:p>
            <w:pPr>
              <w:spacing w:after="0"/>
              <w:rPr>
                <w:sz w:val="20"/>
                <w:szCs w:val="20"/>
                <w:color w:val="auto"/>
              </w:rPr>
            </w:pPr>
          </w:p>
        </w:tc>
      </w:tr>
      <w:tr>
        <w:trPr>
          <w:trHeight w:val="344"/>
        </w:trPr>
        <w:tc>
          <w:tcPr>
            <w:tcW w:w="9340" w:type="dxa"/>
            <w:vAlign w:val="bottom"/>
            <w:gridSpan w:val="3"/>
          </w:tcPr>
          <w:p>
            <w:pPr>
              <w:ind w:left="2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2080" w:type="dxa"/>
            <w:vAlign w:val="bottom"/>
          </w:tcPr>
          <w:p>
            <w:pPr>
              <w:ind w:left="80"/>
              <w:spacing w:after="0"/>
              <w:rPr>
                <w:sz w:val="20"/>
                <w:szCs w:val="20"/>
                <w:color w:val="auto"/>
              </w:rPr>
            </w:pPr>
            <w:r>
              <w:rPr>
                <w:rFonts w:ascii="Arial" w:cs="Arial" w:eastAsia="Arial" w:hAnsi="Arial"/>
                <w:sz w:val="18"/>
                <w:szCs w:val="18"/>
                <w:color w:val="auto"/>
              </w:rPr>
              <w:t>No o</w:t>
            </w:r>
          </w:p>
        </w:tc>
      </w:tr>
      <w:tr>
        <w:trPr>
          <w:trHeight w:val="324"/>
        </w:trPr>
        <w:tc>
          <w:tcPr>
            <w:tcW w:w="9340" w:type="dxa"/>
            <w:vAlign w:val="bottom"/>
            <w:gridSpan w:val="3"/>
          </w:tcPr>
          <w:p>
            <w:pPr>
              <w:ind w:left="2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20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74"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four such shorter period that the registrant was required to submit and post such files). Yes o No o</w:t>
      </w:r>
    </w:p>
    <w:p>
      <w:pPr>
        <w:spacing w:after="0" w:line="73" w:lineRule="exact"/>
        <w:rPr>
          <w:sz w:val="20"/>
          <w:szCs w:val="20"/>
          <w:color w:val="auto"/>
        </w:rPr>
      </w:pPr>
    </w:p>
    <w:p>
      <w:pPr>
        <w:jc w:val="both"/>
        <w:ind w:right="100"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type w:val="continuous"/>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80" w:space="720"/>
            <w:col w:w="1380" w:space="720"/>
            <w:col w:w="3760" w:space="720"/>
            <w:col w:w="2240"/>
          </w:cols>
          <w:pgMar w:left="240" w:top="122" w:right="239" w:bottom="0" w:gutter="0" w:footer="0" w:header="0"/>
          <w:type w:val="continuous"/>
        </w:sectPr>
      </w:pPr>
    </w:p>
    <w:p>
      <w:pPr>
        <w:spacing w:after="0" w:line="32" w:lineRule="exact"/>
        <w:rPr>
          <w:sz w:val="20"/>
          <w:szCs w:val="20"/>
          <w:color w:val="auto"/>
        </w:rPr>
      </w:pPr>
    </w:p>
    <w:p>
      <w:pPr>
        <w:jc w:val="cente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100" w:space="220"/>
            <w:col w:w="3100"/>
          </w:cols>
          <w:pgMar w:left="240" w:top="122" w:right="239" w:bottom="0" w:gutter="0" w:footer="0" w:header="0"/>
          <w:type w:val="continuous"/>
        </w:sectPr>
      </w:pPr>
    </w:p>
    <w:p>
      <w:pPr>
        <w:ind w:left="220"/>
        <w:spacing w:after="0"/>
        <w:rPr>
          <w:sz w:val="20"/>
          <w:szCs w:val="20"/>
          <w:color w:val="auto"/>
        </w:rPr>
      </w:pPr>
      <w:r>
        <w:rPr>
          <w:rFonts w:ascii="Arial" w:cs="Arial" w:eastAsia="Arial" w:hAnsi="Arial"/>
          <w:sz w:val="17"/>
          <w:szCs w:val="17"/>
          <w:color w:val="auto"/>
        </w:rPr>
        <w:t>The aggregate market value of the non-voting common stock held by non-affiliates of the registrant as of January 30, 2009,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$959,932,645 (based on closing sale price of $20.92 per share on that date as reported for the New York Stock Exchange). As of September 23, 2009,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outstanding 48,800,759 shares of Class A Nonvoting Common Stock (the “Class A Common Stock”), and 3,538,628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Class B Common Stock, all of which is held by affiliates of the registrant, is the only voting stock.</w:t>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524510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13"/>
          </w:tcPr>
          <w:p>
            <w:pPr>
              <w:jc w:val="center"/>
              <w:ind w:right="480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gridSpan w:val="14"/>
            <w:vMerge w:val="restart"/>
          </w:tcPr>
          <w:p>
            <w:pPr>
              <w:jc w:val="center"/>
              <w:ind w:right="480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80" w:type="dxa"/>
            <w:vAlign w:val="bottom"/>
            <w:gridSpan w:val="14"/>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580" w:type="dxa"/>
            <w:vAlign w:val="bottom"/>
            <w:gridSpan w:val="4"/>
          </w:tcPr>
          <w:p>
            <w:pPr>
              <w:spacing w:after="0"/>
              <w:rPr>
                <w:sz w:val="17"/>
                <w:szCs w:val="17"/>
                <w:color w:val="auto"/>
              </w:rPr>
            </w:pPr>
          </w:p>
        </w:tc>
        <w:tc>
          <w:tcPr>
            <w:tcW w:w="4320" w:type="dxa"/>
            <w:vAlign w:val="bottom"/>
            <w:gridSpan w:val="4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17"/>
                <w:szCs w:val="17"/>
                <w:color w:val="auto"/>
              </w:rPr>
            </w:pPr>
          </w:p>
        </w:tc>
        <w:tc>
          <w:tcPr>
            <w:tcW w:w="4800" w:type="dxa"/>
            <w:vAlign w:val="bottom"/>
            <w:gridSpan w:val="10"/>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20" w:type="dxa"/>
            <w:vAlign w:val="bottom"/>
            <w:gridSpan w:val="6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General Development of Business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900" w:type="dxa"/>
            <w:vAlign w:val="bottom"/>
            <w:tcBorders>
              <w:right w:val="single" w:sz="8" w:color="0000EE"/>
            </w:tcBorders>
            <w:gridSpan w:val="9"/>
          </w:tcPr>
          <w:p>
            <w:pPr>
              <w:spacing w:after="0" w:line="20" w:lineRule="exact"/>
              <w:rPr>
                <w:sz w:val="1"/>
                <w:szCs w:val="1"/>
                <w:color w:val="auto"/>
              </w:rPr>
            </w:pPr>
          </w:p>
        </w:tc>
        <w:tc>
          <w:tcPr>
            <w:tcW w:w="1660" w:type="dxa"/>
            <w:vAlign w:val="bottom"/>
            <w:tcBorders>
              <w:right w:val="single" w:sz="8" w:color="0000EE"/>
            </w:tcBorders>
            <w:gridSpan w:val="22"/>
            <w:shd w:val="clear" w:color="auto" w:fill="0000EE"/>
          </w:tcPr>
          <w:p>
            <w:pPr>
              <w:spacing w:after="0" w:line="20" w:lineRule="exact"/>
              <w:rPr>
                <w:sz w:val="1"/>
                <w:szCs w:val="1"/>
                <w:color w:val="auto"/>
              </w:rPr>
            </w:pPr>
          </w:p>
        </w:tc>
        <w:tc>
          <w:tcPr>
            <w:tcW w:w="786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Financial Information About Industry Segments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Narrative Description of Business</w:t>
              </w:r>
            </w:hyperlink>
          </w:p>
        </w:tc>
        <w:tc>
          <w:tcPr>
            <w:tcW w:w="6240" w:type="dxa"/>
            <w:vAlign w:val="bottom"/>
            <w:gridSpan w:val="22"/>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Overview</w:t>
              </w:r>
            </w:hyperlink>
          </w:p>
        </w:tc>
        <w:tc>
          <w:tcPr>
            <w:tcW w:w="1540" w:type="dxa"/>
            <w:vAlign w:val="bottom"/>
            <w:tcBorders>
              <w:top w:val="single" w:sz="8" w:color="0000EE"/>
            </w:tcBorders>
            <w:gridSpan w:val="19"/>
          </w:tcPr>
          <w:p>
            <w:pPr>
              <w:spacing w:after="0"/>
              <w:rPr>
                <w:sz w:val="17"/>
                <w:szCs w:val="17"/>
                <w:color w:val="auto"/>
              </w:rPr>
            </w:pPr>
          </w:p>
        </w:tc>
        <w:tc>
          <w:tcPr>
            <w:tcW w:w="7240" w:type="dxa"/>
            <w:vAlign w:val="bottom"/>
            <w:gridSpan w:val="30"/>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Competitive Strengths</w:t>
              </w:r>
            </w:hyperlink>
          </w:p>
        </w:tc>
        <w:tc>
          <w:tcPr>
            <w:tcW w:w="7880" w:type="dxa"/>
            <w:vAlign w:val="bottom"/>
            <w:gridSpan w:val="3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Key Strategies</w:t>
              </w:r>
            </w:hyperlink>
          </w:p>
        </w:tc>
        <w:tc>
          <w:tcPr>
            <w:tcW w:w="8440" w:type="dxa"/>
            <w:vAlign w:val="bottom"/>
            <w:gridSpan w:val="44"/>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Products</w:t>
              </w:r>
            </w:hyperlink>
          </w:p>
        </w:tc>
        <w:tc>
          <w:tcPr>
            <w:tcW w:w="8860" w:type="dxa"/>
            <w:vAlign w:val="bottom"/>
            <w:gridSpan w:val="5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5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Marketing and Sales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Brands</w:t>
              </w:r>
            </w:hyperlink>
          </w:p>
        </w:tc>
        <w:tc>
          <w:tcPr>
            <w:tcW w:w="960" w:type="dxa"/>
            <w:vAlign w:val="bottom"/>
            <w:tcBorders>
              <w:top w:val="single" w:sz="8" w:color="0000EE"/>
            </w:tcBorders>
            <w:gridSpan w:val="12"/>
          </w:tcPr>
          <w:p>
            <w:pPr>
              <w:spacing w:after="0"/>
              <w:rPr>
                <w:sz w:val="17"/>
                <w:szCs w:val="17"/>
                <w:color w:val="auto"/>
              </w:rPr>
            </w:pPr>
          </w:p>
        </w:tc>
        <w:tc>
          <w:tcPr>
            <w:tcW w:w="8020" w:type="dxa"/>
            <w:vAlign w:val="bottom"/>
            <w:gridSpan w:val="4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Manufacturing Process and Raw Materials</w:t>
              </w:r>
            </w:hyperlink>
          </w:p>
        </w:tc>
        <w:tc>
          <w:tcPr>
            <w:tcW w:w="6420" w:type="dxa"/>
            <w:vAlign w:val="bottom"/>
            <w:gridSpan w:val="24"/>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Technology and Product Development</w:t>
              </w:r>
            </w:hyperlink>
          </w:p>
        </w:tc>
        <w:tc>
          <w:tcPr>
            <w:tcW w:w="6720" w:type="dxa"/>
            <w:vAlign w:val="bottom"/>
            <w:gridSpan w:val="2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International Operations</w:t>
              </w:r>
            </w:hyperlink>
          </w:p>
        </w:tc>
        <w:tc>
          <w:tcPr>
            <w:tcW w:w="7720" w:type="dxa"/>
            <w:vAlign w:val="bottom"/>
            <w:gridSpan w:val="3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5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Competition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Backlog</w:t>
              </w:r>
            </w:hyperlink>
          </w:p>
        </w:tc>
        <w:tc>
          <w:tcPr>
            <w:tcW w:w="8600" w:type="dxa"/>
            <w:vAlign w:val="bottom"/>
            <w:gridSpan w:val="4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5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Environment</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Employees</w:t>
              </w:r>
            </w:hyperlink>
          </w:p>
        </w:tc>
        <w:tc>
          <w:tcPr>
            <w:tcW w:w="8560" w:type="dxa"/>
            <w:vAlign w:val="bottom"/>
            <w:gridSpan w:val="4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Acquisitions</w:t>
              </w:r>
            </w:hyperlink>
          </w:p>
        </w:tc>
        <w:tc>
          <w:tcPr>
            <w:tcW w:w="8580" w:type="dxa"/>
            <w:vAlign w:val="bottom"/>
            <w:gridSpan w:val="46"/>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20" w:type="dxa"/>
            <w:vAlign w:val="bottom"/>
            <w:tcBorders>
              <w:bottom w:val="single" w:sz="8" w:color="0000EE"/>
            </w:tcBorders>
            <w:gridSpan w:val="51"/>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Financial Information About Foreign and Domestic Operations and Export Sales</w:t>
              </w:r>
            </w:hyperlink>
          </w:p>
        </w:tc>
        <w:tc>
          <w:tcPr>
            <w:tcW w:w="3880" w:type="dxa"/>
            <w:vAlign w:val="bottom"/>
            <w:gridSpan w:val="5"/>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Information Available on the Internet</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440" w:type="dxa"/>
            <w:vAlign w:val="bottom"/>
            <w:gridSpan w:val="2"/>
          </w:tcPr>
          <w:p>
            <w:pPr>
              <w:spacing w:after="0"/>
              <w:rPr>
                <w:sz w:val="17"/>
                <w:szCs w:val="17"/>
                <w:color w:val="auto"/>
              </w:rPr>
            </w:pPr>
          </w:p>
        </w:tc>
        <w:tc>
          <w:tcPr>
            <w:tcW w:w="26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7020" w:type="dxa"/>
            <w:vAlign w:val="bottom"/>
            <w:gridSpan w:val="29"/>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1B.</w:t>
              </w:r>
            </w:hyperlink>
          </w:p>
        </w:tc>
        <w:tc>
          <w:tcPr>
            <w:tcW w:w="440" w:type="dxa"/>
            <w:vAlign w:val="bottom"/>
            <w:gridSpan w:val="2"/>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Properties</w:t>
              </w:r>
            </w:hyperlink>
          </w:p>
        </w:tc>
        <w:tc>
          <w:tcPr>
            <w:tcW w:w="1240" w:type="dxa"/>
            <w:vAlign w:val="bottom"/>
            <w:tcBorders>
              <w:top w:val="single" w:sz="8" w:color="0000EE"/>
            </w:tcBorders>
            <w:gridSpan w:val="18"/>
          </w:tcPr>
          <w:p>
            <w:pPr>
              <w:spacing w:after="0"/>
              <w:rPr>
                <w:sz w:val="17"/>
                <w:szCs w:val="17"/>
                <w:color w:val="auto"/>
              </w:rPr>
            </w:pPr>
          </w:p>
        </w:tc>
        <w:tc>
          <w:tcPr>
            <w:tcW w:w="7660" w:type="dxa"/>
            <w:vAlign w:val="bottom"/>
            <w:gridSpan w:val="34"/>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580" w:type="dxa"/>
            <w:vAlign w:val="bottom"/>
            <w:gridSpan w:val="4"/>
          </w:tcPr>
          <w:p>
            <w:pPr>
              <w:spacing w:after="0"/>
              <w:rPr>
                <w:sz w:val="17"/>
                <w:szCs w:val="17"/>
                <w:color w:val="auto"/>
              </w:rPr>
            </w:pPr>
          </w:p>
        </w:tc>
        <w:tc>
          <w:tcPr>
            <w:tcW w:w="13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8360" w:type="dxa"/>
            <w:vAlign w:val="bottom"/>
            <w:gridSpan w:val="42"/>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15"/>
          </w:tcPr>
          <w:p>
            <w:pPr>
              <w:jc w:val="center"/>
              <w:ind w:right="4760"/>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5.</w:t>
              </w:r>
            </w:hyperlink>
          </w:p>
        </w:tc>
        <w:tc>
          <w:tcPr>
            <w:tcW w:w="580" w:type="dxa"/>
            <w:vAlign w:val="bottom"/>
            <w:gridSpan w:val="4"/>
          </w:tcPr>
          <w:p>
            <w:pPr>
              <w:spacing w:after="0"/>
              <w:rPr>
                <w:sz w:val="17"/>
                <w:szCs w:val="17"/>
                <w:color w:val="auto"/>
              </w:rPr>
            </w:pPr>
          </w:p>
        </w:tc>
        <w:tc>
          <w:tcPr>
            <w:tcW w:w="8080" w:type="dxa"/>
            <w:vAlign w:val="bottom"/>
            <w:tcBorders>
              <w:bottom w:val="single" w:sz="8" w:color="0000EE"/>
            </w:tcBorders>
            <w:gridSpan w:val="55"/>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6.</w:t>
              </w:r>
            </w:hyperlink>
          </w:p>
        </w:tc>
        <w:tc>
          <w:tcPr>
            <w:tcW w:w="580" w:type="dxa"/>
            <w:vAlign w:val="bottom"/>
            <w:gridSpan w:val="4"/>
          </w:tcPr>
          <w:p>
            <w:pPr>
              <w:spacing w:after="0"/>
              <w:rPr>
                <w:sz w:val="17"/>
                <w:szCs w:val="17"/>
                <w:color w:val="auto"/>
              </w:rPr>
            </w:pPr>
          </w:p>
        </w:tc>
        <w:tc>
          <w:tcPr>
            <w:tcW w:w="17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7980" w:type="dxa"/>
            <w:vAlign w:val="bottom"/>
            <w:gridSpan w:val="40"/>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7.</w:t>
              </w:r>
            </w:hyperlink>
          </w:p>
        </w:tc>
        <w:tc>
          <w:tcPr>
            <w:tcW w:w="580" w:type="dxa"/>
            <w:vAlign w:val="bottom"/>
            <w:gridSpan w:val="4"/>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7A.</w:t>
              </w:r>
            </w:hyperlink>
          </w:p>
        </w:tc>
        <w:tc>
          <w:tcPr>
            <w:tcW w:w="440" w:type="dxa"/>
            <w:vAlign w:val="bottom"/>
            <w:gridSpan w:val="2"/>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11"/>
          </w:tcPr>
          <w:p>
            <w:pPr>
              <w:spacing w:after="0"/>
              <w:rPr>
                <w:sz w:val="17"/>
                <w:szCs w:val="17"/>
                <w:color w:val="auto"/>
              </w:rPr>
            </w:pPr>
          </w:p>
        </w:tc>
        <w:tc>
          <w:tcPr>
            <w:tcW w:w="5340" w:type="dxa"/>
            <w:vAlign w:val="bottom"/>
            <w:gridSpan w:val="12"/>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9.</w:t>
              </w:r>
            </w:hyperlink>
          </w:p>
        </w:tc>
        <w:tc>
          <w:tcPr>
            <w:tcW w:w="580" w:type="dxa"/>
            <w:vAlign w:val="bottom"/>
            <w:gridSpan w:val="4"/>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9A.</w:t>
              </w:r>
            </w:hyperlink>
          </w:p>
        </w:tc>
        <w:tc>
          <w:tcPr>
            <w:tcW w:w="440" w:type="dxa"/>
            <w:vAlign w:val="bottom"/>
            <w:gridSpan w:val="2"/>
          </w:tcPr>
          <w:p>
            <w:pPr>
              <w:spacing w:after="0"/>
              <w:rPr>
                <w:sz w:val="17"/>
                <w:szCs w:val="17"/>
                <w:color w:val="auto"/>
              </w:rPr>
            </w:pPr>
          </w:p>
        </w:tc>
        <w:tc>
          <w:tcPr>
            <w:tcW w:w="17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Controls and Procedures</w:t>
              </w:r>
            </w:hyperlink>
          </w:p>
        </w:tc>
        <w:tc>
          <w:tcPr>
            <w:tcW w:w="7920" w:type="dxa"/>
            <w:vAlign w:val="bottom"/>
            <w:gridSpan w:val="39"/>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9B.</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gridSpan w:val="17"/>
          </w:tcPr>
          <w:p>
            <w:pPr>
              <w:jc w:val="center"/>
              <w:ind w:right="4420"/>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Item 10.</w:t>
              </w:r>
            </w:hyperlink>
          </w:p>
        </w:tc>
        <w:tc>
          <w:tcPr>
            <w:tcW w:w="4260" w:type="dxa"/>
            <w:vAlign w:val="bottom"/>
            <w:gridSpan w:val="4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Directors and Executive Officers of the Registrant</w:t>
              </w:r>
            </w:hyperlink>
          </w:p>
        </w:tc>
        <w:tc>
          <w:tcPr>
            <w:tcW w:w="740" w:type="dxa"/>
            <w:vAlign w:val="bottom"/>
            <w:tcBorders>
              <w:top w:val="single" w:sz="8" w:color="0000EE"/>
            </w:tcBorders>
            <w:gridSpan w:val="9"/>
          </w:tcPr>
          <w:p>
            <w:pPr>
              <w:spacing w:after="0"/>
              <w:rPr>
                <w:sz w:val="17"/>
                <w:szCs w:val="17"/>
                <w:color w:val="auto"/>
              </w:rPr>
            </w:pPr>
          </w:p>
        </w:tc>
        <w:tc>
          <w:tcPr>
            <w:tcW w:w="4700" w:type="dxa"/>
            <w:vAlign w:val="bottom"/>
            <w:gridSpan w:val="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1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11.</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18"/>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Compensation Discussion and Analysis</w:t>
              </w:r>
            </w:hyperlink>
          </w:p>
        </w:tc>
        <w:tc>
          <w:tcPr>
            <w:tcW w:w="6840" w:type="dxa"/>
            <w:vAlign w:val="bottom"/>
            <w:gridSpan w:val="2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Compensation Committee Interlocks and Insider Participation</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60" w:type="dxa"/>
            <w:vAlign w:val="bottom"/>
            <w:tcBorders>
              <w:top w:val="single" w:sz="8" w:color="0000EE"/>
            </w:tcBorders>
            <w:gridSpan w:val="4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Compensation Committee Report</w:t>
              </w:r>
            </w:hyperlink>
          </w:p>
        </w:tc>
        <w:tc>
          <w:tcPr>
            <w:tcW w:w="5240" w:type="dxa"/>
            <w:vAlign w:val="bottom"/>
            <w:gridSpan w:val="1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tcBorders>
              <w:top w:val="single" w:sz="8" w:color="0000EE"/>
            </w:tcBorders>
            <w:gridSpan w:val="25"/>
          </w:tcPr>
          <w:p>
            <w:pPr>
              <w:spacing w:after="0" w:line="196"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Summary Compensation Table</w:t>
              </w:r>
            </w:hyperlink>
          </w:p>
        </w:tc>
        <w:tc>
          <w:tcPr>
            <w:tcW w:w="7280" w:type="dxa"/>
            <w:vAlign w:val="bottom"/>
            <w:gridSpan w:val="31"/>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Grants of Plan-Based Awards for 2009</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gridSpan w:val="2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Outstanding Equity Awards at 2009 Fiscal Year End</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Option Exercises and Stock Vested for Fiscal 2009</w:t>
              </w:r>
            </w:hyperlink>
          </w:p>
        </w:tc>
        <w:tc>
          <w:tcPr>
            <w:tcW w:w="100" w:type="dxa"/>
            <w:vAlign w:val="bottom"/>
            <w:tcBorders>
              <w:top w:val="single" w:sz="8" w:color="0000EE"/>
            </w:tcBorders>
          </w:tcPr>
          <w:p>
            <w:pPr>
              <w:spacing w:after="0"/>
              <w:rPr>
                <w:sz w:val="17"/>
                <w:szCs w:val="17"/>
                <w:color w:val="auto"/>
              </w:rPr>
            </w:pPr>
          </w:p>
        </w:tc>
        <w:tc>
          <w:tcPr>
            <w:tcW w:w="5940" w:type="dxa"/>
            <w:vAlign w:val="bottom"/>
            <w:gridSpan w:val="19"/>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Non-Qualified Deferred Compensation for Fiscal 2009</w:t>
              </w:r>
            </w:hyperlink>
          </w:p>
        </w:tc>
        <w:tc>
          <w:tcPr>
            <w:tcW w:w="5740" w:type="dxa"/>
            <w:vAlign w:val="bottom"/>
            <w:gridSpan w:val="17"/>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Borders>
              <w:bottom w:val="single" w:sz="8" w:color="0000EE"/>
            </w:tcBorders>
            <w:gridSpan w:val="43"/>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Potential Payments Upon Termination or Change in Control</w:t>
              </w:r>
            </w:hyperlink>
          </w:p>
        </w:tc>
        <w:tc>
          <w:tcPr>
            <w:tcW w:w="5360" w:type="dxa"/>
            <w:vAlign w:val="bottom"/>
            <w:gridSpan w:val="13"/>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Compensation of Directors</w:t>
              </w:r>
            </w:hyperlink>
          </w:p>
        </w:tc>
        <w:tc>
          <w:tcPr>
            <w:tcW w:w="7740" w:type="dxa"/>
            <w:vAlign w:val="bottom"/>
            <w:gridSpan w:val="36"/>
          </w:tcPr>
          <w:p>
            <w:pPr>
              <w:spacing w:after="0"/>
              <w:rPr>
                <w:sz w:val="17"/>
                <w:szCs w:val="17"/>
                <w:color w:val="auto"/>
              </w:rPr>
            </w:pP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5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Director Compensation Table</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3"/>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Item 12.</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Borders>
              <w:right w:val="single" w:sz="8" w:color="0000EE"/>
            </w:tcBorders>
            <w:gridSpan w:val="30"/>
            <w:shd w:val="clear" w:color="auto" w:fill="0000EE"/>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13.</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Certain Relationships, Related Transactions, and Director Independence</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Borders>
              <w:right w:val="single" w:sz="8" w:color="0000EE"/>
            </w:tcBorders>
            <w:gridSpan w:val="30"/>
            <w:shd w:val="clear" w:color="auto" w:fill="0000EE"/>
          </w:tcPr>
          <w:p>
            <w:pPr>
              <w:spacing w:after="0" w:line="20" w:lineRule="exact"/>
              <w:rPr>
                <w:sz w:val="1"/>
                <w:szCs w:val="1"/>
                <w:color w:val="auto"/>
              </w:rPr>
            </w:pPr>
          </w:p>
        </w:tc>
        <w:tc>
          <w:tcPr>
            <w:tcW w:w="1380" w:type="dxa"/>
            <w:vAlign w:val="bottom"/>
            <w:gridSpan w:val="11"/>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14.</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Principal Accounting Fees and Services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7"/>
          </w:tcPr>
          <w:p>
            <w:pPr>
              <w:jc w:val="center"/>
              <w:spacing w:after="0" w:line="196" w:lineRule="exact"/>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PART IV</w:t>
              </w:r>
            </w:hyperlink>
          </w:p>
        </w:tc>
        <w:tc>
          <w:tcPr>
            <w:tcW w:w="472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15.</w:t>
              </w:r>
            </w:hyperlink>
          </w:p>
        </w:tc>
        <w:tc>
          <w:tcPr>
            <w:tcW w:w="9700" w:type="dxa"/>
            <w:vAlign w:val="bottom"/>
            <w:gridSpan w:val="5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Exhibits, Financial Statement Schedules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900" w:type="dxa"/>
            <w:vAlign w:val="bottom"/>
            <w:tcBorders>
              <w:right w:val="single" w:sz="8" w:color="0000EE"/>
            </w:tcBorders>
            <w:gridSpan w:val="9"/>
            <w:shd w:val="clear" w:color="auto" w:fill="0000EE"/>
          </w:tcPr>
          <w:p>
            <w:pPr>
              <w:spacing w:after="0" w:line="20" w:lineRule="exact"/>
              <w:rPr>
                <w:sz w:val="1"/>
                <w:szCs w:val="1"/>
                <w:color w:val="auto"/>
              </w:rPr>
            </w:pPr>
          </w:p>
        </w:tc>
        <w:tc>
          <w:tcPr>
            <w:tcW w:w="1660" w:type="dxa"/>
            <w:vAlign w:val="bottom"/>
            <w:tcBorders>
              <w:right w:val="single" w:sz="8" w:color="0000EE"/>
            </w:tcBorders>
            <w:gridSpan w:val="22"/>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742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0" w:type="dxa"/>
            <w:vAlign w:val="bottom"/>
            <w:gridSpan w:val="6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10760" w:type="dxa"/>
            <w:vAlign w:val="bottom"/>
            <w:gridSpan w:val="5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Brady Corporation 2010 Omnibus Incentive Stock Plan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Brady Corporation 2010 Nonqualified Stock Option Plan for Non-Employee Directors</w:t>
      </w:r>
    </w:p>
    <w:p>
      <w:pPr>
        <w:spacing w:after="0" w:line="9" w:lineRule="exact"/>
        <w:rPr>
          <w:sz w:val="20"/>
          <w:szCs w:val="20"/>
          <w:color w:val="auto"/>
        </w:rPr>
      </w:pPr>
    </w:p>
    <w:p>
      <w:pPr>
        <w:ind w:left="60" w:right="360"/>
        <w:spacing w:after="0" w:line="250" w:lineRule="auto"/>
        <w:rPr>
          <w:sz w:val="20"/>
          <w:szCs w:val="20"/>
          <w:color w:val="auto"/>
        </w:rPr>
      </w:pPr>
      <w:r>
        <w:rPr>
          <w:rFonts w:ascii="Arial" w:cs="Arial" w:eastAsia="Arial" w:hAnsi="Arial"/>
          <w:sz w:val="18"/>
          <w:szCs w:val="18"/>
          <w:u w:val="single" w:color="auto"/>
          <w:color w:val="0000EE"/>
        </w:rPr>
        <w:t>Form of Non-Qualified Employee Stock Option Agreement and Employee Performance Stock Option Agreement under 2010 Omnibus Incentive Stock Plan Form of Director Stock Option Agreement under 2010 Nonqualified Stock Option Plan for Non-employee Directors Subsidiaries of Brady Corporation</w:t>
      </w:r>
    </w:p>
    <w:p>
      <w:pPr>
        <w:spacing w:after="0" w:line="1" w:lineRule="exact"/>
        <w:rPr>
          <w:sz w:val="20"/>
          <w:szCs w:val="20"/>
          <w:color w:val="auto"/>
        </w:rPr>
      </w:pPr>
    </w:p>
    <w:p>
      <w:pPr>
        <w:ind w:left="60" w:right="5420"/>
        <w:spacing w:after="0" w:line="250" w:lineRule="auto"/>
        <w:rPr>
          <w:sz w:val="20"/>
          <w:szCs w:val="20"/>
          <w:color w:val="auto"/>
        </w:rPr>
      </w:pPr>
      <w:r>
        <w:rPr>
          <w:rFonts w:ascii="Arial" w:cs="Arial" w:eastAsia="Arial" w:hAnsi="Arial"/>
          <w:sz w:val="18"/>
          <w:szCs w:val="18"/>
          <w:u w:val="single" w:color="auto"/>
          <w:color w:val="0000EE"/>
        </w:rPr>
        <w:t>Consent of Deloitte &amp; Touche LLP, Independent Registered Public Accounting Firm Rule 13a-14(a)/15d-14(a) Certification of Frank M. Jaehnert Rule 13a-14(a)/15d-14(a) Certification of Thomas J. Felmer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 of Frank M. Jaehnert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Section 1350 Certification of Thomas J. Felmer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40" w:firstLine="222"/>
        <w:spacing w:after="0" w:line="342" w:lineRule="auto"/>
        <w:rPr>
          <w:sz w:val="20"/>
          <w:szCs w:val="20"/>
          <w:color w:val="auto"/>
        </w:rPr>
      </w:pPr>
      <w:r>
        <w:rPr>
          <w:rFonts w:ascii="Arial" w:cs="Arial" w:eastAsia="Arial" w:hAnsi="Arial"/>
          <w:sz w:val="16"/>
          <w:szCs w:val="16"/>
          <w:color w:val="auto"/>
        </w:rPr>
        <w:t>This amended report on Form 10-K/A (the “Amended Report”) is being filed to amend Item 8 — Financial Statements and Supplementary Data, in Part II of the Company’s Annual Report on Form 10-K for the year ended July 31, 2009 that was filed on September 28, 2009 (the “Original Report”) to remove one</w:t>
      </w:r>
    </w:p>
    <w:p>
      <w:pPr>
        <w:sectPr>
          <w:pgSz w:w="11900" w:h="16867" w:orient="portrait"/>
          <w:cols w:equalWidth="0" w:num="1">
            <w:col w:w="11420"/>
          </w:cols>
          <w:pgMar w:left="240" w:top="958" w:right="239" w:bottom="0" w:gutter="0" w:footer="0" w:header="0"/>
        </w:sectPr>
      </w:pPr>
    </w:p>
    <w:bookmarkStart w:id="4" w:name="page5"/>
    <w:bookmarkEnd w:id="4"/>
    <w:p>
      <w:pPr>
        <w:ind w:right="200"/>
        <w:spacing w:after="0" w:line="342" w:lineRule="auto"/>
        <w:rPr>
          <w:sz w:val="20"/>
          <w:szCs w:val="20"/>
          <w:color w:val="auto"/>
        </w:rPr>
      </w:pPr>
      <w:r>
        <w:rPr>
          <w:rFonts w:ascii="Arial" w:cs="Arial" w:eastAsia="Arial" w:hAnsi="Arial"/>
          <w:sz w:val="16"/>
          <w:szCs w:val="16"/>
          <w:color w:val="auto"/>
        </w:rPr>
        <w:t>of the lines entitled “Purchase price adjustment,” which was inadvertently included twice within the investing activities on the Consolidated Statement of Cash Flows on page 37 of the Original Report due to a typographical error. No other changes have been made to the contents of the Original Report.</w:t>
      </w:r>
    </w:p>
    <w:p>
      <w:pPr>
        <w:spacing w:after="0" w:line="16"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Amended Report continues to speak as of the date of the Original Report. We have not updated the disclosures contained in this Amended Report to reflect any events that occurred at a date subsequent to the filing of the Original Report.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Brady Corporation and Subsidiaries are referred to herein as the “Company,” “Brady,” or “we”.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Development of Business</w:t>
      </w:r>
    </w:p>
    <w:p>
      <w:pPr>
        <w:spacing w:after="0" w:line="11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The Company, a Wisconsin corporation founded in 1914, currently operates 59 manufacturing or distribution facilities in Australia, Belgium, Brazil, Canada, China, France, Germany, India, Italy, Japan, Malaysia, Mexico, the Netherlands, Norway, Poland, Singapore, South Korea, Sweden, Thailand, the United Kingdom and the United States. The Company also sells through subsidiaries or sales offices in these countries, with additional sales through a dedicated team of international sales representatives in Hong Kong, the Philippines, Slovakia, Spain, Taiwan, Turkey and the United Arab Emirates. The Company further markets its products to parts of Eastern Europe, the Middle East, Africa and Russia. The Company’s corporate headquarters are located at 6555 West Good Hope Road, Milwaukee, Wisconsin 53223, and the telephone number is (414) 358-6600. The Company’s Internet address is http://www.bradycorp.com.</w:t>
      </w:r>
    </w:p>
    <w:p>
      <w:pPr>
        <w:spacing w:after="0" w:line="18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Industry Segments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Narrative Description of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Brady Corporation is an international manufacturer and marketer of identification solutions and specialty products that identify and protect premises, products and people. Brady’s core capabilities in manufacturing, channel management, printing systems, precision engineering and materials expertise make it a leading supplier to customers in general manufacturing, maintenance and safety, process industries, construction, electrical, telecommunications, electronics, laboratory/healthcare, airline/transportation, security/brand education, governmental, public utility, and a variety of other industries.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its markets.</w:t>
      </w:r>
    </w:p>
    <w:p>
      <w:pPr>
        <w:spacing w:after="0" w:line="81"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Brady manufactures and markets a wide range of products for use in diverse applications. Major product lines include facility identification; safety and complementary products; wire and cable identification products; sorbent materials; people identification products; regulatory publishing; high-performance identification products for product identification and work-in-process identification; and bar-code labels and precision die-cut components for mobile telecommunications devices, hard disk drives, medical devices and supplies, and automotive and other electronics. Products are marketed through multiple channels, including distributors, resellers, business-to-business direct marketing and a direct sales force.</w:t>
      </w:r>
    </w:p>
    <w:p>
      <w:pPr>
        <w:spacing w:after="0" w:line="64" w:lineRule="exact"/>
        <w:rPr>
          <w:sz w:val="20"/>
          <w:szCs w:val="20"/>
          <w:color w:val="auto"/>
        </w:rPr>
      </w:pPr>
    </w:p>
    <w:p>
      <w:pPr>
        <w:jc w:val="both"/>
        <w:ind w:right="180" w:firstLine="222"/>
        <w:spacing w:after="0" w:line="312" w:lineRule="auto"/>
        <w:rPr>
          <w:sz w:val="20"/>
          <w:szCs w:val="20"/>
          <w:color w:val="auto"/>
        </w:rPr>
      </w:pPr>
      <w:r>
        <w:rPr>
          <w:rFonts w:ascii="Arial" w:cs="Arial" w:eastAsia="Arial" w:hAnsi="Arial"/>
          <w:sz w:val="16"/>
          <w:szCs w:val="16"/>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similar regulatory agencies around the world, and by the need to identify and track assets or to identify, direct, warn, inform, train and protect people or products.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a broad customer base, with its largest customer representing approximately 6% of net sales.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believes the following competitive strengths will allow it to achieve its strategy:</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i w:val="1"/>
          <w:iCs w:val="1"/>
          <w:color w:val="auto"/>
        </w:rPr>
        <w:t xml:space="preserve">Leader in Niche Markets. </w:t>
      </w:r>
      <w:r>
        <w:rPr>
          <w:rFonts w:ascii="Arial" w:cs="Arial" w:eastAsia="Arial" w:hAnsi="Arial"/>
          <w:sz w:val="16"/>
          <w:szCs w:val="16"/>
          <w:color w:val="auto"/>
        </w:rPr>
        <w:t>Brady competes in niche markets where it believes it is often the leading supplier with the manufacturing expertise,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channels and sales resources necessary to provide the required product or comprehensive solution. For example, the Company believes it is the leading supplier of wire identification products to the North American MRO (Maintenance, Repair and Operations) market and of precision die-cut components to the mobile telecommunications market. The Company believes its leadership positions make it a preferred supplier to many of its customers and enables it to be successful in its markets, which are generally fragmented and populated with smaller or regional competitors.</w:t>
      </w:r>
    </w:p>
    <w:p>
      <w:pPr>
        <w:spacing w:after="0" w:line="5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i w:val="1"/>
          <w:iCs w:val="1"/>
          <w:color w:val="auto"/>
        </w:rPr>
        <w:t xml:space="preserve">Differentiated Solutions and Commitment to Innovation. </w:t>
      </w:r>
      <w:r>
        <w:rPr>
          <w:rFonts w:ascii="Arial" w:cs="Arial" w:eastAsia="Arial" w:hAnsi="Arial"/>
          <w:sz w:val="16"/>
          <w:szCs w:val="16"/>
          <w:color w:val="auto"/>
        </w:rPr>
        <w:t>The Company believes its sophisticated engineering and manufacturing capabilities, as well as its</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in materials, give 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its traditional markets, such as laboratory identification, aerospace, defense, and mass transit.</w:t>
      </w:r>
    </w:p>
    <w:p>
      <w:pPr>
        <w:spacing w:after="0" w:line="5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Brady continues to improve in operational productivity. It employs well-developed problem solving techniques and invests in</w:t>
      </w:r>
      <w:r>
        <w:rPr>
          <w:rFonts w:ascii="Arial" w:cs="Arial" w:eastAsia="Arial" w:hAnsi="Arial"/>
          <w:sz w:val="18"/>
          <w:szCs w:val="18"/>
          <w:i w:val="1"/>
          <w:iCs w:val="1"/>
          <w:color w:val="auto"/>
        </w:rPr>
        <w:t xml:space="preserve"> </w:t>
      </w:r>
      <w:r>
        <w:rPr>
          <w:rFonts w:ascii="Arial" w:cs="Arial" w:eastAsia="Arial" w:hAnsi="Arial"/>
          <w:sz w:val="18"/>
          <w:szCs w:val="18"/>
          <w:color w:val="auto"/>
        </w:rPr>
        <w:t>state-of-the-art equipment to capture efficiencies. The Company is largely vertically integrated and designs, manufactures and markets a majority of the products it sells. The Company has invested heavily over the last several years to centralize its North American distribution process and to standardize its SAP software applications. It has consistently generated positive cash flow from operations by continually reducing costs and optimizing the efficiency of its manufacturing operations.</w:t>
      </w:r>
    </w:p>
    <w:p>
      <w:pPr>
        <w:spacing w:after="0" w:line="80"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i w:val="1"/>
          <w:iCs w:val="1"/>
          <w:color w:val="auto"/>
        </w:rPr>
        <w:t xml:space="preserve">Broad Customer Base and Geographic Diversity. </w:t>
      </w:r>
      <w:r>
        <w:rPr>
          <w:rFonts w:ascii="Arial" w:cs="Arial" w:eastAsia="Arial" w:hAnsi="Arial"/>
          <w:sz w:val="17"/>
          <w:szCs w:val="17"/>
          <w:color w:val="auto"/>
        </w:rPr>
        <w:t>Brady believes its global infrastructure and diverse market presence provide a solid platform for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expansion, and enable it to act as a primary supplier to many of its global customers. Sales from international operations increased from 44.4% of net sales in fiscal 2000 to 61.8% of net sales in fiscal 2009. The Company’s broad product offering and global presence benefit many of its customers who seek a single or primary supplier. Brady has over 500,000 end-customers that operate in multiple industries.</w:t>
      </w:r>
    </w:p>
    <w:p>
      <w:pPr>
        <w:spacing w:after="0" w:line="6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i w:val="1"/>
          <w:iCs w:val="1"/>
          <w:color w:val="auto"/>
        </w:rPr>
        <w:t xml:space="preserve">Disciplined Acquisition and Integration Strategy. </w:t>
      </w:r>
      <w:r>
        <w:rPr>
          <w:rFonts w:ascii="Arial" w:cs="Arial" w:eastAsia="Arial" w:hAnsi="Arial"/>
          <w:sz w:val="17"/>
          <w:szCs w:val="17"/>
          <w:color w:val="auto"/>
        </w:rPr>
        <w:t>The Company has a dedicated team of experienced professionals that employ a disciplined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process to acquire companies. It applies strict financial standards to evaluate all acquisitions using an expected return model based on a modified return on invested capital calculation. It also conducts disciplined integration reviews of acquired firms to track progress toward results expected at the time of acquisition. Since 1996, the Company has acquired and integrated 53 companies to increase market share in existing and new geographies, expand the product range it offers to both existing and new customers, as well as add new technological capabilities.</w:t>
      </w:r>
    </w:p>
    <w:p>
      <w:pPr>
        <w:spacing w:after="0" w:line="6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i w:val="1"/>
          <w:iCs w:val="1"/>
          <w:color w:val="auto"/>
        </w:rPr>
        <w:t xml:space="preserve">Channel Diversity and Strength. </w:t>
      </w:r>
      <w:r>
        <w:rPr>
          <w:rFonts w:ascii="Arial" w:cs="Arial" w:eastAsia="Arial" w:hAnsi="Arial"/>
          <w:sz w:val="17"/>
          <w:szCs w:val="17"/>
          <w:color w:val="auto"/>
        </w:rPr>
        <w:t>Brady utilizes a wide range of channels to reach customers across a broad array of industries. It employs direct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to meet its customers’ need for convenience. The Company also has long-standing relationships with, and is a preferred supplier to, many of its largest distributors. In addition, the Company employs a global sales team to support both distributors and customers and to serve their productivity, tracking and safety requirements. The Company believes its strong brands and reputation for quality, innovation and on-time delivery contribute to the popularity of its products with distributors, original equipment manufacturers (“OEMs”), resellers and other customers.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Deep and Talented Team. </w:t>
      </w:r>
      <w:r>
        <w:rPr>
          <w:rFonts w:ascii="Arial" w:cs="Arial" w:eastAsia="Arial" w:hAnsi="Arial"/>
          <w:sz w:val="17"/>
          <w:szCs w:val="17"/>
          <w:color w:val="auto"/>
        </w:rPr>
        <w:t>The Company believes that its team of employees has substantial depth in critical operational areas and has demonstrated success in</w:t>
      </w:r>
      <w:r>
        <w:rPr>
          <w:rFonts w:ascii="Arial" w:cs="Arial" w:eastAsia="Arial" w:hAnsi="Arial"/>
          <w:sz w:val="17"/>
          <w:szCs w:val="17"/>
          <w:i w:val="1"/>
          <w:iCs w:val="1"/>
          <w:color w:val="auto"/>
        </w:rPr>
        <w:t xml:space="preserve"> </w:t>
      </w:r>
      <w:r>
        <w:rPr>
          <w:rFonts w:ascii="Arial" w:cs="Arial" w:eastAsia="Arial" w:hAnsi="Arial"/>
          <w:sz w:val="17"/>
          <w:szCs w:val="17"/>
          <w:color w:val="auto"/>
        </w:rPr>
        <w:t>reducing costs, integrating acquisitions and improving processes through economic cycles. The international experience of its management team and its commitment to developing strong management teams in each of the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Brady organization strengthens relationships with its customers and suppliers and enables the Company to provide its customers with a high level of product and industry expertise.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Strategies</w:t>
      </w:r>
    </w:p>
    <w:p>
      <w:pPr>
        <w:spacing w:after="0" w:line="121"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The Company’s primary growth objectives are to build upon its leading market positions, to improve its performance and profitability and to expand its existing activities through a multi-pronged strategic approach that incorporates both organic growth and acquisitions. The Company’s key strategies include:</w:t>
      </w:r>
    </w:p>
    <w:p>
      <w:pPr>
        <w:spacing w:after="0" w:line="16"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i w:val="1"/>
          <w:iCs w:val="1"/>
          <w:color w:val="auto"/>
        </w:rPr>
        <w:t xml:space="preserve">Improve Profitability. </w:t>
      </w:r>
      <w:r>
        <w:rPr>
          <w:rFonts w:ascii="Arial" w:cs="Arial" w:eastAsia="Arial" w:hAnsi="Arial"/>
          <w:sz w:val="17"/>
          <w:szCs w:val="17"/>
          <w:color w:val="auto"/>
        </w:rPr>
        <w:t>The Company plans to continue its focus on improving operating efficiency, reducing costs, and improving productivity and return</w:t>
      </w:r>
      <w:r>
        <w:rPr>
          <w:rFonts w:ascii="Arial" w:cs="Arial" w:eastAsia="Arial" w:hAnsi="Arial"/>
          <w:sz w:val="17"/>
          <w:szCs w:val="17"/>
          <w:i w:val="1"/>
          <w:iCs w:val="1"/>
          <w:color w:val="auto"/>
        </w:rPr>
        <w:t xml:space="preserve"> </w:t>
      </w:r>
      <w:r>
        <w:rPr>
          <w:rFonts w:ascii="Arial" w:cs="Arial" w:eastAsia="Arial" w:hAnsi="Arial"/>
          <w:sz w:val="17"/>
          <w:szCs w:val="17"/>
          <w:color w:val="auto"/>
        </w:rPr>
        <w:t>on invested capital. To this end, Brady is continuing to implement its Brady Business Performance System (“BBPS”) initiative and expanding it to most of its operations globally. This approach to improving profitability focuses on strategy deployment, operational efficiencies and lean manufacturing principles to drive cost-savings, enhance customer service and overall business performance. Productivity improvement investments made in 2009 include tools such as software systems that enhance efficiencies in the areas of accounts receivables, human resources and sales. In addition, each acquisition the Company makes provides additional opportunities to improve its own performance as well as the performance of the acquired company. The Company often continues to realize synergies with acquired companies several years after the acquisition date.</w:t>
      </w:r>
    </w:p>
    <w:p>
      <w:pPr>
        <w:spacing w:after="0" w:line="7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i w:val="1"/>
          <w:iCs w:val="1"/>
          <w:color w:val="auto"/>
        </w:rPr>
        <w:t xml:space="preserve">New Product Development. </w:t>
      </w:r>
      <w:r>
        <w:rPr>
          <w:rFonts w:ascii="Arial" w:cs="Arial" w:eastAsia="Arial" w:hAnsi="Arial"/>
          <w:sz w:val="16"/>
          <w:szCs w:val="16"/>
          <w:color w:val="auto"/>
        </w:rPr>
        <w:t>Through product innovation and development activities, Brady seeks to introduce new technologies and differentiated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that leverage its capabilities in specialty materials, die-cutting, software and printing systems. The Company continues to invest in research and development activities, and employs approximately 235 R&amp;D professionals in the United States, Europe and Asia. In 2009 the Company expanded its R&amp;D operations in Singapore and Beijing, China. Amounts incurred for research and development activities were 2.8% and 2.7% of sales in fiscal 2009 and 2008, respectively.</w:t>
      </w:r>
    </w:p>
    <w:p>
      <w:pPr>
        <w:spacing w:after="0" w:line="46"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i w:val="1"/>
          <w:iCs w:val="1"/>
          <w:color w:val="auto"/>
        </w:rPr>
        <w:t xml:space="preserve">Capitalize on Growing Niche Markets. </w:t>
      </w:r>
      <w:r>
        <w:rPr>
          <w:rFonts w:ascii="Arial" w:cs="Arial" w:eastAsia="Arial" w:hAnsi="Arial"/>
          <w:sz w:val="18"/>
          <w:szCs w:val="18"/>
          <w:color w:val="auto"/>
        </w:rPr>
        <w:t>The Company seeks to leverage its premier reputation, global footprint and strength in manufacturing and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to capitalize on growth in existing niche markets. Growth prospects are driven primarily by the general expansion of regional economies, changes in legal and regulatory compliance requirements and the increased need of customers to identify and protect their assets and employees, as well as technological advances in markets such as mobile telecommunications and other electronic devices.</w:t>
      </w:r>
    </w:p>
    <w:p>
      <w:pPr>
        <w:spacing w:after="0" w:line="7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i w:val="1"/>
          <w:iCs w:val="1"/>
          <w:color w:val="auto"/>
        </w:rPr>
        <w:t xml:space="preserve">Increase Market Share. </w:t>
      </w:r>
      <w:r>
        <w:rPr>
          <w:rFonts w:ascii="Arial" w:cs="Arial" w:eastAsia="Arial" w:hAnsi="Arial"/>
          <w:sz w:val="18"/>
          <w:szCs w:val="18"/>
          <w:color w:val="auto"/>
        </w:rPr>
        <w:t>Many Brady markets are fragmented and populated with smaller or regional competitors. The Company seeks to leverage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new product development and its global sales, operations and distribution capabilities to increase market share, as well as expand its distribution channels to capture new customers. The Company employs a dedicated and experienced sales team that works closely with existing distributors and customers to identify and capture new opportunities. In addition, Brady plans to leverage the strength of its brands, the quality of its products and its long-standing relationships with key customers to build upon current market positions.</w:t>
      </w:r>
    </w:p>
    <w:p>
      <w:pPr>
        <w:spacing w:after="0" w:line="80"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i w:val="1"/>
          <w:iCs w:val="1"/>
          <w:color w:val="auto"/>
        </w:rPr>
        <w:t xml:space="preserve">Enter New Markets. </w:t>
      </w:r>
      <w:r>
        <w:rPr>
          <w:rFonts w:ascii="Arial" w:cs="Arial" w:eastAsia="Arial" w:hAnsi="Arial"/>
          <w:sz w:val="18"/>
          <w:szCs w:val="18"/>
          <w:color w:val="auto"/>
        </w:rPr>
        <w:t>The Company looks to leverage its quality products, global infrastructure, channel relationships and selling capabilities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enter new markets, many of which are fragmented and populated with smaller competitors. The Company is also considering entering adjacent markets where its core competencies can be successfully leveraged. The Company reviews its product and market portfolio on a regular basis through its standardized review process in order to identify new opportunities.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Expand Geographically. </w:t>
      </w:r>
      <w:r>
        <w:rPr>
          <w:rFonts w:ascii="Arial" w:cs="Arial" w:eastAsia="Arial" w:hAnsi="Arial"/>
          <w:sz w:val="18"/>
          <w:szCs w:val="18"/>
          <w:color w:val="auto"/>
        </w:rPr>
        <w:t>Brady’s long-term strategy involves the pursuit of growth opportunities in a number of markets outside of the United States.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committed to being in close proximity to its customers and to low-cost manufacturing. Brady currently operates in 34 countries and employs approximately 6,800 people. Of the approximately 6,800 global employees, Asia-Pacific accounts for 43%, with the Americas (including Corporate and R&amp;D resources) and Europe employing 37%, and 20% of the workforce, respectively.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85"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Pursue Strategic Acquisitions. </w:t>
      </w:r>
      <w:r>
        <w:rPr>
          <w:rFonts w:ascii="Arial" w:cs="Arial" w:eastAsia="Arial" w:hAnsi="Arial"/>
          <w:sz w:val="18"/>
          <w:szCs w:val="18"/>
          <w:color w:val="auto"/>
        </w:rPr>
        <w:t>The Company intends to continue to make complementary strategic acquisitions to further its goals of strengthening its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positions and entering new markets and geographies. In addition, the Company is developing strategies for acquiring companies in adjacent markets where Brady competencies can be applied and social, economic and cultural trends can be positively leveraged. Brady works to drive substantial value creation through capitalizing on its acquisition and integration acumen.</w:t>
      </w:r>
    </w:p>
    <w:p>
      <w:pPr>
        <w:spacing w:after="0" w:line="79"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i w:val="1"/>
          <w:iCs w:val="1"/>
          <w:color w:val="auto"/>
        </w:rPr>
        <w:t xml:space="preserve">Improve Working Capital. </w:t>
      </w:r>
      <w:r>
        <w:rPr>
          <w:rFonts w:ascii="Arial" w:cs="Arial" w:eastAsia="Arial" w:hAnsi="Arial"/>
          <w:sz w:val="18"/>
          <w:szCs w:val="18"/>
          <w:color w:val="auto"/>
        </w:rPr>
        <w:t>Brady continues to keep a strong focus on working capital management. The Company intends to drive increases in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by heightened focus on inventory, accounts receivable, and accounts payable management. This focus is further evidenced by the incorporation of working capital targets in the majority of employee incentive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is largely vertically integrated by designing, developing, and producing most of its identification products and printing systems. Brady materials are developed internally and manufactured out of a variety of films, many of which are coated by Brady, for applications in the following markets: electronic, industrial, electrical, utility, laboratory, safety and security. Brady also manufactures specialty tapes and related products that are characterized by high-performance printable top coats and adhesives, most of which are formulated by the Company, to meet high-tolerance requirements of the industries in which they are used.</w:t>
      </w:r>
    </w:p>
    <w:p>
      <w:pPr>
        <w:spacing w:after="0" w:line="80"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Company’s stock and custom products consist of over 500,000 stock-keeping units, including complete identification systems and other products used to create a safer work environment, improve operating efficiencies, and increase the utilization of assets through tracking and inventory process controls. Major product categories include: facility and safety signs, identification tags and markers, pipe and valve markers, asset identification labels, lockout/tagout products, security and traffic control products, printing systems and software for creating safety and regulatory labels and signs, spill control and clean up products,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57"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Some of the Company’s stock products were originally designed, developed and manufactured as custom products for a specific application. However, such products have frequently created wide industry acceptance and have become stock items offered by the Company through direct marketing and distributor sales. The Company’s most significant types of products are described below.</w:t>
      </w:r>
    </w:p>
    <w:p>
      <w:pPr>
        <w:spacing w:after="0" w:line="7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Facility Identification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Informational signs, tags and labels, and do-it-yourself printers </w:t>
      </w:r>
      <w:r>
        <w:rPr>
          <w:rFonts w:ascii="Arial" w:cs="Arial" w:eastAsia="Arial" w:hAnsi="Arial"/>
          <w:sz w:val="18"/>
          <w:szCs w:val="18"/>
          <w:color w:val="auto"/>
        </w:rPr>
        <w:t>for use in a broad range of industrial, utility, commercial, governmental and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These products are either self-adhesive or mechanically 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employment law posters; and photo luminescent (glow-in-the-dark) products.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i w:val="1"/>
          <w:iCs w:val="1"/>
          <w:color w:val="auto"/>
        </w:rPr>
        <w:t xml:space="preserve">Warehouse identification products </w:t>
      </w:r>
      <w:r>
        <w:rPr>
          <w:rFonts w:ascii="Arial" w:cs="Arial" w:eastAsia="Arial" w:hAnsi="Arial"/>
          <w:sz w:val="18"/>
          <w:szCs w:val="18"/>
          <w:color w:val="auto"/>
        </w:rPr>
        <w:t>including labels, tags, and printing systems used to locate and identify inventory in storage facilities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warehouses, factories, stockrooms and other industrial facilities.</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i w:val="1"/>
          <w:iCs w:val="1"/>
          <w:color w:val="auto"/>
        </w:rPr>
        <w:t xml:space="preserve">Pipe markers and valve tags </w:t>
      </w:r>
      <w:r>
        <w:rPr>
          <w:rFonts w:ascii="Arial" w:cs="Arial" w:eastAsia="Arial" w:hAnsi="Arial"/>
          <w:sz w:val="18"/>
          <w:szCs w:val="18"/>
          <w:color w:val="auto"/>
        </w:rPr>
        <w:t>including plastic or metal, self-adhesive or mechanically applied, stock or custom-designed pieces for the identification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79"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i w:val="1"/>
          <w:iCs w:val="1"/>
          <w:color w:val="auto"/>
        </w:rPr>
        <w:t xml:space="preserve">Asset-identification products </w:t>
      </w:r>
      <w:r>
        <w:rPr>
          <w:rFonts w:ascii="Arial" w:cs="Arial" w:eastAsia="Arial" w:hAnsi="Arial"/>
          <w:sz w:val="17"/>
          <w:szCs w:val="17"/>
          <w:color w:val="auto"/>
        </w:rPr>
        <w:t>that are an important part of an effective asset-management program in a wide variety of markets. 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Safety and Security Products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Lockout/tagout products </w:t>
      </w:r>
      <w:r>
        <w:rPr>
          <w:rFonts w:ascii="Arial" w:cs="Arial" w:eastAsia="Arial" w:hAnsi="Arial"/>
          <w:sz w:val="18"/>
          <w:szCs w:val="18"/>
          <w:color w:val="auto"/>
        </w:rPr>
        <w:t>— under OSHA regulations, all energy sources must be “locked out” while machines are being serviced or maintained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accidental engagement and injury. The Company’s products allow its customers to comply with these regulations and to ensure worker safety for a wide variety of energy- and fluid-transmission systems and operating machinery.</w:t>
      </w:r>
    </w:p>
    <w:p>
      <w:pPr>
        <w:spacing w:after="0" w:line="73" w:lineRule="exact"/>
        <w:rPr>
          <w:sz w:val="20"/>
          <w:szCs w:val="20"/>
          <w:color w:val="auto"/>
        </w:rPr>
      </w:pPr>
    </w:p>
    <w:p>
      <w:pPr>
        <w:ind w:right="520" w:firstLine="225"/>
        <w:spacing w:after="0" w:line="259" w:lineRule="auto"/>
        <w:rPr>
          <w:sz w:val="20"/>
          <w:szCs w:val="20"/>
          <w:color w:val="auto"/>
        </w:rPr>
      </w:pPr>
      <w:r>
        <w:rPr>
          <w:rFonts w:ascii="Arial" w:cs="Arial" w:eastAsia="Arial" w:hAnsi="Arial"/>
          <w:sz w:val="18"/>
          <w:szCs w:val="18"/>
          <w:i w:val="1"/>
          <w:iCs w:val="1"/>
          <w:color w:val="auto"/>
        </w:rPr>
        <w:t xml:space="preserve">Security and traffic control products </w:t>
      </w:r>
      <w:r>
        <w:rPr>
          <w:rFonts w:ascii="Arial" w:cs="Arial" w:eastAsia="Arial" w:hAnsi="Arial"/>
          <w:sz w:val="18"/>
          <w:szCs w:val="18"/>
          <w:color w:val="auto"/>
        </w:rPr>
        <w:t>including a variety of security seals, parking permits and wristbands designed for visitor control 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educational and 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79" w:lineRule="exact"/>
        <w:rPr>
          <w:sz w:val="20"/>
          <w:szCs w:val="20"/>
          <w:color w:val="auto"/>
        </w:rPr>
      </w:pPr>
    </w:p>
    <w:p>
      <w:pPr>
        <w:ind w:right="760" w:firstLine="225"/>
        <w:spacing w:after="0" w:line="264" w:lineRule="auto"/>
        <w:rPr>
          <w:sz w:val="20"/>
          <w:szCs w:val="20"/>
          <w:color w:val="auto"/>
        </w:rPr>
      </w:pPr>
      <w:r>
        <w:rPr>
          <w:rFonts w:ascii="Arial" w:cs="Arial" w:eastAsia="Arial" w:hAnsi="Arial"/>
          <w:sz w:val="18"/>
          <w:szCs w:val="18"/>
          <w:i w:val="1"/>
          <w:iCs w:val="1"/>
          <w:color w:val="auto"/>
        </w:rPr>
        <w:t xml:space="preserve">Spill control and clean-up products </w:t>
      </w:r>
      <w:r>
        <w:rPr>
          <w:rFonts w:ascii="Arial" w:cs="Arial" w:eastAsia="Arial" w:hAnsi="Arial"/>
          <w:sz w:val="18"/>
          <w:szCs w:val="18"/>
          <w:color w:val="auto"/>
        </w:rPr>
        <w:t>including natural and synthetic sorbent materials in a variety of shapes, sizes and configurations; spill kits,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containment booms, industrial rugs, absorbing pillows and pads, barrier spill matting and granular absorbents; and other products for absorbing and controlling chemical, oil-based and water-based spills.</w:t>
      </w:r>
    </w:p>
    <w:p>
      <w:pPr>
        <w:spacing w:after="0" w:line="7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Wire and Cable Identification</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Brady manufactures a broad range of wire and cable-marking products, including labels, sleeves, software that allows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7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People Identification</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Identification systems and products including photo ID card systems that combine biometrics, digital imaging and other technologies to positively identify people; self-expiring name tags that make use of migratory ink technology which, upon activation, starts a timed process resulting in an altered message, color or design to indicate expiration; software for visitor and employee identification; and identification accessories including lanyards, badge holders, badge reels and attachments, as well as photo identification kits.</w:t>
      </w:r>
    </w:p>
    <w:p>
      <w:pPr>
        <w:spacing w:after="0" w:line="7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High Performance Identification</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Brady produces a complete line of label materials and printing systems to meet customers’ needs for identification requirements for product identification, work in process labeling and bar coding that perform under harsh or demanding conditions, such as extreme temperatures, or environmental or chemical exposure. Brady prints stock and custom labels and also sells unprinted materials to enable customers to print their own labels.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Precision Die-Cut Parts</w:t>
      </w:r>
    </w:p>
    <w:p>
      <w:pPr>
        <w:spacing w:after="0" w:line="11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manufactures customized precision die-cut products that are used to seal, insulate, protect, shield or provide other mechanical performance properties in the assembly of electronic, telecommunications and other equipment, including mobile phones, personal data assistants, computer hard disk drives, computers and other devices. Solutions not only include the materials and converting, but also automatic placement and other value-added services. The Company also provides converting services to the medical market for materials used in in-vitro diagnostic kits, patient monitoring, and bandaging applications.</w:t>
      </w:r>
    </w:p>
    <w:p>
      <w:pPr>
        <w:spacing w:after="0" w:line="8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Company also designs and produces software for bar-coding and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cutting systems, laminators and supplies to education and training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distributors, direct sales, mail-order-catalog marketing, retail, and electronic access through the Internet. The Company has long-standing relationships with a broad range of electrical, safety, industrial and other domestic and international distributors. The Company’s sales force seeks to establish and foster ongoing relationships with the end-users and distributors by providing technical application and product expertise.</w:t>
      </w:r>
    </w:p>
    <w:p>
      <w:pPr>
        <w:spacing w:after="0" w:line="5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also direct markets certain products and those of other manufacturers by catalog sales, outbound telemarketing, and electronic access via the Internet in both domestic and international markets. Such products include industrial and facility identification products, safety and regulatory-compliance products and original equipment manufacturer component products, among others. Catalogs are distributed in the United States, Australia, Austria, Belgium, Brazil, Canada, China, France, Germany, Italy, the Netherlands, Portugal, Slovakia, Spain, Switzerland and the United Kingdom, and include foreign-language catalogs.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Company’s products go to market under a variety of brand names. The Brady brand includes high-performance labels, wire identification products, printers, software, safety and facility identification products, lock-out/tag-out products, people identification products, precision die-cut parts and specialty materials. Other die-cut materials are marketed as Balkhausen products. Safety and facility identification products are also marketed under the Safety Signs Service brand, with some lockout/tagout products offered under the Prinzing and Scafftag brands. In addition, identification products for the utility industry are marketed under the Electromark brand and spill-control products are marketed under the SPC and D.A.W.G. brands; poster printers and cutting systems for education and government markets are offered under the Varitronics brand; wire identification products are marketed under the Modernotecnica brand and the Carroll brand; direct marketing safety and facility identification products are offered under the Seton, Emedco, Signals, Safetyshop, Clement and Personnel Concepts names; security and identification badges and systems are included in the Temtec, B.I.G., Identicard/Identicam, STOPware, J.A.M. Plastics, PromoVision, and Quo-Luck brands; hand-held regulatory documentation systems are available under the Tiscor name; automatic identification and bar-code software is offered under the Teklynx brand; and security sealing and transportation identification is offered under the Transposafe Systems name.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 and Raw Materials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 The compounding process involves the mixing of chemical batches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7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produces the majority of its pressure sensitive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optimal utilization of assets through quick turnaround and delivery, balanced with optimization of lot sizes. Many of the Company’s manufacturing facilities have received ISO 9001 or 9002 certification.</w:t>
      </w:r>
    </w:p>
    <w:p>
      <w:pPr>
        <w:spacing w:after="0" w:line="6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materials used in the products manufactured by the Company consist primarily of plastic sheets and films, paper, metal and metal foil, cloth, fiberglass, polypropylene,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 or component, the financial impact could be significant.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Product Development</w:t>
      </w:r>
    </w:p>
    <w:p>
      <w:pPr>
        <w:spacing w:after="0" w:line="12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pacing w:after="0" w:line="80" w:lineRule="exact"/>
        <w:rPr>
          <w:sz w:val="20"/>
          <w:szCs w:val="20"/>
          <w:color w:val="auto"/>
        </w:rPr>
      </w:pPr>
    </w:p>
    <w:p>
      <w:pPr>
        <w:ind w:right="540" w:firstLine="222"/>
        <w:spacing w:after="0" w:line="259" w:lineRule="auto"/>
        <w:rPr>
          <w:sz w:val="20"/>
          <w:szCs w:val="20"/>
          <w:color w:val="auto"/>
        </w:rPr>
      </w:pPr>
      <w:r>
        <w:rPr>
          <w:rFonts w:ascii="Arial" w:cs="Arial" w:eastAsia="Arial" w:hAnsi="Arial"/>
          <w:sz w:val="18"/>
          <w:szCs w:val="18"/>
          <w:color w:val="auto"/>
        </w:rPr>
        <w:t>The Company possesses patents covering various aspects of adhesive chemistry, electronic circuitry, printing systems for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79"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conducts much of its research and development activities at the Frederic S. Tobey Research and Innovation Center (approximately 39,600 sq. ft.) in Milwaukee, Wisconsin. Additionally, the Company has expanded its focus on research and development activity at its R&amp;D facilities in Singapore and Beijing, China. The Company spent approximately $34.2 million, $40.6 million, and $36.0 million during the fiscal years ended July 31, 2009, 2008, and 2007, respectively, on its research and development activities. In fiscal 2009, approximately 235 employees were engaged in research and development activities for the Company. Additional research projects were conducted in Company facilities in other locations in the United States, Europe and Asia and under contract with universities, other institutions and consultants.</w:t>
      </w:r>
    </w:p>
    <w:p>
      <w:pPr>
        <w:spacing w:after="0" w:line="70"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Company’s name and its registered trademarks are important to each of its business segments. In addition, the Company owns other important trademarks applicable to only certain of its products.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fiscal 2009, 2008, and 2007, sales from international operations accounted for 61.8%, 62.9%, and 60.9%, respectively, of the Company’s sales. Its global infrastructure includes subsidiaries in Australia, Belgium, Brazil, Canada, China, France, Germany, India, Italy, Japan, Malaysia, Mexico, the Netherlands, Norway, Poland, Singapore, South Korea, Sweden, Thailand, the United Kingdom and the United States. The Company also sells through subsidiaries or sales offices in these countries, with additional sales through a dedicated team of international sales representatives in Hong Kong, the Philippines, Slovakia, Spain, Taiwan, Turkey and the United Arab Emirates. The Company further markets its products to parts of Eastern Europe, the Middle East, Africa and Russia.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markets for all of the Company’s products are competitive. Brady believes that it is one of the leading producers in its specific markets of wire markers, safety signs, pipe markers, label printing systems, and bar-code-label-generating software.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July 31, 2009, the amount of the Company’s backlog orders believed to be firm was $27.5 million. This compares with $32.0 million and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$25.3 million of backlog orders as of July 31, 2008 and 2007, respectively. Average delivery time for the Company’s orders varies from same day delivery to one month, depending on the type of product, customer request or demand, and whether the product is stock or custom-designed and manufactured. The Company’s backlog does not provide much visibility for future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manufacturing processes for the Company’s adhesive-based products utilize certain evaporative solvents, which, unless controlled, would be vented into the atmosphere. Emissions of these substances are regulated at the federal, state and local levels. The Company has implemented a number of systems and procedures to reduce atmospheric emissions and/or to recover solvents. Management believes the Company is substantially in compliance with all environmental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215"/>
        <w:spacing w:after="0" w:line="286" w:lineRule="auto"/>
        <w:rPr>
          <w:sz w:val="20"/>
          <w:szCs w:val="20"/>
          <w:color w:val="auto"/>
        </w:rPr>
      </w:pPr>
      <w:r>
        <w:rPr>
          <w:rFonts w:ascii="Arial" w:cs="Arial" w:eastAsia="Arial" w:hAnsi="Arial"/>
          <w:sz w:val="17"/>
          <w:szCs w:val="17"/>
          <w:color w:val="auto"/>
        </w:rPr>
        <w:t>As of September 23, 2009, the Company employed approximately 6,800 individuals. Brady has never experienced a material work stoppage due to a labor dispute and considers its relations with employees to be good. The mix of employees is changing as the Company employs more people in developing countries where wage rates are lower and employee turnover tends to be higher than in developed countries.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Information about the Company’s acquisitions is provided in Note 2 of the Notes to Consolidated Financial Statements contained in Item 8 — Financial Statements and Supplementary Data.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Information Available on the Internet</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Company’s Corporate Internet address is http://www.bradycorp.com. The Company makes available,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Before making an investment decision with respect to the Company’s stock, you should carefully consider the risks set forth below and all other information contained in this report. If any of the events contemplated by the following risks actually occur, then the Company’s business, financial condition, results of operations, cash flow, or liquidity could be materially adversely affected.</w:t>
      </w:r>
    </w:p>
    <w:p>
      <w:pPr>
        <w:spacing w:after="0" w:line="73"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b w:val="1"/>
          <w:bCs w:val="1"/>
          <w:i w:val="1"/>
          <w:iCs w:val="1"/>
          <w:color w:val="auto"/>
        </w:rPr>
        <w:t>The Company’s operating results, cash flows, and liquidity are susceptible to uncertainties arising from the length and severity of the current worldwide economic downturn, as well as the timing and strength of the subsequent recovery.</w:t>
      </w:r>
    </w:p>
    <w:p>
      <w:pPr>
        <w:spacing w:after="0" w:line="62"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global economic downturn has negatively impacted the Company’s sales volumes and results of operations. All of the segments and most of the major product lines, channels, and markets served by the Company, have experienced significant declines in the current global economic downturn. As a result of the slowing economy, the credit market crisis, declining consumer and business confidence, increased unemployment, reduced levels of capital expenditures, fluctuating commodity prices, bankruptcies, and other challenges affecting the global economy, customers may experience deterioration of their businesses, cash flow shortages, and difficulty obtaining financing. As a result, customers already have reduced or canceled orders and may continue to delay, cancel or further reduce their orders. In addition customers’ ability to pay their invoices may be reduced resulting in increased past due receivables or bad debt. Further, the Company’s vendors may be experiencing similar conditions, which may impact their ability to fulfill their obligations leading to longer days sales outstanding. Although governments around the world are enacting various economic stimulus programs, there can be no assurance as to the timing or effectiveness of such programs. If the worldwide economic downturn continues for a significant period or there is further deterioration in the global economy, the Company’s results of operations, financial position, and cash flows could be materially adversely affected. In response to the severe downturn, the Company has reduced its worldwide workforce by approximately 25%. This may cause disruptions in our operations, customer service, quality, and profitability.</w:t>
      </w:r>
    </w:p>
    <w:p>
      <w:pPr>
        <w:spacing w:after="0" w:line="7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b w:val="1"/>
          <w:bCs w:val="1"/>
          <w:i w:val="1"/>
          <w:iCs w:val="1"/>
          <w:color w:val="auto"/>
        </w:rPr>
        <w:t>Market demand for the Company’s products may be susceptible to fluctuations in the economy that may cause volatility in its results of operations, cash flows, and liquidity.</w:t>
      </w:r>
    </w:p>
    <w:p>
      <w:pPr>
        <w:spacing w:after="0" w:line="62"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Sales of the Company’s products may be susceptible to changes in general economic conditions, namely general downturns in the regional economies in which the Company competes. The Company’s business in the facility &amp; safety identification and wire identification product lines tend to vary with the nominal GDP of the local economies in which the Company manufactures and sells. As a result, in periods of economic contraction, the business is likely to decline. In the current economic downturn, the Company’s business has contracted severely, well in excess of GDP. In addition, the significant drop in non-residential construction has impacted the Company’s MRO business. In the precision die-cut and high performance label product lines, the Company may be adversely affected by reduced demand for products due to downturns in the global economy as this is a more volatile business. This can result in higher degrees of volatility in the Company’s net sales, results of operations, cash flows, and liquidity. These more volatile markets include, but are not limited to, mobile telecommunication devices, hard disk drives and electronics in personal computers and other electronic devices.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Uncertainties in the global economy may put pressure on the Company’s ability to maintain compliance with its debt covenants.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October 2006 revolving loan agreement requires the Company to maintain a ratio of debt to trailing twelve months EBITDA, as defined by the debt agreement, of not more than a 3.0 to 1.0 ratio. Additionally, the revolving loan agreement requires the trailing twelve months earnings before interest and taxes (“EBIT”) to interest expense of not less than a 3.0 to 1.0 ratio (interest expense coverage). The debt agreements also require the aggregate net book value of the assets sold or otherwise disposed of by the Company and its subsidiaries in all dispositions, as defined in the agreement, in any fiscal year of the Company shall not exceed 15% of consolidated tangible net worth. Depending on the severity and duration of the current global economic crisis, uncertainties in the market may put pressure on the Company’s ability to maintain compliance with its covenants.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experience unforeseen tax consequences.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periodically reviews the probability of the realization of its deferred tax assets based on forecasts of taxable income in both the U.S. and foreign jurisdictions. As part of this review, the Company utilizes historical results, projected future operating results, eligible carry forward periods, tax planning opportunities, and other relevant considerations. Adverse changes in profitability and financial outlook in both the U.S. and foreign jurisdictions, or changes in its geographic footprint may require changes in the valuation allowances to reduce its deferred tax assets or increase tax payments. Such changes could result in material non-cash expenses in the period in which the changes are made and could have a material adverse impact on the Company’s results of operations or financial condition.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regulations may change, thus negatively impacting the Company’s future operating results.</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Company conducts business internationally. As a result, its financial results may be negatively impacted by changes in international taxation rules in the United States. If United States international tax law changes are enacted as currently outlined (for example, if the tax on deferred income generated outside the U.S. were enacted), it may have a significant negative impact on the Company’s reported financial results and cash flows from operations.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be adversely impacted by an inability to identify, complete and integrate acquisitions.</w:t>
      </w:r>
    </w:p>
    <w:p>
      <w:pPr>
        <w:spacing w:after="0" w:line="117" w:lineRule="exact"/>
        <w:rPr>
          <w:sz w:val="20"/>
          <w:szCs w:val="20"/>
          <w:color w:val="auto"/>
        </w:rPr>
      </w:pPr>
    </w:p>
    <w:p>
      <w:pPr>
        <w:ind w:right="120" w:firstLine="215"/>
        <w:spacing w:after="0" w:line="312" w:lineRule="auto"/>
        <w:rPr>
          <w:sz w:val="20"/>
          <w:szCs w:val="20"/>
          <w:color w:val="auto"/>
        </w:rPr>
      </w:pPr>
      <w:r>
        <w:rPr>
          <w:rFonts w:ascii="Arial" w:cs="Arial" w:eastAsia="Arial" w:hAnsi="Arial"/>
          <w:sz w:val="16"/>
          <w:szCs w:val="16"/>
          <w:color w:val="auto"/>
        </w:rPr>
        <w:t>A large part of the Company’s growth since fiscal 2003 has come through acquisitions and a key component of its growth strategy is based upon acquisitions. The Company may not be able to identify acquisition targets or successfully complete acquisitions in the future due to the absence of quality companies, economic conditions, or price expectations from sellers. If the Company is unable to complete additional acquisitions, its growth may be limited.</w:t>
      </w:r>
    </w:p>
    <w:p>
      <w:pPr>
        <w:spacing w:after="0" w:line="39" w:lineRule="exact"/>
        <w:rPr>
          <w:sz w:val="20"/>
          <w:szCs w:val="20"/>
          <w:color w:val="auto"/>
        </w:rPr>
      </w:pPr>
    </w:p>
    <w:p>
      <w:pPr>
        <w:ind w:right="40" w:firstLine="215"/>
        <w:spacing w:after="0" w:line="290" w:lineRule="auto"/>
        <w:rPr>
          <w:sz w:val="20"/>
          <w:szCs w:val="20"/>
          <w:color w:val="auto"/>
        </w:rPr>
      </w:pPr>
      <w:r>
        <w:rPr>
          <w:rFonts w:ascii="Arial" w:cs="Arial" w:eastAsia="Arial" w:hAnsi="Arial"/>
          <w:sz w:val="16"/>
          <w:szCs w:val="16"/>
          <w:color w:val="auto"/>
        </w:rPr>
        <w:t>Additionally, as the Company grows through acquisitions, it will continue to place significant demands on its management, operational and financial resources. Since the beginning of fiscal year 2004, the Company has acquired 28 companies. These recent and future acquisitions will require integration of sales and marketing, information technology, finance and administrative operations and information of the newly acquired business. The successful integration of acquisitions will require substantial attention from its management and the management of the acquired businesses, which could decrease the time management has to serve and attract customers. The Company cannot assure that it will be able to successfully integrate these recent or any future acquisitions, that these acquisitions will operate profitably or that it will be able to achieve the financial or operational success expected from the acquisitions. The Company’s financial condition, cash flows and operational results could be adversely affected if it does not successfully integrate the newly acquired businesses or if its other businesses suffer on account of the increased focus on the newly acquired businesses.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b w:val="1"/>
          <w:bCs w:val="1"/>
          <w:i w:val="1"/>
          <w:iCs w:val="1"/>
          <w:color w:val="auto"/>
        </w:rPr>
        <w:t>If the Company fails to develop new products or its customers do not accept the new products it develops, the Company’s business could be affected adversely.</w:t>
      </w:r>
    </w:p>
    <w:p>
      <w:pPr>
        <w:spacing w:after="0" w:line="62" w:lineRule="exact"/>
        <w:rPr>
          <w:sz w:val="20"/>
          <w:szCs w:val="20"/>
          <w:color w:val="auto"/>
        </w:rPr>
      </w:pPr>
    </w:p>
    <w:p>
      <w:pPr>
        <w:ind w:right="240" w:firstLine="225"/>
        <w:spacing w:after="0" w:line="255" w:lineRule="auto"/>
        <w:rPr>
          <w:sz w:val="20"/>
          <w:szCs w:val="20"/>
          <w:color w:val="auto"/>
        </w:rPr>
      </w:pPr>
      <w:r>
        <w:rPr>
          <w:rFonts w:ascii="Arial" w:cs="Arial" w:eastAsia="Arial" w:hAnsi="Arial"/>
          <w:sz w:val="18"/>
          <w:szCs w:val="18"/>
          <w:color w:val="auto"/>
        </w:rPr>
        <w:t>Development of proprietary products is key to the success of the Company’s core growth and high gross margins now and in the future. Therefore, the Company must continue to develop new and innovative products and acquire and retain the necessary intellectual property rights in these products on an ongoing basis. If it fails to make innovations, launches products with quality problems, or the market does not accept its new products, then the Company’s financial condition, results of operations, cash flows, and liquidity could be adversely affected. The Company continues to invest in the development and marketing of new products. These expenditures do not always result in products that will be accepted by the market. Failure to develop successful new products may also cause its customers to buy from a competitor or may cause the Company to lower its prices in order to compete. This could have an adverse impact on the Company’s profitability.</w:t>
      </w:r>
    </w:p>
    <w:p>
      <w:pPr>
        <w:spacing w:after="0" w:line="81"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b w:val="1"/>
          <w:bCs w:val="1"/>
          <w:i w:val="1"/>
          <w:iCs w:val="1"/>
          <w:color w:val="auto"/>
        </w:rPr>
        <w:t>The Company operates in competitive markets and may be forced to cut its prices or incur additional costs to remain competitive, which may have a negative impact on its profitability.</w:t>
      </w:r>
    </w:p>
    <w:p>
      <w:pPr>
        <w:spacing w:after="0" w:line="62"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The Company faces substantial competition throughout its entire business, but particularly in the precision die-cut business. Competition may force the Company to cut its prices or incur additional costs to remain competitive. The Company competes on the basis of production capabilities, engineering and R&amp;D capabilities, materials expertise, its global footprint, customer service and price. Present or future competitors may have greater financial, technical or other resources, lower production costs or other pricing advantages, any of which could put the Company at a disadvantage in the affected business by threatening its market share in some markets or reducing its profit margins. Additionally, in some of its other businesses, the Company’s distributors/customers may seek lower cost sourcing opportunities, which could cause a loss of business that may adversely impact the Company’s revenues.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fluctuations could adversely affect the Company’s sales, profits, and cash balances.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More than 60 percent of the Company’s revenues are derived outside the United States. As such, fluctuations in foreign currency exchange rates can have an adverse impact on its sales and profits as amounts that are measured in foreign currency are translated back to U.S. dollars. Any increase in the value of the U.S. dollar in relation to the value of the local currency will adversely affect operating results from the Company’s foreign operations when translated into U.S. dollars. Similarly, any decrease in the value of the U.S. dollar in relation to the value of the local currency will increase operating results in the Company’s foreign operations when translated into U.S. dollars. During fiscal year 2009, the strengthening U.S. dollar versus the majority of other currencies decreased sales by approximately $73.2 million.</w:t>
      </w:r>
    </w:p>
    <w:p>
      <w:pPr>
        <w:spacing w:after="0" w:line="85"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of July 31, 2009, approximately 79% of the Company’s cash and cash equivalents were held outside the United States. As a result, fluctuations in foreign currency can have an adverse impact on the Company’s cash balances. Any increase in the value of the U.S. dollar in relation to the value of various foreign currencies will have a negative impact on cash balances when translated into U.S. dollars. Weakening of the U.S. dollar against foreign currencies will have a positive impact on cash balances when foreign currencies are translated into U.S. dollars.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Company’s goodwill or other intangible assets may become impaired, which may negatively impact its results of operations.</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has a substantial amount of goodwill and other intangible assets on its balance sheet as a result of its acquisitions. As of July 31, 2009, the Company had $751.2 million of goodwill on its balance sheet, representing the excess of the total purchase price for its acquisitions over the fair value of the net assets it acquired, and $115.8 million of other intangible assets, primarily representing the fair value of the customer relationships, patents and trademarks it acquired in its acquisitions. At July 31, 2009, goodwill and other intangible assets represented approximately 54.8% of its total assets. The Company evaluates goodwill at least annually for impairment based on the fair value of each operating segment. It assesses the impairment of other intangible assets at least annually based upon the expected future cash flows of the respective assets. These valuations include management’s estimates of sales, profitability, cash flow generation, capital structure, cost of debt, interest rates, capital expenditures, and other assumptions. A worldwide economic downturn, credit crisis, or uncertainty 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markets the Company serves can adversely impact the assumptions in these valuations. If the estimated fair values of the Company’s operating segments change in future periods, it may be required to record an impairment charge related to goodwill or other intangible assets, which would have the effect of decreasing its earnings in such period.</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b w:val="1"/>
          <w:bCs w:val="1"/>
          <w:i w:val="1"/>
          <w:iCs w:val="1"/>
          <w:color w:val="auto"/>
        </w:rPr>
        <w:t>The Company has a concentration of business with several large key customers and distributors and loss of one or more of these customers could significantly affect the Company’s results of operations, cash flows, and liquidity.</w:t>
      </w:r>
    </w:p>
    <w:p>
      <w:pPr>
        <w:spacing w:after="0" w:line="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Several of the Company’s large key customers in the precision die-cut business together comprise a significant portion of its revenues. The Company’s largest customer represents approximately 6% of its net sales. Additionally, the Company does business with several large distribution companies. The Company’s dependence on these large customers makes its relationships with these customers important to its business. The Company cannot guarantee that it will be able to maintain these relationships and retain this business in the future. Because these large customers account for a significant portion of the Company’s revenues, they possess relatively greater capacity to negotiate a reduction in the prices the Company charges for its products. If the Company is unable to provide products to its customers at the quality and prices acceptable to them or adapt to technological changes, some of its customers may in the future elect to shift some or all of this business to competitors or to substitute other manufacturer’s products. If one of the Company’s key customers consolidates, is acquired by another company or loses market share, the result of that event may have an adverse impact on the Company’s business. The loss of or reduction of business from one or more of these large key customers could have a material adverse impact on the Company’s financial condition, results of operations, cash flows, and liquidity.</w:t>
      </w:r>
    </w:p>
    <w:p>
      <w:pPr>
        <w:spacing w:after="0" w:line="7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b w:val="1"/>
          <w:bCs w:val="1"/>
          <w:i w:val="1"/>
          <w:iCs w:val="1"/>
          <w:color w:val="auto"/>
        </w:rPr>
        <w:t>The Company increasingly conducts a sizable amount of its manufacturing outside of the United States, which may present additional risks to its business.</w:t>
      </w:r>
    </w:p>
    <w:p>
      <w:pPr>
        <w:spacing w:after="0" w:line="62"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As a result of its strong growth in developing economies, particularly in Asia, a significant portion of the Company’s sales are attributable to products manufactured outside of the United States. More than half of the Company’s approximately 6,800 employees and more than half of its manufacturing locations are outside of the United States. The Company’s international operations are generally subject to various risks including political, economic and societal instability, the imposition of trade restrictions, local labor market conditions, the effects of income taxes, and differences in business practices. The Company may incur increased costs and experience delays or disruptions in product deliveries and payments in connection with international manufacturing and sales that could cause loss of revenue. Unfavorable changes in the political, regulatory and business climate in countries where the Company has operations could have a material adverse effect on its financial condition, results of operations, and cash flows.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Company depends on its key personnel and the loss of these personnel could have an adverse effect on the Company’s operations.</w:t>
      </w:r>
    </w:p>
    <w:p>
      <w:pPr>
        <w:spacing w:after="0" w:line="12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Company’s success depends to a large extent upon the continued services of its key executives, managers and other skilled personnel. The Company cannot ensure that it will be able to retain its key officers and employees. The departure of key personnel without adequate replacement could severely disrupt business operations. Additionally, the Company needs qualified managers and skilled employees with technical and manufacturing industry experience to operate its business successfully. If it is unable to attract and retain qualified individuals or the costs to do so increase significantly, the Company’s operations would be materially adversely affected. Due to the severe economic downturn, the Company reduced its workforce by approximately 25%. While the Company believes it can adequately operate the business at current staffing levels, sudden changes in demand may be difficult to react to with a reduced workforce. Additionally, the potential impact of a serious virus such as H1N1 may affect the Company’s workforce and its ability to operate the business successfully.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 may be unable to successfully implement anticipated changes to its information technology system.</w:t>
      </w:r>
    </w:p>
    <w:p>
      <w:pPr>
        <w:spacing w:after="0" w:line="117"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The Company is in the process of upgrading certain portions of its information technology. Part of this upgrade includes continued implementations of SAP and additional functionality for financial systems. The Company expects that these migrations will enable it to more effectively and efficiently manage its operations and further improve business processes. The Company is also in the process of upgrading 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e-business and sales force applications in fiscal 2010. The Company expects these upgrades will enable improvements of its on-line business and increase productivity. The Company’s failure to successfully manage these improvements as scheduled could cause it to incur unexpected costs or to lose customers or sales, which could have a material adverse effect on its financial results.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 increase in the Company’s level of indebtedness could adversely affect its financial health and make it vulnerable to adverse economic conditions.</w:t>
      </w:r>
    </w:p>
    <w:p>
      <w:pPr>
        <w:spacing w:after="0" w:line="15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Any increase in the Company’s level of indebtedness, which historically has occurred to finance acquisitions and for other general corporate purposes, could have adverse consequences, such as:</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be difficult for the Company to fulfill its obligations under its credit or other debt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be more challenging or costly to obtain additional financing to fund future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Company may be more vulnerable to future interest rate fluctuations;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Company may be required to dedicate a substantial portion of its cash flows to service its debt, thereby reducing the amount of cash available to fund new product development, capital expenditures, working capital and other general corporate activities;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place the Company at a competitive disadvantage relative to its competitors that have less debt;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it may limit the Company’s flexibility in planning for and reacting to changes in its business.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could adversely affect the Company’s business.</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Company’s facilities and operations are subject to numerous laws and regulations relating to air emissions, wastewater discharges, the handling of hazardous materials and wastes, manufacturing and disposal of certain materials, and regulations otherwise relating to health, safety and the protection of the environment. The Company’s products may also be governed by regulations in the countries where they are sold. As a result, the Company may need to devote management time or expend significant resources on compliance, and has incurred and will continue to incur capital and other expenditures to comply with these regulations. Any significant costs may have a material adverse impact on the Company’s financial condition, results of operations or cash flows. Further, these laws and regulations are constantly evolving and it is impossible to predict accurately the effect they may have upon the Company’s financial condition, results of operations or cash flows.</w:t>
      </w:r>
    </w:p>
    <w:p>
      <w:pPr>
        <w:spacing w:after="0" w:line="8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b w:val="1"/>
          <w:bCs w:val="1"/>
          <w:i w:val="1"/>
          <w:iCs w:val="1"/>
          <w:color w:val="auto"/>
        </w:rPr>
        <w:t>The Company’s businesses are subject to regulation; failure to comply with those regulations could adversely affect its financial condition, results of operations and reputation.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addition to the environmental regulations noted above, the Company’s businesses are subject to extensive regulation by U.S. and non-U.S.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governmental and self-regulatory entities at the federal, state and local levels, including the following:</w:t>
      </w:r>
    </w:p>
    <w:p>
      <w:pPr>
        <w:spacing w:after="0" w:line="103"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is required to comply with various import laws and export control and economic sanctions laws, which may affect its transactions with certain customers, business partners and other persons and dealings with or between its employees and subsidiaries. In certain circumstances, export control and economic sanctions regulations may prohibit the export of certain products, services and technologies, and in other circumstances the Company may be required to obtain an export license before exporting the controlled item.</w:t>
      </w:r>
    </w:p>
    <w:p>
      <w:pPr>
        <w:spacing w:after="0" w:line="79" w:lineRule="exact"/>
        <w:rPr>
          <w:sz w:val="20"/>
          <w:szCs w:val="20"/>
          <w:color w:val="auto"/>
        </w:rPr>
      </w:pPr>
    </w:p>
    <w:p>
      <w:pPr>
        <w:ind w:right="320" w:firstLine="222"/>
        <w:spacing w:after="0" w:line="279" w:lineRule="auto"/>
        <w:rPr>
          <w:sz w:val="20"/>
          <w:szCs w:val="20"/>
          <w:color w:val="auto"/>
        </w:rPr>
      </w:pPr>
      <w:r>
        <w:rPr>
          <w:rFonts w:ascii="Arial" w:cs="Arial" w:eastAsia="Arial" w:hAnsi="Arial"/>
          <w:sz w:val="17"/>
          <w:szCs w:val="17"/>
          <w:color w:val="auto"/>
        </w:rPr>
        <w:t>The Company also has agreements relating to the sale of products to government entities or supply products to companies who resell these products to government entities and are subject to various statutes and regulations that apply to companies doing business with the government. The laws governing government contracts differ from the laws governing private contracts. The Company is also subject to investigation and audit for compliance with the requirements governing government contracts, including requirements related to procurement integrity, export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control, employment practices, the accuracy of records and the recording of costs. A failure to comply with these requirements might result in suspension of these contracts and suspension or debarment from government contracting or subcontracting.</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b w:val="1"/>
          <w:bCs w:val="1"/>
          <w:i w:val="1"/>
          <w:iCs w:val="1"/>
          <w:color w:val="auto"/>
        </w:rPr>
        <w:t>The Company may be unable to successfully complete its restructuring plans to reduce costs and increase efficiencies in its businesses and, therefore, it may not achieve projected financial statement benefits.</w:t>
      </w:r>
    </w:p>
    <w:p>
      <w:pPr>
        <w:spacing w:after="0" w:line="62"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continues to initiate several measures to address its cost structure and projected operational and market requirements. Successful implementation of such initiatives is critical to the Company’s future competitiveness and its ability to improve profitability. Further actions to reduce the Company’s cost structure and the charges related to these actions may have a material adverse effect on the Company’s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currently operates 59 manufacturing or distribution facilities in the following regions: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Sixteen are located in the United States; three in Brazil, two in Mexico; and one in Canada.</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18"/>
          <w:szCs w:val="18"/>
          <w:color w:val="auto"/>
        </w:rPr>
        <w:t>Four each located in the United Kingdom and Germany; three each located in Belgium and France; two each in Italy and the Netherlands; and</w:t>
      </w:r>
      <w:r>
        <w:rPr>
          <w:rFonts w:ascii="Arial" w:cs="Arial" w:eastAsia="Arial" w:hAnsi="Arial"/>
          <w:sz w:val="18"/>
          <w:szCs w:val="18"/>
          <w:b w:val="1"/>
          <w:bCs w:val="1"/>
          <w:color w:val="auto"/>
        </w:rPr>
        <w:t xml:space="preserve"> </w:t>
      </w:r>
      <w:r>
        <w:rPr>
          <w:rFonts w:ascii="Arial" w:cs="Arial" w:eastAsia="Arial" w:hAnsi="Arial"/>
          <w:sz w:val="18"/>
          <w:szCs w:val="18"/>
          <w:color w:val="auto"/>
        </w:rPr>
        <w:t>one each in Norway, Poland, and Sweden.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Asia-Pacific: </w:t>
      </w:r>
      <w:r>
        <w:rPr>
          <w:rFonts w:ascii="Arial" w:cs="Arial" w:eastAsia="Arial" w:hAnsi="Arial"/>
          <w:sz w:val="17"/>
          <w:szCs w:val="17"/>
          <w:color w:val="auto"/>
        </w:rPr>
        <w:t>Seven are located in China; three in Australia; and one each in Japan, Thailand, Singapore, India, South Korea, and Malaysia.</w:t>
      </w:r>
    </w:p>
    <w:p>
      <w:pPr>
        <w:spacing w:after="0" w:line="133"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Company’s present operating facilities contain a total of approximately 3.5 million square feet of space, of which approximately 2.4 million square feet is leased. The Company believes that its equipment and facilities are modern, well maintained and adequate for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520" w:firstLine="222"/>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adverse effect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matters submitted to a vote of security holders during the fourth quarter of the fiscal year ended July 31, 2009.</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See Part II, Item 9B for a description of actions taken by unanimous written consent of the holders of the Company’s Class B Voting Common Stock on September 24, 2009.</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980" w:type="dxa"/>
            <w:vAlign w:val="bottom"/>
            <w:tcBorders>
              <w:bottom w:val="single" w:sz="8" w:color="auto"/>
            </w:tcBorders>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$29.41</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$21.33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$39.04</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$32.99</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$37.73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$32.73</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3rd Quarter</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$23.08</w:t>
            </w:r>
          </w:p>
        </w:tc>
        <w:tc>
          <w:tcPr>
            <w:tcW w:w="480" w:type="dxa"/>
            <w:vAlign w:val="bottom"/>
          </w:tcPr>
          <w:p>
            <w:pPr>
              <w:spacing w:after="0"/>
              <w:rPr>
                <w:sz w:val="18"/>
                <w:szCs w:val="18"/>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$14.61</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$34.00</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$28.58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$38.37</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$30.91</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$31.07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$16.38</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$40.03</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$29.44</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$40.52</w:t>
            </w:r>
          </w:p>
        </w:tc>
        <w:tc>
          <w:tcPr>
            <w:tcW w:w="1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$35.70</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1st Quarter</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$39.68</w:t>
            </w:r>
          </w:p>
        </w:tc>
        <w:tc>
          <w:tcPr>
            <w:tcW w:w="480" w:type="dxa"/>
            <w:vAlign w:val="bottom"/>
          </w:tcPr>
          <w:p>
            <w:pPr>
              <w:spacing w:after="0"/>
              <w:rPr>
                <w:sz w:val="20"/>
                <w:szCs w:val="20"/>
                <w:color w:val="auto"/>
              </w:rPr>
            </w:pP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$25.18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$43.78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$34.04</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$38.68</w:t>
            </w:r>
          </w:p>
        </w:tc>
        <w:tc>
          <w:tcPr>
            <w:tcW w:w="1460" w:type="dxa"/>
            <w:vAlign w:val="bottom"/>
            <w:gridSpan w:val="2"/>
          </w:tcPr>
          <w:p>
            <w:pPr>
              <w:jc w:val="right"/>
              <w:ind w:right="208"/>
              <w:spacing w:after="0"/>
              <w:rPr>
                <w:sz w:val="20"/>
                <w:szCs w:val="20"/>
                <w:color w:val="auto"/>
              </w:rPr>
            </w:pPr>
            <w:r>
              <w:rPr>
                <w:rFonts w:ascii="Arial" w:cs="Arial" w:eastAsia="Arial" w:hAnsi="Arial"/>
                <w:sz w:val="18"/>
                <w:szCs w:val="18"/>
                <w:color w:val="auto"/>
              </w:rPr>
              <w:t>$33.16</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22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of September 23, 2009, there were 715 Class A Common Stock shareholders of record and approximately 4,100 beneficial shareholders. There are three Class B Common Stock shareholders.</w:t>
      </w:r>
    </w:p>
    <w:p>
      <w:pPr>
        <w:spacing w:after="0" w:line="170"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No share repurchases were made in the quarter ended July 31, 2009.</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that can be made annually to $50 million plus 75% of the consolidated net income excluding all extraordinary non-cash items for the prior fiscal year. The Company believes that based on its historic dividend practice, this restriction will not impede it in following a similar dividend practice in the future.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two most recent fiscal years and for the first quarter of fiscal 2010, the Company declared the following dividends per share on its Class 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for the years ended July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3"/>
              </w:rPr>
              <w:t>2009</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2008</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vMerge w:val="restart"/>
          </w:tcPr>
          <w:p>
            <w:pPr>
              <w:spacing w:after="0"/>
              <w:rPr>
                <w:sz w:val="20"/>
                <w:szCs w:val="20"/>
                <w:color w:val="auto"/>
              </w:rPr>
            </w:pPr>
            <w:r>
              <w:rPr>
                <w:rFonts w:ascii="Arial" w:cs="Arial" w:eastAsia="Arial" w:hAnsi="Arial"/>
                <w:sz w:val="18"/>
                <w:szCs w:val="18"/>
                <w:color w:val="auto"/>
              </w:rPr>
              <w:t>Class A</w:t>
            </w:r>
          </w:p>
        </w:tc>
        <w:tc>
          <w:tcPr>
            <w:tcW w:w="12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1st Qtr</w:t>
            </w:r>
          </w:p>
        </w:tc>
        <w:tc>
          <w:tcPr>
            <w:tcW w:w="180" w:type="dxa"/>
            <w:vAlign w:val="bottom"/>
          </w:tcPr>
          <w:p>
            <w:pPr>
              <w:spacing w:after="0"/>
              <w:rPr>
                <w:sz w:val="12"/>
                <w:szCs w:val="12"/>
                <w:color w:val="auto"/>
              </w:rPr>
            </w:pPr>
          </w:p>
        </w:tc>
        <w:tc>
          <w:tcPr>
            <w:tcW w:w="82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1st Qtr</w:t>
            </w:r>
          </w:p>
        </w:tc>
        <w:tc>
          <w:tcPr>
            <w:tcW w:w="2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3rd Qtr</w:t>
            </w:r>
          </w:p>
        </w:tc>
        <w:tc>
          <w:tcPr>
            <w:tcW w:w="240" w:type="dxa"/>
            <w:vAlign w:val="bottom"/>
          </w:tcPr>
          <w:p>
            <w:pPr>
              <w:spacing w:after="0"/>
              <w:rPr>
                <w:sz w:val="12"/>
                <w:szCs w:val="12"/>
                <w:color w:val="auto"/>
              </w:rPr>
            </w:pPr>
          </w:p>
        </w:tc>
        <w:tc>
          <w:tcPr>
            <w:tcW w:w="7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4th Qtr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1st Qtr</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2nd Qtr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3rd Qtr</w:t>
            </w:r>
          </w:p>
        </w:tc>
        <w:tc>
          <w:tcPr>
            <w:tcW w:w="240" w:type="dxa"/>
            <w:vAlign w:val="bottom"/>
          </w:tcPr>
          <w:p>
            <w:pPr>
              <w:spacing w:after="0"/>
              <w:rPr>
                <w:sz w:val="12"/>
                <w:szCs w:val="12"/>
                <w:color w:val="auto"/>
              </w:rPr>
            </w:pPr>
          </w:p>
        </w:tc>
        <w:tc>
          <w:tcPr>
            <w:tcW w:w="7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95"/>
        </w:trPr>
        <w:tc>
          <w:tcPr>
            <w:tcW w:w="1720" w:type="dxa"/>
            <w:vAlign w:val="bottom"/>
            <w:vMerge w:val="continue"/>
          </w:tcPr>
          <w:p>
            <w:pPr>
              <w:spacing w:after="0"/>
              <w:rPr>
                <w:sz w:val="16"/>
                <w:szCs w:val="16"/>
                <w:color w:val="auto"/>
              </w:rPr>
            </w:pPr>
          </w:p>
        </w:tc>
        <w:tc>
          <w:tcPr>
            <w:tcW w:w="1000" w:type="dxa"/>
            <w:vAlign w:val="bottom"/>
            <w:tcBorders>
              <w:top w:val="single" w:sz="8" w:color="auto"/>
            </w:tcBorders>
          </w:tcPr>
          <w:p>
            <w:pPr>
              <w:jc w:val="right"/>
              <w:ind w:right="139"/>
              <w:spacing w:after="0" w:line="195" w:lineRule="exact"/>
              <w:rPr>
                <w:sz w:val="20"/>
                <w:szCs w:val="20"/>
                <w:color w:val="auto"/>
              </w:rPr>
            </w:pPr>
            <w:r>
              <w:rPr>
                <w:rFonts w:ascii="Arial" w:cs="Arial" w:eastAsia="Arial" w:hAnsi="Arial"/>
                <w:sz w:val="18"/>
                <w:szCs w:val="18"/>
                <w:color w:val="auto"/>
              </w:rPr>
              <w:t>$  0.175</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rPr>
              <w:t>0.17</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$0.17</w:t>
            </w: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6"/>
                <w:szCs w:val="16"/>
                <w:color w:val="auto"/>
              </w:rPr>
            </w:pPr>
          </w:p>
        </w:tc>
        <w:tc>
          <w:tcPr>
            <w:tcW w:w="720" w:type="dxa"/>
            <w:vAlign w:val="bottom"/>
            <w:tcBorders>
              <w:top w:val="single" w:sz="8" w:color="auto"/>
            </w:tcBorders>
          </w:tcPr>
          <w:p>
            <w:pPr>
              <w:jc w:val="right"/>
              <w:ind w:right="139"/>
              <w:spacing w:after="0" w:line="195" w:lineRule="exact"/>
              <w:rPr>
                <w:sz w:val="20"/>
                <w:szCs w:val="20"/>
                <w:color w:val="auto"/>
              </w:rPr>
            </w:pPr>
            <w:r>
              <w:rPr>
                <w:rFonts w:ascii="Arial" w:cs="Arial" w:eastAsia="Arial" w:hAnsi="Arial"/>
                <w:sz w:val="18"/>
                <w:szCs w:val="18"/>
                <w:color w:val="auto"/>
              </w:rPr>
              <w:t>$0.17</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6"/>
              <w:spacing w:after="0" w:line="19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$0.15</w:t>
            </w:r>
          </w:p>
        </w:tc>
        <w:tc>
          <w:tcPr>
            <w:tcW w:w="1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jc w:val="right"/>
              <w:ind w:right="239"/>
              <w:spacing w:after="0" w:line="195" w:lineRule="exact"/>
              <w:rPr>
                <w:sz w:val="20"/>
                <w:szCs w:val="20"/>
                <w:color w:val="auto"/>
              </w:rPr>
            </w:pPr>
            <w:r>
              <w:rPr>
                <w:rFonts w:ascii="Arial" w:cs="Arial" w:eastAsia="Arial" w:hAnsi="Arial"/>
                <w:sz w:val="18"/>
                <w:szCs w:val="18"/>
                <w:color w:val="auto"/>
              </w:rPr>
              <w:t>$0.15</w:t>
            </w: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Class B</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0.15835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w w:val="86"/>
              </w:rPr>
              <w:t>0.15335</w:t>
            </w:r>
          </w:p>
        </w:tc>
        <w:tc>
          <w:tcPr>
            <w:tcW w:w="900" w:type="dxa"/>
            <w:vAlign w:val="bottom"/>
            <w:gridSpan w:val="2"/>
          </w:tcPr>
          <w:p>
            <w:pPr>
              <w:jc w:val="right"/>
              <w:ind w:right="79"/>
              <w:spacing w:after="0"/>
              <w:rPr>
                <w:sz w:val="20"/>
                <w:szCs w:val="20"/>
                <w:color w:val="auto"/>
              </w:rPr>
            </w:pPr>
            <w:r>
              <w:rPr>
                <w:rFonts w:ascii="Arial" w:cs="Arial" w:eastAsia="Arial" w:hAnsi="Arial"/>
                <w:sz w:val="18"/>
                <w:szCs w:val="18"/>
                <w:color w:val="auto"/>
              </w:rPr>
              <w:t>0.17</w:t>
            </w:r>
          </w:p>
        </w:tc>
        <w:tc>
          <w:tcPr>
            <w:tcW w:w="1220" w:type="dxa"/>
            <w:vAlign w:val="bottom"/>
            <w:gridSpan w:val="3"/>
          </w:tcPr>
          <w:p>
            <w:pPr>
              <w:jc w:val="right"/>
              <w:ind w:right="219"/>
              <w:spacing w:after="0"/>
              <w:rPr>
                <w:sz w:val="20"/>
                <w:szCs w:val="20"/>
                <w:color w:val="auto"/>
              </w:rPr>
            </w:pPr>
            <w:r>
              <w:rPr>
                <w:rFonts w:ascii="Arial" w:cs="Arial" w:eastAsia="Arial" w:hAnsi="Arial"/>
                <w:sz w:val="18"/>
                <w:szCs w:val="18"/>
                <w:color w:val="auto"/>
              </w:rPr>
              <w:t>0.17</w:t>
            </w:r>
          </w:p>
        </w:tc>
        <w:tc>
          <w:tcPr>
            <w:tcW w:w="960" w:type="dxa"/>
            <w:vAlign w:val="bottom"/>
            <w:gridSpan w:val="2"/>
          </w:tcPr>
          <w:p>
            <w:pPr>
              <w:jc w:val="right"/>
              <w:ind w:right="139"/>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w w:val="86"/>
              </w:rPr>
              <w:t>0.13335</w:t>
            </w:r>
          </w:p>
        </w:tc>
        <w:tc>
          <w:tcPr>
            <w:tcW w:w="920" w:type="dxa"/>
            <w:vAlign w:val="bottom"/>
            <w:gridSpan w:val="2"/>
          </w:tcPr>
          <w:p>
            <w:pPr>
              <w:jc w:val="right"/>
              <w:ind w:right="79"/>
              <w:spacing w:after="0"/>
              <w:rPr>
                <w:sz w:val="20"/>
                <w:szCs w:val="20"/>
                <w:color w:val="auto"/>
              </w:rPr>
            </w:pPr>
            <w:r>
              <w:rPr>
                <w:rFonts w:ascii="Arial" w:cs="Arial" w:eastAsia="Arial" w:hAnsi="Arial"/>
                <w:sz w:val="18"/>
                <w:szCs w:val="18"/>
                <w:color w:val="auto"/>
              </w:rPr>
              <w:t>0.15</w:t>
            </w:r>
          </w:p>
        </w:tc>
        <w:tc>
          <w:tcPr>
            <w:tcW w:w="1240" w:type="dxa"/>
            <w:vAlign w:val="bottom"/>
            <w:gridSpan w:val="3"/>
          </w:tcPr>
          <w:p>
            <w:pPr>
              <w:jc w:val="right"/>
              <w:ind w:right="239"/>
              <w:spacing w:after="0"/>
              <w:rPr>
                <w:sz w:val="20"/>
                <w:szCs w:val="20"/>
                <w:color w:val="auto"/>
              </w:rPr>
            </w:pPr>
            <w:r>
              <w:rPr>
                <w:rFonts w:ascii="Arial" w:cs="Arial" w:eastAsia="Arial" w:hAnsi="Arial"/>
                <w:sz w:val="18"/>
                <w:szCs w:val="18"/>
                <w:color w:val="auto"/>
              </w:rPr>
              <w:t>0.15</w:t>
            </w:r>
          </w:p>
        </w:tc>
        <w:tc>
          <w:tcPr>
            <w:tcW w:w="980" w:type="dxa"/>
            <w:vAlign w:val="bottom"/>
            <w:gridSpan w:val="2"/>
          </w:tcPr>
          <w:p>
            <w:pPr>
              <w:jc w:val="right"/>
              <w:ind w:right="159"/>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gridSpan w:val="3"/>
          </w:tcPr>
          <w:p>
            <w:pPr>
              <w:jc w:val="right"/>
              <w:ind w:right="199"/>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Price Performance Graph</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2004, in each of Brady Corporation Class A Common Stock, The Standard &amp; Poor’s (S&amp;P) 500 index, the Standard and Poor’s SmallCap 600 index, and the Russell 2000 index.</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74295</wp:posOffset>
            </wp:positionV>
            <wp:extent cx="5462905" cy="2889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62905"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invested on 7/31/04 in stock or index — including reinvestment of dividends. Fiscal year ended July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0" w:type="dxa"/>
            <w:vAlign w:val="bottom"/>
            <w:vMerge w:val="restart"/>
          </w:tcPr>
          <w:p>
            <w:pPr>
              <w:spacing w:after="0"/>
              <w:rPr>
                <w:sz w:val="20"/>
                <w:szCs w:val="20"/>
                <w:color w:val="auto"/>
              </w:rPr>
            </w:pPr>
            <w:r>
              <w:rPr>
                <w:rFonts w:ascii="Arial" w:cs="Arial" w:eastAsia="Arial" w:hAnsi="Arial"/>
                <w:sz w:val="18"/>
                <w:szCs w:val="18"/>
                <w:color w:val="auto"/>
              </w:rPr>
              <w:t>Brady Corporation</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7/31/2004</w:t>
            </w:r>
          </w:p>
        </w:tc>
        <w:tc>
          <w:tcPr>
            <w:tcW w:w="1480" w:type="dxa"/>
            <w:vAlign w:val="bottom"/>
            <w:gridSpan w:val="2"/>
          </w:tcPr>
          <w:p>
            <w:pPr>
              <w:jc w:val="center"/>
              <w:ind w:left="354"/>
              <w:spacing w:after="0"/>
              <w:rPr>
                <w:sz w:val="20"/>
                <w:szCs w:val="20"/>
                <w:color w:val="auto"/>
              </w:rPr>
            </w:pPr>
            <w:r>
              <w:rPr>
                <w:rFonts w:ascii="Arial" w:cs="Arial" w:eastAsia="Arial" w:hAnsi="Arial"/>
                <w:sz w:val="14"/>
                <w:szCs w:val="14"/>
                <w:color w:val="auto"/>
                <w:w w:val="96"/>
              </w:rPr>
              <w:t>7/31/2005</w:t>
            </w:r>
          </w:p>
        </w:tc>
        <w:tc>
          <w:tcPr>
            <w:tcW w:w="1480" w:type="dxa"/>
            <w:vAlign w:val="bottom"/>
            <w:gridSpan w:val="2"/>
          </w:tcPr>
          <w:p>
            <w:pPr>
              <w:jc w:val="center"/>
              <w:ind w:left="334"/>
              <w:spacing w:after="0"/>
              <w:rPr>
                <w:sz w:val="20"/>
                <w:szCs w:val="20"/>
                <w:color w:val="auto"/>
              </w:rPr>
            </w:pPr>
            <w:r>
              <w:rPr>
                <w:rFonts w:ascii="Arial" w:cs="Arial" w:eastAsia="Arial" w:hAnsi="Arial"/>
                <w:sz w:val="14"/>
                <w:szCs w:val="14"/>
                <w:color w:val="auto"/>
                <w:w w:val="93"/>
              </w:rPr>
              <w:t>7/31/2006</w:t>
            </w:r>
          </w:p>
        </w:tc>
        <w:tc>
          <w:tcPr>
            <w:tcW w:w="1460" w:type="dxa"/>
            <w:vAlign w:val="bottom"/>
            <w:gridSpan w:val="2"/>
          </w:tcPr>
          <w:p>
            <w:pPr>
              <w:jc w:val="center"/>
              <w:ind w:left="354"/>
              <w:spacing w:after="0"/>
              <w:rPr>
                <w:sz w:val="20"/>
                <w:szCs w:val="20"/>
                <w:color w:val="auto"/>
              </w:rPr>
            </w:pPr>
            <w:r>
              <w:rPr>
                <w:rFonts w:ascii="Arial" w:cs="Arial" w:eastAsia="Arial" w:hAnsi="Arial"/>
                <w:sz w:val="14"/>
                <w:szCs w:val="14"/>
                <w:color w:val="auto"/>
                <w:w w:val="93"/>
              </w:rPr>
              <w:t>7/31/2007</w:t>
            </w:r>
          </w:p>
        </w:tc>
        <w:tc>
          <w:tcPr>
            <w:tcW w:w="1480" w:type="dxa"/>
            <w:vAlign w:val="bottom"/>
            <w:gridSpan w:val="2"/>
          </w:tcPr>
          <w:p>
            <w:pPr>
              <w:jc w:val="center"/>
              <w:ind w:left="334"/>
              <w:spacing w:after="0"/>
              <w:rPr>
                <w:sz w:val="20"/>
                <w:szCs w:val="20"/>
                <w:color w:val="auto"/>
              </w:rPr>
            </w:pPr>
            <w:r>
              <w:rPr>
                <w:rFonts w:ascii="Arial" w:cs="Arial" w:eastAsia="Arial" w:hAnsi="Arial"/>
                <w:sz w:val="14"/>
                <w:szCs w:val="14"/>
                <w:color w:val="auto"/>
                <w:w w:val="93"/>
              </w:rPr>
              <w:t>7/31/2008</w:t>
            </w:r>
          </w:p>
        </w:tc>
        <w:tc>
          <w:tcPr>
            <w:tcW w:w="1480" w:type="dxa"/>
            <w:vAlign w:val="bottom"/>
            <w:gridSpan w:val="2"/>
          </w:tcPr>
          <w:p>
            <w:pPr>
              <w:jc w:val="right"/>
              <w:ind w:right="130"/>
              <w:spacing w:after="0"/>
              <w:rPr>
                <w:sz w:val="20"/>
                <w:szCs w:val="20"/>
                <w:color w:val="auto"/>
              </w:rPr>
            </w:pPr>
            <w:r>
              <w:rPr>
                <w:rFonts w:ascii="Arial" w:cs="Arial" w:eastAsia="Arial" w:hAnsi="Arial"/>
                <w:sz w:val="14"/>
                <w:szCs w:val="14"/>
                <w:color w:val="auto"/>
              </w:rPr>
              <w:t>7/31/2009</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100.00</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153.59</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153.94</w:t>
            </w:r>
          </w:p>
        </w:tc>
        <w:tc>
          <w:tcPr>
            <w:tcW w:w="42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162.08</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172.85</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142.48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S&amp;P 500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4"/>
              <w:spacing w:after="0"/>
              <w:rPr>
                <w:sz w:val="20"/>
                <w:szCs w:val="20"/>
                <w:color w:val="auto"/>
              </w:rPr>
            </w:pPr>
            <w:r>
              <w:rPr>
                <w:rFonts w:ascii="Arial" w:cs="Arial" w:eastAsia="Arial" w:hAnsi="Arial"/>
                <w:sz w:val="18"/>
                <w:szCs w:val="18"/>
                <w:color w:val="auto"/>
                <w:w w:val="87"/>
              </w:rPr>
              <w:t>114.05</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120.19</w:t>
            </w:r>
          </w:p>
        </w:tc>
        <w:tc>
          <w:tcPr>
            <w:tcW w:w="14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139.58</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124.10</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99.33</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S&amp;P SmallCap 600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4"/>
              <w:spacing w:after="0"/>
              <w:rPr>
                <w:sz w:val="20"/>
                <w:szCs w:val="20"/>
                <w:color w:val="auto"/>
              </w:rPr>
            </w:pPr>
            <w:r>
              <w:rPr>
                <w:rFonts w:ascii="Arial" w:cs="Arial" w:eastAsia="Arial" w:hAnsi="Arial"/>
                <w:sz w:val="18"/>
                <w:szCs w:val="18"/>
                <w:color w:val="auto"/>
                <w:w w:val="87"/>
              </w:rPr>
              <w:t>127.25</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132.04</w:t>
            </w:r>
          </w:p>
        </w:tc>
        <w:tc>
          <w:tcPr>
            <w:tcW w:w="14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150.66</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138.19</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Russell 2000 Index</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480" w:type="dxa"/>
            <w:vAlign w:val="bottom"/>
            <w:gridSpan w:val="2"/>
          </w:tcPr>
          <w:p>
            <w:pPr>
              <w:jc w:val="center"/>
              <w:ind w:left="354"/>
              <w:spacing w:after="0"/>
              <w:rPr>
                <w:sz w:val="20"/>
                <w:szCs w:val="20"/>
                <w:color w:val="auto"/>
              </w:rPr>
            </w:pPr>
            <w:r>
              <w:rPr>
                <w:rFonts w:ascii="Arial" w:cs="Arial" w:eastAsia="Arial" w:hAnsi="Arial"/>
                <w:sz w:val="18"/>
                <w:szCs w:val="18"/>
                <w:color w:val="auto"/>
                <w:w w:val="87"/>
              </w:rPr>
              <w:t>124.78</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130.08</w:t>
            </w:r>
          </w:p>
        </w:tc>
        <w:tc>
          <w:tcPr>
            <w:tcW w:w="1460" w:type="dxa"/>
            <w:vAlign w:val="bottom"/>
            <w:gridSpan w:val="2"/>
          </w:tcPr>
          <w:p>
            <w:pPr>
              <w:jc w:val="center"/>
              <w:ind w:left="354"/>
              <w:spacing w:after="0"/>
              <w:rPr>
                <w:sz w:val="20"/>
                <w:szCs w:val="20"/>
                <w:color w:val="auto"/>
              </w:rPr>
            </w:pPr>
            <w:r>
              <w:rPr>
                <w:rFonts w:ascii="Arial" w:cs="Arial" w:eastAsia="Arial" w:hAnsi="Arial"/>
                <w:sz w:val="18"/>
                <w:szCs w:val="18"/>
                <w:color w:val="auto"/>
                <w:w w:val="90"/>
              </w:rPr>
              <w:t>145.84</w:t>
            </w:r>
          </w:p>
        </w:tc>
        <w:tc>
          <w:tcPr>
            <w:tcW w:w="1480" w:type="dxa"/>
            <w:vAlign w:val="bottom"/>
            <w:gridSpan w:val="2"/>
          </w:tcPr>
          <w:p>
            <w:pPr>
              <w:jc w:val="center"/>
              <w:ind w:left="334"/>
              <w:spacing w:after="0"/>
              <w:rPr>
                <w:sz w:val="20"/>
                <w:szCs w:val="20"/>
                <w:color w:val="auto"/>
              </w:rPr>
            </w:pPr>
            <w:r>
              <w:rPr>
                <w:rFonts w:ascii="Arial" w:cs="Arial" w:eastAsia="Arial" w:hAnsi="Arial"/>
                <w:sz w:val="18"/>
                <w:szCs w:val="18"/>
                <w:color w:val="auto"/>
                <w:w w:val="90"/>
              </w:rPr>
              <w:t>136.05</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Copyright (C) 2009, Standard &amp; Poor’s, a division of The McGraw-Hill Companies, Inc. All rights reserved.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2005 through 2009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vMerge w:val="continue"/>
          </w:tcPr>
          <w:p>
            <w:pPr>
              <w:spacing w:after="0"/>
              <w:rPr>
                <w:sz w:val="12"/>
                <w:szCs w:val="12"/>
                <w:color w:val="auto"/>
              </w:rPr>
            </w:pPr>
          </w:p>
        </w:tc>
        <w:tc>
          <w:tcPr>
            <w:tcW w:w="266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rPr>
              <w:t>except per share amounts)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 (1)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1,208,702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w w:val="89"/>
              </w:rPr>
              <w:t>1,523,016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1,362,631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1,018,436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816,447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577,583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744,195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525,755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40,607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35,954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397,180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495,904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449,103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338,796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369,239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310,824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207,684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(24,901)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8"/>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(22,934)</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(14,231)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53,999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voting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Cash Dividends 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July 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286,955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390,524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303,359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240,537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1,583,267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9"/>
              </w:rPr>
              <w:t>1,850,513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1,698,857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1,365,186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850,147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Long-term obligations, less current maturities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346,457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457,143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478,575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350,018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investment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951,092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89"/>
              </w:rPr>
              <w:t>1,021,808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746,046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225,554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114,896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54,851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8"/>
              <w:spacing w:after="0"/>
              <w:rPr>
                <w:sz w:val="20"/>
                <w:szCs w:val="20"/>
                <w:color w:val="auto"/>
              </w:rPr>
            </w:pPr>
            <w:r>
              <w:rPr>
                <w:rFonts w:ascii="Arial" w:cs="Arial" w:eastAsia="Arial" w:hAnsi="Arial"/>
                <w:sz w:val="18"/>
                <w:szCs w:val="18"/>
                <w:color w:val="auto"/>
              </w:rPr>
              <w:t>60,587</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53,856</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35,144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(26,407)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(51,940)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(21,920)</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460" w:right="16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data has been impacted by the acquisitive nature of the Company as two, seven, eleven and four acquisitions were completed in fiscal years ended July 31, 2008, 2007, 2006 and 2005, respectively. There were no acquisitions in fiscal 2009. See Note 2 in Item 8 for further information on the acquisitions that were completed in each of the years.</w:t>
      </w:r>
    </w:p>
    <w:p>
      <w:pPr>
        <w:spacing w:after="0" w:line="32" w:lineRule="exact"/>
        <w:rPr>
          <w:rFonts w:ascii="Arial" w:cs="Arial" w:eastAsia="Arial" w:hAnsi="Arial"/>
          <w:sz w:val="18"/>
          <w:szCs w:val="18"/>
          <w:color w:val="auto"/>
        </w:rPr>
      </w:pPr>
    </w:p>
    <w:p>
      <w:pPr>
        <w:ind w:left="460" w:right="5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In addition to the restructuring charges, $1.6 million of income tax expense was incurred related to the anticipated repayment of certain tax holidays due to site consolidation actions.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ind w:right="100" w:firstLine="225"/>
        <w:spacing w:after="0" w:line="259" w:lineRule="auto"/>
        <w:rPr>
          <w:sz w:val="20"/>
          <w:szCs w:val="20"/>
          <w:color w:val="auto"/>
        </w:rPr>
      </w:pPr>
      <w:r>
        <w:rPr>
          <w:rFonts w:ascii="Arial" w:cs="Arial" w:eastAsia="Arial" w:hAnsi="Arial"/>
          <w:sz w:val="18"/>
          <w:szCs w:val="18"/>
          <w:color w:val="auto"/>
        </w:rPr>
        <w:t>In fiscal 2009, the Company posted sales of $1,208.7 million and net income of $70.1 million, a decrease of 20.6% and 47.0%, respectively, from fiscal 2008. Of the 20.6% decrease in sales, organic sales declined 16.4%, the effects of fluctuations in the exchange rates used to translate financial results into the United States dollar reduced sales by 4.8%, partially offset by a 0.6% increase from acquisitions. Regionally, sales in the Americas, Europe, and Asia-Pacific decreased 19.9%, 26.1%, and 14.5%, respectively.</w:t>
      </w:r>
    </w:p>
    <w:p>
      <w:pPr>
        <w:spacing w:after="0" w:line="7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Net income for fiscal 2009 declined 47.0% to $70.1 million or $1.33 per diluted share of Class A Common Stock, compared to $132.2 million, or $2.41 per diluted share of Class A Common Stock in fiscal 2008. Fiscal 2009 net income before restructuring related expenses was $90.3 million, or $1.71 per diluted share of Class A Common Stock.</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fiscal 2009, the Company generated $126.6 million of cash from operations, a decrease of $98.9 million from the prior fiscal year. The decrease was the result of decreased net income as discussed above and the increase in working capital. The increase in working capital was due to the decrease in other current liabilities resulting from the cash payment of the fiscal 2008 bonus and the elimination of the fiscal 2009 bonus accrual, offset by decreases in inventory and accounts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2009, Compared to Year Ended July 31, 2008</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2009 to July 31, 2008, has been impacted by the annualized impact of the following acquisitions completed in fiscal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w w:val="94"/>
              </w:rPr>
              <w:t>Transposafe Systems B.V. and Holland Mounting Systems B.V. (collectively “Transposafe”)</w:t>
            </w:r>
          </w:p>
        </w:tc>
        <w:tc>
          <w:tcPr>
            <w:tcW w:w="34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Europe</w:t>
            </w:r>
          </w:p>
        </w:tc>
        <w:tc>
          <w:tcPr>
            <w:tcW w:w="34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0"/>
              </w:rPr>
              <w:t>November 2007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DAWG, Inc. (“DAWG”)</w:t>
            </w:r>
          </w:p>
        </w:tc>
        <w:tc>
          <w:tcPr>
            <w:tcW w:w="3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3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2008</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Fiscal 2009 sales decreased $314.3 million, or 20.6% from fiscal 2008. Organic sales, defined as sales in the Company’s existing core businesses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regions (exclusive of acquisitions owned less than one year and foreign currency translation effects), were down 16.4% compared to fiscal 2008. The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organic sales was primarily due to the effects of the economic downturn in fiscal 2009. The acquisitions listed above increased sales by $9.0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in fiscal 2009. Fluctuations in the exchange rates used to translate financial results into the United States Dollar decreased sales by $73.2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4.8% for the year.</w:t>
      </w:r>
    </w:p>
    <w:p>
      <w:pPr>
        <w:spacing w:after="0" w:line="103"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The gross margin as a percentage of sales decreased to 47.8% in fiscal 2009 from 48.9% in fiscal 2008. The decrease in gross margin as a percentage of sales was primarily due to the sales decline, partially offset by the result of cost reduction actions taken during fiscal 2008 and fiscal 2009.</w:t>
      </w:r>
    </w:p>
    <w:p>
      <w:pPr>
        <w:spacing w:after="0" w:line="16"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Research and development expenses decreased to $34.2 million in fiscal 2009 from $40.6 million in fiscal 2008, and increased slightly as a percentage of sales in fiscal 2009 to 2.8% compared to 2.7% in fiscal 2008, reflecting the reduced discretionary spending and the Company’s continued commitment to investing in new product development.</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Selling, general, and administrative (“SG&amp;A”) expenses decreased to $397.2 million in fiscal 2009 as compared to $495.9 million in fiscal 2008. The decrease in SG&amp;A expenses was primarily related to the savings resulting from restructuring activities that took place during fiscal 2009, a decline in discretionary spending, and reduced incentive compensation expense compared to the prior year. As a percentage of sales, SG&amp;A increased to 32.9% in fiscal 2009 from 32.6% in fiscal 2008.</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Restructuring charges were $25.8 million during fiscal 2009. Additionally, $1.6 million of income tax expense was also incurred related to the anticipated repayment of certain tax holidays due to site consolidation actions. In response to the global economic downturn,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Company implemented a plan to reduce its cost structure. During fiscal 2009, the Company incurred costs related to the reduction of its workforce and facility consolidations. Restructuring costs related primarily to employee separation costs, consisting of severance pay, outplacement services, medical, and other related benefits for approximately 25 percent of the Company’s work force.</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Other income decreased $3.1 million in fiscal 2009 to $1.8 million from $4.9 million in the prior year. The income recorded in fiscal 2009 and fiscal 2008 was primarily due to interest income earned on cash and marketable securities investments. The $1.8 million of other income recorded in fiscal 2009 consisted of $2.5 million of interest income and $0.9 million in foreign exchange gains, partially offset by the $1.6 million loss of securities held in executive deferred compensation plans. The decrease in interest income in fiscal 2009 was the result of both lower interest rates and decreased cash generated from the operating activities and lower average cash balances.</w:t>
      </w:r>
    </w:p>
    <w:p>
      <w:pPr>
        <w:spacing w:after="0" w:line="8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Interest expense decreased to $24.9 million from $26.4 million for fiscal 2009 as compared to fiscal 2008. In fiscal 2009, the Company repaid approximately $87.2 million of debt. As a result of the lower principle balance under the related debt agreement, the Company’s interest expense decreased as compared to the prior year.</w:t>
      </w:r>
    </w:p>
    <w:p>
      <w:pPr>
        <w:spacing w:after="0" w:line="73"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Company’s effective tax rate was 27.9% for fiscal 2009 as compared to 29.0% for fiscal 2008. The decreased tax rate in fiscal 2009 was primarily due to decreased profits in higher tax countries.</w:t>
      </w:r>
    </w:p>
    <w:p>
      <w:pPr>
        <w:spacing w:after="0" w:line="6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Net income for the fiscal year ended July 31, 2009, decreased 47% to $70.1 million, compared to $132.2 million for the fiscal year ended July 31, 2008, as a result of the factors noted above. Net income as a percentage of sales decreased to 5.8% from 8.7% for the fiscal year ended July 31, 2009 compared the same period in the prior year. Diluted net income per share decreased 44.8% to $1.33 per share for fiscal 2009 compared to $2.41 per share for the fiscal year ended July 31, 2008. Fiscal 2009 net income before restructuring related expenses was $90.3 million, or $1.71 per diluted share of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2008, Compared to Year Ended July 31, 2007</w:t>
      </w:r>
    </w:p>
    <w:p>
      <w:pPr>
        <w:spacing w:after="0" w:line="117"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2008 to July 31, 2007, has been impacted by the following acquisitions completed in fiscal 2008, as well as the annualized impact of the acquisitions completed in fiscal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Acquisitions:</w:t>
            </w:r>
          </w:p>
        </w:tc>
        <w:tc>
          <w:tcPr>
            <w:tcW w:w="34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6860" w:type="dxa"/>
            <w:vAlign w:val="bottom"/>
          </w:tcPr>
          <w:p>
            <w:pPr>
              <w:spacing w:after="0" w:line="195" w:lineRule="exact"/>
              <w:rPr>
                <w:sz w:val="20"/>
                <w:szCs w:val="20"/>
                <w:color w:val="auto"/>
              </w:rPr>
            </w:pPr>
            <w:r>
              <w:rPr>
                <w:rFonts w:ascii="Arial" w:cs="Arial" w:eastAsia="Arial" w:hAnsi="Arial"/>
                <w:sz w:val="18"/>
                <w:szCs w:val="18"/>
                <w:color w:val="auto"/>
                <w:w w:val="94"/>
              </w:rPr>
              <w:t>Transposafe Systems B.V. and Holland Mounting Systems B.V. (collectively “Transposafe”)</w:t>
            </w:r>
          </w:p>
        </w:tc>
        <w:tc>
          <w:tcPr>
            <w:tcW w:w="340" w:type="dxa"/>
            <w:vAlign w:val="bottom"/>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Europe</w:t>
            </w:r>
          </w:p>
        </w:tc>
        <w:tc>
          <w:tcPr>
            <w:tcW w:w="34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0"/>
              </w:rPr>
              <w:t>November 2007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DAWG, Inc. (“DAWG”)</w:t>
            </w:r>
          </w:p>
        </w:tc>
        <w:tc>
          <w:tcPr>
            <w:tcW w:w="3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Americas</w:t>
            </w:r>
          </w:p>
        </w:tc>
        <w:tc>
          <w:tcPr>
            <w:tcW w:w="3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2008</w:t>
            </w:r>
          </w:p>
        </w:tc>
      </w:tr>
    </w:tbl>
    <w:p>
      <w:pPr>
        <w:spacing w:after="0" w:line="9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Fiscal 2008 sales increased $160.4 million, or 11.8% from fiscal 2007. Organic sales, defined as sales in the Company’s existing core businesses and regions (exclusive of acquisitions owned less than one year and foreign currency effects), were flat compared to fiscal 2007. The acquisitions listed above and the annualized impact of the fiscal 2007 acquisitions increased sales by $78.7 million or 5.8% in fiscal 2008 compared to fiscal 2007. Fluctuations in the exchange rates used to translate financial results into the United States dollar resulted in a sales increase of $81.7 million or 6.0% for the year.</w:t>
      </w:r>
    </w:p>
    <w:p>
      <w:pPr>
        <w:spacing w:after="0" w:line="46"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gross margin as a percentage of sales increased to 48.9% in fiscal 2008 from 48.2% in fiscal 2007. The increase in gross margin as a percentage of sales was primarily the result of cost reduction actions taken during fiscal 2007 and fiscal 2008.</w:t>
      </w:r>
    </w:p>
    <w:p>
      <w:pPr>
        <w:spacing w:after="0" w:line="62"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Research and development expenses increased to $40.6 million in fiscal 2008 from $36.0 million in fiscal 2007, and increased slightly as a percentage of sales in fiscal 2008 to 2.7% compared to 2.6% in fiscal 2007, reflecting the Company’s continued commitment to investing in new product development.</w:t>
      </w:r>
    </w:p>
    <w:p>
      <w:pPr>
        <w:spacing w:after="0" w:line="16"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Selling, general, and administrative (“SG&amp;A”) expenses increased to $495.9 million in fiscal 2008 as compared to $449.1 million in fiscal 2007. The increase in SG&amp;A expenses was primarily the result of the effect of currencies and acquisitions made during fiscal 2007 and fiscal 2008. As a percentage of sales, SG&amp;A decreased to 32.6% in fiscal 2008 from 33.0% in fiscal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Investment and other income increased $2.0 million in fiscal 2008 to $4.9 million from $2.9 million in the prior year. The income recorded in fiscal 2008 and fiscal 2007 was primarily due to interest income earned on cash and marketable securities investments. The $4.9 million of investment and other income recorded in fiscal 2008 consisted of $5.9 million of interest income, partially offset by $1.0 million in foreign exchange losses. The increase in interest income in fiscal 2008 was the result of both increased net income and working capital initiatives that have increased cash balances.</w:t>
      </w:r>
    </w:p>
    <w:p>
      <w:pPr>
        <w:spacing w:after="0" w:line="46"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Interest expense increased to $26.4 million from $22.9 million for fiscal 2008 as compared to fiscal 2007. The increase in interest expense was mainly due to interest on the $150 million private placement of senior notes that the Company completed in the third quarter of fiscal 2007.</w:t>
      </w:r>
    </w:p>
    <w:p>
      <w:pPr>
        <w:spacing w:after="0" w:line="38"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Company’s effective tax rate was 29.0% for fiscal 2008 as compared to 28.0% for fiscal 2007. The increased tax rate in fiscal 2008 was primarily due to increased profits in higher tax countries.</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income for the fiscal year ended July 31, 2008, increased 20.8% to $132.2 million, compared to $109.4 million for the fiscal year ended July 31, 2007, as a result of the factors noted above. Diluted net income per share increased 20.5% to $2.41 per share for fiscal 2008 compared to $2.00 per share for the fiscal year ended July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121"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Europe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In applying the criteria set forth in Statement of Financial Accounting Standards (“SFAS”) No. 131 “Disclosures about Segments of an Enterprise and Related Information,” the Company has determined that these regions comprise its reportable segments based on the information used by the Chief Executive Officer to allocate resources and assess performance. Segment results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4"/>
                <w:szCs w:val="14"/>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Americas</w:t>
            </w:r>
          </w:p>
        </w:tc>
        <w:tc>
          <w:tcPr>
            <w:tcW w:w="340" w:type="dxa"/>
            <w:vAlign w:val="bottom"/>
          </w:tcPr>
          <w:p>
            <w:pPr>
              <w:spacing w:after="0"/>
              <w:rPr>
                <w:sz w:val="14"/>
                <w:szCs w:val="14"/>
                <w:color w:val="auto"/>
              </w:rPr>
            </w:pP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Europe</w:t>
            </w:r>
          </w:p>
        </w:tc>
        <w:tc>
          <w:tcPr>
            <w:tcW w:w="340" w:type="dxa"/>
            <w:vAlign w:val="bottom"/>
          </w:tcPr>
          <w:p>
            <w:pPr>
              <w:spacing w:after="0"/>
              <w:rPr>
                <w:sz w:val="14"/>
                <w:szCs w:val="14"/>
                <w:color w:val="auto"/>
              </w:rPr>
            </w:pP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auto"/>
              </w:rPr>
              <w:t>Asia-</w:t>
            </w:r>
          </w:p>
        </w:tc>
        <w:tc>
          <w:tcPr>
            <w:tcW w:w="36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6"/>
              </w:rPr>
              <w:t>Corporate and</w:t>
            </w:r>
          </w:p>
        </w:tc>
        <w:tc>
          <w:tcPr>
            <w:tcW w:w="3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Pacific</w:t>
            </w:r>
          </w:p>
        </w:tc>
        <w:tc>
          <w:tcPr>
            <w:tcW w:w="360" w:type="dxa"/>
            <w:vAlign w:val="bottom"/>
          </w:tcPr>
          <w:p>
            <w:pPr>
              <w:spacing w:after="0"/>
              <w:rPr>
                <w:sz w:val="14"/>
                <w:szCs w:val="14"/>
                <w:color w:val="auto"/>
              </w:rPr>
            </w:pP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Regions</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Eliminations</w:t>
            </w:r>
          </w:p>
        </w:tc>
        <w:tc>
          <w:tcPr>
            <w:tcW w:w="360" w:type="dxa"/>
            <w:vAlign w:val="bottom"/>
          </w:tcPr>
          <w:p>
            <w:pPr>
              <w:spacing w:after="0"/>
              <w:rPr>
                <w:sz w:val="14"/>
                <w:szCs w:val="14"/>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3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Years ended: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$534,440</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$367,156</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$307,106</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$1,208,702</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$1,208,702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July 31, 2008</w:t>
            </w:r>
          </w:p>
        </w:tc>
        <w:tc>
          <w:tcPr>
            <w:tcW w:w="1460" w:type="dxa"/>
            <w:vAlign w:val="bottom"/>
            <w:gridSpan w:val="2"/>
          </w:tcPr>
          <w:p>
            <w:pPr>
              <w:jc w:val="right"/>
              <w:ind w:right="228"/>
              <w:spacing w:after="0"/>
              <w:rPr>
                <w:sz w:val="20"/>
                <w:szCs w:val="20"/>
                <w:color w:val="auto"/>
              </w:rPr>
            </w:pPr>
            <w:r>
              <w:rPr>
                <w:rFonts w:ascii="Arial" w:cs="Arial" w:eastAsia="Arial" w:hAnsi="Arial"/>
                <w:sz w:val="18"/>
                <w:szCs w:val="18"/>
                <w:color w:val="auto"/>
              </w:rPr>
              <w:t>667,106</w:t>
            </w:r>
          </w:p>
        </w:tc>
        <w:tc>
          <w:tcPr>
            <w:tcW w:w="1480" w:type="dxa"/>
            <w:vAlign w:val="bottom"/>
            <w:gridSpan w:val="2"/>
          </w:tcPr>
          <w:p>
            <w:pPr>
              <w:jc w:val="right"/>
              <w:ind w:right="228"/>
              <w:spacing w:after="0"/>
              <w:rPr>
                <w:sz w:val="20"/>
                <w:szCs w:val="20"/>
                <w:color w:val="auto"/>
              </w:rPr>
            </w:pPr>
            <w:r>
              <w:rPr>
                <w:rFonts w:ascii="Arial" w:cs="Arial" w:eastAsia="Arial" w:hAnsi="Arial"/>
                <w:sz w:val="18"/>
                <w:szCs w:val="18"/>
                <w:color w:val="auto"/>
              </w:rPr>
              <w:t>496,715</w:t>
            </w:r>
          </w:p>
        </w:tc>
        <w:tc>
          <w:tcPr>
            <w:tcW w:w="1480" w:type="dxa"/>
            <w:vAlign w:val="bottom"/>
            <w:gridSpan w:val="2"/>
          </w:tcPr>
          <w:p>
            <w:pPr>
              <w:jc w:val="right"/>
              <w:ind w:right="228"/>
              <w:spacing w:after="0"/>
              <w:rPr>
                <w:sz w:val="20"/>
                <w:szCs w:val="20"/>
                <w:color w:val="auto"/>
              </w:rPr>
            </w:pPr>
            <w:r>
              <w:rPr>
                <w:rFonts w:ascii="Arial" w:cs="Arial" w:eastAsia="Arial" w:hAnsi="Arial"/>
                <w:sz w:val="18"/>
                <w:szCs w:val="18"/>
                <w:color w:val="auto"/>
              </w:rPr>
              <w:t>359,195</w:t>
            </w:r>
          </w:p>
        </w:tc>
        <w:tc>
          <w:tcPr>
            <w:tcW w:w="1620" w:type="dxa"/>
            <w:vAlign w:val="bottom"/>
            <w:gridSpan w:val="2"/>
          </w:tcPr>
          <w:p>
            <w:pPr>
              <w:jc w:val="right"/>
              <w:ind w:right="228"/>
              <w:spacing w:after="0"/>
              <w:rPr>
                <w:sz w:val="20"/>
                <w:szCs w:val="20"/>
                <w:color w:val="auto"/>
              </w:rPr>
            </w:pPr>
            <w:r>
              <w:rPr>
                <w:rFonts w:ascii="Arial" w:cs="Arial" w:eastAsia="Arial" w:hAnsi="Arial"/>
                <w:sz w:val="18"/>
                <w:szCs w:val="18"/>
                <w:color w:val="auto"/>
              </w:rPr>
              <w:t>1,523,016</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8"/>
              <w:spacing w:after="0"/>
              <w:rPr>
                <w:sz w:val="20"/>
                <w:szCs w:val="20"/>
                <w:color w:val="auto"/>
              </w:rPr>
            </w:pPr>
            <w:r>
              <w:rPr>
                <w:rFonts w:ascii="Arial" w:cs="Arial" w:eastAsia="Arial" w:hAnsi="Arial"/>
                <w:sz w:val="18"/>
                <w:szCs w:val="18"/>
                <w:color w:val="auto"/>
              </w:rPr>
              <w:t>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14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609,855</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416,514</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336,262</w:t>
            </w:r>
          </w:p>
        </w:tc>
        <w:tc>
          <w:tcPr>
            <w:tcW w:w="1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1,362,631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1,362,631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tcPr>
          <w:p>
            <w:pPr>
              <w:spacing w:after="0" w:line="198" w:lineRule="exact"/>
              <w:rPr>
                <w:sz w:val="20"/>
                <w:szCs w:val="20"/>
                <w:color w:val="auto"/>
              </w:rPr>
            </w:pPr>
            <w:r>
              <w:rPr>
                <w:rFonts w:ascii="Arial" w:cs="Arial" w:eastAsia="Arial" w:hAnsi="Arial"/>
                <w:sz w:val="18"/>
                <w:szCs w:val="18"/>
                <w:b w:val="1"/>
                <w:bCs w:val="1"/>
                <w:color w:val="auto"/>
              </w:rPr>
              <w:t>SALES GROWTH</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Organic</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(18.5)%</w:t>
            </w:r>
          </w:p>
        </w:tc>
        <w:tc>
          <w:tcPr>
            <w:tcW w:w="1480" w:type="dxa"/>
            <w:vAlign w:val="bottom"/>
            <w:gridSpan w:val="2"/>
          </w:tcPr>
          <w:p>
            <w:pPr>
              <w:jc w:val="right"/>
              <w:ind w:right="28"/>
              <w:spacing w:after="0"/>
              <w:rPr>
                <w:sz w:val="20"/>
                <w:szCs w:val="20"/>
                <w:color w:val="auto"/>
              </w:rPr>
            </w:pPr>
            <w:r>
              <w:rPr>
                <w:rFonts w:ascii="Arial" w:cs="Arial" w:eastAsia="Arial" w:hAnsi="Arial"/>
                <w:sz w:val="18"/>
                <w:szCs w:val="18"/>
                <w:color w:val="auto"/>
              </w:rPr>
              <w:t>(18.1)%</w:t>
            </w:r>
          </w:p>
        </w:tc>
        <w:tc>
          <w:tcPr>
            <w:tcW w:w="1480" w:type="dxa"/>
            <w:vAlign w:val="bottom"/>
            <w:gridSpan w:val="2"/>
          </w:tcPr>
          <w:p>
            <w:pPr>
              <w:jc w:val="right"/>
              <w:ind w:right="8"/>
              <w:spacing w:after="0"/>
              <w:rPr>
                <w:sz w:val="20"/>
                <w:szCs w:val="20"/>
                <w:color w:val="auto"/>
              </w:rPr>
            </w:pPr>
            <w:r>
              <w:rPr>
                <w:rFonts w:ascii="Arial" w:cs="Arial" w:eastAsia="Arial" w:hAnsi="Arial"/>
                <w:sz w:val="18"/>
                <w:szCs w:val="18"/>
                <w:color w:val="auto"/>
              </w:rPr>
              <w:t>(10.3)%</w:t>
            </w:r>
          </w:p>
        </w:tc>
        <w:tc>
          <w:tcPr>
            <w:tcW w:w="1620" w:type="dxa"/>
            <w:vAlign w:val="bottom"/>
            <w:gridSpan w:val="2"/>
          </w:tcPr>
          <w:p>
            <w:pPr>
              <w:jc w:val="right"/>
              <w:ind w:right="8"/>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(4.2)%</w:t>
            </w:r>
          </w:p>
        </w:tc>
        <w:tc>
          <w:tcPr>
            <w:tcW w:w="1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0.3%</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(19.9)%</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(26.1)%</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(14.5)%</w:t>
            </w:r>
          </w:p>
        </w:tc>
        <w:tc>
          <w:tcPr>
            <w:tcW w:w="16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Year ended July 31, 2008:</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Organic</w:t>
            </w:r>
          </w:p>
        </w:tc>
        <w:tc>
          <w:tcPr>
            <w:tcW w:w="1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(0.4)%</w:t>
            </w:r>
          </w:p>
        </w:tc>
        <w:tc>
          <w:tcPr>
            <w:tcW w:w="1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10.6%</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7.6%</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4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6.5%</w:t>
            </w:r>
          </w:p>
        </w:tc>
        <w:tc>
          <w:tcPr>
            <w:tcW w:w="14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9.1%</w:t>
            </w:r>
          </w:p>
        </w:tc>
        <w:tc>
          <w:tcPr>
            <w:tcW w:w="1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0.3%</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400"/>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jc w:val="right"/>
              <w:ind w:right="88"/>
              <w:spacing w:after="0"/>
              <w:rPr>
                <w:sz w:val="20"/>
                <w:szCs w:val="20"/>
                <w:color w:val="auto"/>
              </w:rPr>
            </w:pPr>
            <w:r>
              <w:rPr>
                <w:rFonts w:ascii="Arial" w:cs="Arial" w:eastAsia="Arial" w:hAnsi="Arial"/>
                <w:sz w:val="18"/>
                <w:szCs w:val="18"/>
                <w:color w:val="auto"/>
              </w:rPr>
              <w:t>9.4%</w:t>
            </w:r>
          </w:p>
        </w:tc>
        <w:tc>
          <w:tcPr>
            <w:tcW w:w="1480" w:type="dxa"/>
            <w:vAlign w:val="bottom"/>
            <w:gridSpan w:val="2"/>
          </w:tcPr>
          <w:p>
            <w:pPr>
              <w:jc w:val="right"/>
              <w:ind w:right="88"/>
              <w:spacing w:after="0"/>
              <w:rPr>
                <w:sz w:val="20"/>
                <w:szCs w:val="20"/>
                <w:color w:val="auto"/>
              </w:rPr>
            </w:pPr>
            <w:r>
              <w:rPr>
                <w:rFonts w:ascii="Arial" w:cs="Arial" w:eastAsia="Arial" w:hAnsi="Arial"/>
                <w:sz w:val="18"/>
                <w:szCs w:val="18"/>
                <w:color w:val="auto"/>
              </w:rPr>
              <w:t>19.3%</w:t>
            </w:r>
          </w:p>
        </w:tc>
        <w:tc>
          <w:tcPr>
            <w:tcW w:w="1480" w:type="dxa"/>
            <w:vAlign w:val="bottom"/>
            <w:gridSpan w:val="2"/>
          </w:tcPr>
          <w:p>
            <w:pPr>
              <w:jc w:val="right"/>
              <w:ind w:right="68"/>
              <w:spacing w:after="0"/>
              <w:rPr>
                <w:sz w:val="20"/>
                <w:szCs w:val="20"/>
                <w:color w:val="auto"/>
              </w:rPr>
            </w:pPr>
            <w:r>
              <w:rPr>
                <w:rFonts w:ascii="Arial" w:cs="Arial" w:eastAsia="Arial" w:hAnsi="Arial"/>
                <w:sz w:val="18"/>
                <w:szCs w:val="18"/>
                <w:color w:val="auto"/>
              </w:rPr>
              <w:t>6.8%</w:t>
            </w:r>
          </w:p>
        </w:tc>
        <w:tc>
          <w:tcPr>
            <w:tcW w:w="1620" w:type="dxa"/>
            <w:vAlign w:val="bottom"/>
            <w:gridSpan w:val="2"/>
          </w:tcPr>
          <w:p>
            <w:pPr>
              <w:jc w:val="right"/>
              <w:ind w:right="68"/>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20"/>
                <w:szCs w:val="20"/>
                <w:color w:val="auto"/>
              </w:rPr>
            </w:pPr>
          </w:p>
        </w:tc>
        <w:tc>
          <w:tcPr>
            <w:tcW w:w="96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gridSpan w:val="2"/>
          </w:tcPr>
          <w:p>
            <w:pPr>
              <w:jc w:val="right"/>
              <w:ind w:right="1008"/>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Americas</w:t>
            </w:r>
          </w:p>
        </w:tc>
        <w:tc>
          <w:tcPr>
            <w:tcW w:w="100" w:type="dxa"/>
            <w:vAlign w:val="bottom"/>
          </w:tcPr>
          <w:p>
            <w:pPr>
              <w:spacing w:after="0"/>
              <w:rPr>
                <w:sz w:val="14"/>
                <w:szCs w:val="14"/>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5"/>
              </w:rPr>
              <w:t>Europe</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Asia-</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5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Pacific</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6"/>
              </w:rPr>
              <w:t>Regions</w:t>
            </w:r>
          </w:p>
        </w:tc>
        <w:tc>
          <w:tcPr>
            <w:tcW w:w="260" w:type="dxa"/>
            <w:vAlign w:val="bottom"/>
          </w:tcPr>
          <w:p>
            <w:pPr>
              <w:spacing w:after="0"/>
              <w:rPr>
                <w:sz w:val="14"/>
                <w:szCs w:val="14"/>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5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Years ended: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$ 114,404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42,575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256,854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(7,952)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July 31, 2008</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157,523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135,426</w:t>
            </w:r>
          </w:p>
        </w:tc>
        <w:tc>
          <w:tcPr>
            <w:tcW w:w="1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58,234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351,183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8"/>
                <w:szCs w:val="18"/>
                <w:color w:val="auto"/>
              </w:rPr>
              <w:t>(9,048)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144,583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107,552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57,236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309,371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298,886</w:t>
            </w:r>
          </w:p>
        </w:tc>
        <w:tc>
          <w:tcPr>
            <w:tcW w:w="0" w:type="dxa"/>
            <w:vAlign w:val="bottom"/>
          </w:tcPr>
          <w:p>
            <w:pPr>
              <w:spacing w:after="0"/>
              <w:rPr>
                <w:sz w:val="1"/>
                <w:szCs w:val="1"/>
                <w:color w:val="auto"/>
              </w:rPr>
            </w:pPr>
          </w:p>
        </w:tc>
      </w:tr>
      <w:tr>
        <w:trPr>
          <w:trHeight w:val="432"/>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NET INCOME RECONCILIATION</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0"/>
              </w:rPr>
              <w:t>Years ended:</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320" w:type="dxa"/>
            <w:vAlign w:val="bottom"/>
          </w:tcPr>
          <w:p>
            <w:pPr>
              <w:spacing w:after="0"/>
              <w:rPr>
                <w:sz w:val="10"/>
                <w:szCs w:val="10"/>
                <w:color w:val="auto"/>
              </w:rPr>
            </w:pPr>
          </w:p>
        </w:tc>
        <w:tc>
          <w:tcPr>
            <w:tcW w:w="720" w:type="dxa"/>
            <w:vAlign w:val="bottom"/>
          </w:tcPr>
          <w:p>
            <w:pPr>
              <w:jc w:val="right"/>
              <w:ind w:right="60"/>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256,854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$ 351,183</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Corporate and eliminations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(7,952)</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(9,048)</w:t>
            </w:r>
          </w:p>
        </w:tc>
        <w:tc>
          <w:tcPr>
            <w:tcW w:w="3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Unallocated amounts: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rPr>
              <w:t>Administrative costs</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(102,680)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(134,451)</w:t>
            </w:r>
          </w:p>
        </w:tc>
        <w:tc>
          <w:tcPr>
            <w:tcW w:w="3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costs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(25,849)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Arial" w:cs="Arial" w:eastAsia="Arial" w:hAnsi="Arial"/>
                <w:sz w:val="18"/>
                <w:szCs w:val="18"/>
                <w:color w:val="auto"/>
                <w:w w:val="92"/>
              </w:rPr>
              <w:t>Investment and other income — net</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4,888</w:t>
            </w: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(24,901)</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(26,385)</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60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(27,150)</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(53,999)</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80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$ 132,188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$ 109,388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60" w:right="52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In addition to the restructuring charges, $1.6 million of income tax expense was incurred related to the anticipated repayment of certain tax holidays due to site consolidation actions.</w:t>
      </w:r>
    </w:p>
    <w:p>
      <w:pPr>
        <w:spacing w:after="0" w:line="73"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evaluates performance of the businesses using sales and segment profit.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Sales in the Americas region decreased 19.9% from fiscal 2008 to fiscal 2009, and increased 9.4% from fiscal 2007 to fiscal 2008. Organic sales declined 18.5% in 2009 and grew 0.9% in 2008. The segment experienced declines in organic sales in fiscal 2009 due to the global economic downturn. The decrease in sales also resulted from the declining volumes of the manufacturing and construction sectors, as well as the impact of declining inventories of the Company’s distribution partners and other customers. The organic growth in fiscal 2008 was due to strong performance in the education and OEM markets, offset partially by the softness in the manufacturing, construction, and utility markets. The acquisition of DAWG, Inc. (“DAWG”) in fiscal 2008 added 0.3% to fiscal 2009 sales. The acquisitions of Comprehensive Identification Products, Inc. (“CIPI”), Precision Converters L.P (“Precision Converters”), Scafftag Ltd., Safetrak, Ltd. And Scafftag Pty., Ltd (collectively “Scafftag”), Asterisco Artes Graficas Ltda. (“Asterisco”), Clement Communications, Inc. (“Clement”) and Sorbent Products Co., Inc. (“SPC) in fiscal 2007 and DAWG in fiscal 2008 added 6.5% to fiscal 2008 sales. Fluctuations in the exchange rates used to translate financial results into U.S. dollars decreased sales in the segment by 1.7% in fiscal 2009 and increased sales by 2.0% in fiscal 2008, when compared to the prior fiscal years.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the Americas region, segment profit decreased 27.4% to $114.4 million in fiscal 2009 from $157.5 million in fiscal 2008. Segment profit as a percentage of sales decreased to 21.4% in 2009 from 23.6% in 2008. This decrease was primarily due to the decrease in sales volume, impacting the segment’s ability to absorb fixed costs. Cost savings partially offset this decrease. Costs savings came from the restructuring activities in addition to reductions in discretionary spending. Comparing fiscal 2008 to 2007, segment profit as a percentage of sales decreased slightly to 23.6% in 2008 from 23.7% in 2007. This decrease was primarily due to the slowing growth in high margin organic sales during fiscal 2008, mostly offset by cost control efforts and improvements made in the prior year to lower performing businesses.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Sales in the European region decreased 26.1% in fiscal 2009 from fiscal 2008, and increased 19.3% in fiscal 2008 from fiscal 2007. Organic sales declined 18.1% in fiscal 2009 and 0.4% in fiscal 2008 as compared to prior years. The segment’s organic sales continued to be adversely impacted by the global economic downturn in fiscal 2009. Organic sales in the private sector to the automotive and electronics markets declined in the Europe segment, with sales to governments and public utilities partially offsetting these declines. The decline in organic sales in fiscal 2008 was primarily the result of a weakening European economy as well as tough comparables over the prior year due to the implementation of “No Smoking” legislation in the U.K. and France, as these sales did not recur in fiscal 2008. Sales were negatively affected by fluctuations in the exchange rates used to translate financial results into the United States dollar, which decreased sales within the segment by 9.4% in fiscal 2009. Foreign currency translation increased the segment’s sales 10.6% in 2008. The acquisition of Transposafe Systems B.V. and Holland Mounting Systems B.V. (collectively “Transposafe”) in fiscal 2008 added 1.4% to the region’s sales in fiscal 2009 and the acquisitions of CIPI, Scafftag, Modernotecnica SpA (“Moderno”), and SPC in fiscal 2007 and Transposafe in fiscal 2008 added 9.1% to the region’s sales in fiscal 2008.</w:t>
      </w:r>
    </w:p>
    <w:p>
      <w:pPr>
        <w:spacing w:after="0" w:line="7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the Europe region, segment profit decreased 26.3% to $99.9 million in fiscal 2009 from $135.4 million in fiscal 2008. Segment profit as a percentage of sales decreased slightly to 27.2% in fiscal 2009 from 27.3% in fiscal 2008. The decline in segment profit in fiscal 2009 was attributable to the declining sales volumes and the impact of foreign currency translation. In response to the sales downturn, the segment implemented various cost saving measures during fiscal year 2009 that have generated savings to partially offset the impact of lower sales volumes. Comparing fiscal 2008 to 2007, segment profit as a percentage of sales increased to 27.3% in 2008 from 25.8% in 2007. The increase in segment profit in fiscal 2008 was driven by the sales increases noted above in addition to the realization of savings from cost reduction activities taken at the end of fiscal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Asia-Pacific</w:t>
      </w:r>
    </w:p>
    <w:p>
      <w:pPr>
        <w:spacing w:after="0" w:line="121" w:lineRule="exact"/>
        <w:rPr>
          <w:sz w:val="20"/>
          <w:szCs w:val="20"/>
          <w:color w:val="auto"/>
        </w:rPr>
      </w:pPr>
    </w:p>
    <w:p>
      <w:pPr>
        <w:ind w:right="60" w:firstLine="215"/>
        <w:spacing w:after="0" w:line="271" w:lineRule="auto"/>
        <w:rPr>
          <w:sz w:val="20"/>
          <w:szCs w:val="20"/>
          <w:color w:val="auto"/>
        </w:rPr>
      </w:pPr>
      <w:r>
        <w:rPr>
          <w:rFonts w:ascii="Arial" w:cs="Arial" w:eastAsia="Arial" w:hAnsi="Arial"/>
          <w:sz w:val="17"/>
          <w:szCs w:val="17"/>
          <w:color w:val="auto"/>
        </w:rPr>
        <w:t>Asia-Pacific sales decreased 14.5% in fiscal 2009, and increased 6.8% in fiscal 2008 from fiscal 2007. Organic sales declined 10.3% in fiscal 2009 and declined 1.1% in fiscal 2008. The decline in organic sales in fiscal 2009 was primarily due to the overall decline in the electronics and mobile handset markets and aggressive pricing demands from customers, slightly offset by increased demand for MRO products to support infrastructure development sponsored by government stimulus spending in the region. The decline in organic sales in fiscal 2008 primarily resulted from a drop in sales to OEM customers in the mobile handset market, in addition to the competitive, less profitable business the Company chose to deemphasize. Declines in the mobile handset business were partially offset by solid growth in the smaller business lines of high performance labels, safety and facility identification, and hard disk drives during fiscal 2008. Foreign currency translation decreased the region’s sales by 4.2% from fiscal 2009 and increased the region’s sales by 7.6% in fiscal 2008, as compared to prior years.</w:t>
      </w:r>
    </w:p>
    <w:p>
      <w:pPr>
        <w:spacing w:after="0" w:line="7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In the Asia-Pacific region, segment profit decreased 26.9% to $42.6 million in fiscal 2009 from $58.2 million in fiscal 2008. Segment profit as a percentage of sales decreased to 13.9% in fiscal 2009 from 16.2% in fiscal 2008. The decline in the profit in fiscal 2009 was primarily the result of decreased sales, offset by savings generated from restructuring activities, shortened work weeks, and reduced discretionary spending. Comparing fiscal 2008 to 2007, segment profit as a percentage of sales declined to 16.2% in 2008 from 17.0% in 2007. The decline in segment profit as a percentage of sales in fiscal 2008 was due to the industry mix shift from high-end, feature rich mobile phones to low-end basic mobile phones and continued pricing pressures within the mobile handset supply chain, partially offset by activities initiated in fiscal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Cash and cash equivalents were $188.2 million at July 31, 2009, compared to $258.4 million at July 31, 2008. The decrease in the cash of $70.2 million was the result of cash provided by operations of $126.6 million, offset by cash used in investing activities of $19.0 million, cash used in financing activities of $160.3 million, including $87.2 million related to debt payments, $40.3 million related to the repurchase of treasury stock, and $35.8 million dividend payments, and the effects on the fluctuations of the U.S. dollar against other currencies, which negatively impacted cash in the amount of $17.5 million during fiscal 2009.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215"/>
        <w:spacing w:after="0" w:line="288" w:lineRule="auto"/>
        <w:rPr>
          <w:sz w:val="20"/>
          <w:szCs w:val="20"/>
          <w:color w:val="auto"/>
        </w:rPr>
      </w:pPr>
      <w:r>
        <w:rPr>
          <w:rFonts w:ascii="Arial" w:cs="Arial" w:eastAsia="Arial" w:hAnsi="Arial"/>
          <w:sz w:val="16"/>
          <w:szCs w:val="16"/>
          <w:color w:val="auto"/>
        </w:rPr>
        <w:t>Accounts receivable balances decreased $71.3 million from July 31, 2008 to July 31, 2009. The decrease in accounts receivable was due primarily to the decline in sales volumes and the impact of foreign currency translation on the Company’s foreign accounts receivables. Inventories decreased $40.8 million from July 31, 2008 to July 31, 2009 due to reduced business activity, focused inventory reduction initiatives, and the impact of foreign currency translation.</w:t>
      </w:r>
    </w:p>
    <w:p>
      <w:pPr>
        <w:ind w:right="40"/>
        <w:spacing w:after="0" w:line="255" w:lineRule="auto"/>
        <w:rPr>
          <w:sz w:val="20"/>
          <w:szCs w:val="20"/>
          <w:color w:val="auto"/>
        </w:rPr>
      </w:pPr>
      <w:r>
        <w:rPr>
          <w:rFonts w:ascii="Arial" w:cs="Arial" w:eastAsia="Arial" w:hAnsi="Arial"/>
          <w:sz w:val="18"/>
          <w:szCs w:val="18"/>
          <w:color w:val="auto"/>
        </w:rPr>
        <w:t>Current liabilities decreased $86.1 million over the same period primarily due to a reduction in wages payable resulting from reduced headcount, cancellation of incentive compensation plans for fiscal 2009, and reduction of accrued income taxes, offset by an increase in the Company’s current maturities on long term debt.</w:t>
      </w:r>
    </w:p>
    <w:p>
      <w:pPr>
        <w:spacing w:after="0" w:line="8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has maintained strong operating cash flow, which totaled $126.6 million for fiscal 2009, $225.6 million for fiscal 2008 and $136.0 million for fiscal 2007. The decrease in operating cash flow from fiscal 2008 to fiscal 2009 was the result of a decline in net income of $62.1 million and the changes in working capital discussed above.</w:t>
      </w:r>
    </w:p>
    <w:p>
      <w:pPr>
        <w:spacing w:after="0" w:line="7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Company did not complete any acquisitions during fiscal 2009, compared to $29.3 million and $159.5 million of cash used for acquisitions in fiscal 2008 and 2007, respectively. The Company has reached a settlement with the former owners of Tradex related to the purchase price of the Tradex acquisition. The Company received approximately $3.5 million as the result of the settlement during fiscal 2009. Payments of $0.7 million and $0.7 million were made during fiscal 2009 to satisfy the earnout and holdback liabilities of the Transposafe and Asterisco acquisitions, respectively. Contingent consideration payments of $4.4 million, $1.2 million, and $0.2 million were made during fiscal 2008 to satisfy the earnout and holdback liabilities of the fiscal 2006 acquisitions of Daewon Industry Corporation and STOPware, Inc., and the fiscal 2007 acquisition of Asterisco, respectively.</w:t>
      </w:r>
    </w:p>
    <w:p>
      <w:pPr>
        <w:spacing w:after="0" w:line="70"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Capital expenditures were $24.0 million in fiscal 2009, $26.4 million in fiscal 2008 and $51.9 million in fiscal 2007. Capital expenditures in fiscal 2009 were similar to fiscal 2008 reflecting a normalized spend rate. The Company’s capital expenditures slowed in fiscal 2008, following two years of significant spending due to the global implementation of SAP in addition to the expansion of facilities in various countries. Fiscal 2007 capital expenditures included $9.8 million in spending on implementing SAP in 16 of Brady’s global operations and ultimately increasing the coverage of business units operating SAP to approximately 80% of total revenue in fiscal 2009. The remainder of the increase in capital expenditures in fiscal 2007 was due to expansions in China, Canada, India, Mexico, the Philippines, Slovakia and other locations.</w:t>
      </w:r>
    </w:p>
    <w:p>
      <w:pPr>
        <w:spacing w:after="0" w:line="7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Financing activities used $160.3 million in fiscal 2009, used $76.9 million in fiscal 2008 and provided $129.4 million in fiscal 2007. Cash used for dividends to shareholders was $35.8 million in fiscal 2009, $32.5 million in fiscal 2008, and $30.1 million in fiscal 2007. Cash received from the exercise of stock options was $1.7 million in fiscal 2009, $14.5 million in fiscal 2008, and $6.8 million in fiscal 2007. The Company purchased treasury stock of $40.3 in fiscal 2009 and $42.2 million in fiscal 2008; however, it did not purchase treasury stock in fiscal 2007. During fiscal 2008 and fiscal 2009, the Company’s Board of Directors authorized share repurchase plans for the Company’s Class A Nonvoting Common Stock. The share repurchase plans were implemented by purchasing shares in the open market, with repurchased shares available for use in connection with the Company’s stock-based plans and for other corporate purposes. The Company reacquired approximately 1,345,000 shares of its Class A Common Stock for $40.3 million in fiscal 2009 in connection with its stock repurchase plans. The Company reacquired approximately 1,349,000 shares of its Class A Common Stock for $42.2 million in fiscal 2008. As of July 31, 2009, the Company was authorized to purchase up to approximately 306,000 additional shares in connection with the share repurchase plans.</w:t>
      </w:r>
    </w:p>
    <w:p>
      <w:pPr>
        <w:spacing w:after="0" w:line="5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May 28, 2009, the Company commenced a cash tender offer to purchase up to $100 million aggregate principal amount of its outstanding Series 2004-A Senior Notes due 2014, Series 2006-A Senior Notes due 2016, and Series 2007-A Senior Notes due 2017. On June 29, 2009, the Company completed the purchase of approximately $65.8 million aggregate principal amount of its senior notes pursuant to this tender offer. The purchase price for the notes included the payment of the face value of the notes plus accrued and unpaid interest from the last interest payment date to and including the date of close. The Company utilized cash on hand to fund the purchase of the notes.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8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which began in September 2007. The notes have been fully and unconditionally guaranteed on an unsecured basis by the Company’s U.S.- based subsidiaries. The Company used the net proceeds of the offering to reduce outstanding indebtedness under the Company’s revolving loan agreement and fund its ongoing strategic growth plans.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penalties under the agreement have been waived for early prepayment. The agreement also requires the Company to maintain a financial covenant. On June 29, 2009, the Company purchased $35.4 million of the outstanding aggregate principal amount of the Series 2007-A Senior Notes from certain note-holders.</w:t>
      </w:r>
    </w:p>
    <w:p>
      <w:pPr>
        <w:spacing w:after="0" w:line="59"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excluding all extraordinary non-cash items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2009, there were no outstanding borrowings under the credit facility.</w:t>
      </w:r>
    </w:p>
    <w:p>
      <w:pPr>
        <w:spacing w:after="0" w:line="7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which began in August 2006. The notes have been fully and unconditionally guaranteed on an unsecured basis by the Company’s domestic subsidiaries. The Company used the net proceeds of the offering to finance acquisitions completed in fiscal 2006 and 2007 and for general corporate purposes.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penalties under the agreement have been waived for early prepayment. The agreement also requires the Company to maintain a financial covenant. On June 29, 2009, the Company purchased $17.0 million of the outstanding aggregate principal amount of the Series 2006-A Senior Notes from certain note-holders.</w:t>
      </w:r>
    </w:p>
    <w:p>
      <w:pPr>
        <w:spacing w:after="0" w:line="5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will be paid over seven years beginning in 2008, with interest payable on the notes being due semiannually on June 28 and December 28, which began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Under the debt agreement, the Company paid equal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installments of $21.4 million in June 2008 and June 2009. The penalties under the agreement have been waived for early prepayment. The agreement also requires the Company to maintain a financial covenant. On June 29, 2009, the Company purchased $13.4 million of the outstanding aggregate principal amount of the Series 2004-A Senior Notes from certain note-holders.</w:t>
      </w:r>
    </w:p>
    <w:p>
      <w:pPr>
        <w:spacing w:after="0" w:line="7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Company’s October 2006 revolving loan agreement requires the Company to maintain a ratio of debt to trailing twelve months EBITDA, as defined by the debt agreement, of not more than a 3.0 to 1.0 ratio. As of July 31, 2009, the Company was in compliance with the financial covenant of these debt agreements, with the ratio of debt to EBITDA, as defined by the agreements, equal to 2.1 to 1.0. Additionally, the revolving loan agreement requires the Company’s trailing twelve months earnings before interest and taxes (“EBIT”) to interest expense of not less than a 3.0 to 1.0 ratio (interest expense coverage). As of July 31, 2009, the Company was in compliance with the financial covenants of the revolving loan agreement, with the ratio of debt to EBITDA, as defined by the agreement, equal to 2.1 to 1.0 and the interest expense coverage ratio equal to 5.2 to 1.0.</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Long-term obligations as a percentage of long-term obligations plus stockholders’ investment were 26.7% at July 31, 2009, and 30.9% at July 31, 2008.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Long-term obligations decreased by $110.7 million from July 31, 2008 to July 31, 2009 due to the debt repayments in fiscal 2009. The debt repayments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consisted of the scheduled $21.4 million on the 2004 private placement in addition to the prepayment of $65.8 million. An additional $23.5 million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reclassified to current maturities on long-term obligations. Stockholders’ investment decreased $70.7 million during fiscal 2009 primarily due to dividends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 and Class B Common Stock of $33.5 million and $2.3 million, respectively, the repurchase of treasury shares of $40.3 million, and changes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income of $75.1 million, partially offset by net earnings of $70.1 million and the stock-based compensation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 million in additional paid in capital. The decrease in the accumulated other comprehensive income was primarily due to the foreign currency translation.</w:t>
      </w:r>
    </w:p>
    <w:p>
      <w:pPr>
        <w:spacing w:after="0" w:line="126"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Company intends to fund its short-term and long-term operating cash requirements, including its fiscal 2010 dividend payments and 2010 debt payments, primarily through net cash provided by operating activities.</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While the Company strives to maximize investment income on its cash, preservation of principal is the first priority. Especially in volatile markets, as the Company has recently experienced, the Company’s investment policy is intended to preserve principal as its primary goal, resulting in investment yields lower than those historically achieved.</w:t>
      </w:r>
    </w:p>
    <w:p>
      <w:pPr>
        <w:spacing w:after="0" w:line="73"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Company’s growth has historically been funded by a combination of cash provided by operating activities and debt financing. The Company believes that its cash from operations, in addition to its sources of borrowings, are sufficient to fund its anticipated requirements for working capital, capital expenditures, restructuring activities, acquisitions, common stock repurchases, scheduled debt repayments, and dividend payments. As of the date of this Form 10-K, the credit and financial markets are in a period of substantial instability and uncertainty that is affecting the availability of credit to borrowers. The Company believes its current credit arrangements are sound and that the strength of its balance sheet will allow the Company the financial flexibility to respond to both internal growth opportunities and those available through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evaluated subsequent events through the date these financial statements were issued, September 28,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September 10, 2009, the Board of Directors announced an increase in the annual dividend to shareholders of the Company’s Class A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$0.68 to $0.70 per share. A quarterly dividend of $0.175 will be paid on October 30, 2009, to shareholders of record at the close of business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9, 2009. This dividend represents an increase of 3% and is the 24th consecutive annual increase in dividends since the Company went public in 1984.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color w:val="auto"/>
        </w:rPr>
        <w:t>By unanimous written consent effective September 24, 2009, the holders of the Company’s Class B Common Stock approved the Brady Corporation 2010 Omnibus Incentive Stock Plan (the “2010 Omnibus Plan”) and the Brady Corporation 2010 Nonqualified Stock Option Plan for Non-employee Directors (the “2010 Directors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provides that after December 31, 2009, no further awards or grants shall be made under the Company’s 2006 Omnibus Incentive Stock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2010 Directors Plan became effective upon shareholder approval.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firstLine="222"/>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7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 warehouses and office space,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and Company vehicles, when the economic profile is favorable.</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for materials, supplies, services, and property, plant and equipment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Such commitments are not in excess of current market prices.</w:t>
      </w:r>
    </w:p>
    <w:p>
      <w:pPr>
        <w:spacing w:after="0" w:line="6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 commitments that are reasonably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adversely affect liquidity other than those discussed below under “Payments Due Under Contractual Obligations.”</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does not have material related party transactions that affect the results of operations, cash flow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Company’s future commitments at July 31, 2009, for long-term debt, operating lease obligations, purchase obligations, interest obligations and other obligations are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6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102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Less than</w:t>
            </w:r>
          </w:p>
        </w:tc>
        <w:tc>
          <w:tcPr>
            <w:tcW w:w="1040" w:type="dxa"/>
            <w:vAlign w:val="bottom"/>
            <w:gridSpan w:val="2"/>
          </w:tcPr>
          <w:p>
            <w:pPr>
              <w:ind w:left="600"/>
              <w:spacing w:after="0" w:line="119" w:lineRule="exact"/>
              <w:rPr>
                <w:sz w:val="20"/>
                <w:szCs w:val="20"/>
                <w:color w:val="auto"/>
              </w:rPr>
            </w:pPr>
            <w:r>
              <w:rPr>
                <w:rFonts w:ascii="Arial" w:cs="Arial" w:eastAsia="Arial" w:hAnsi="Arial"/>
                <w:sz w:val="13"/>
                <w:szCs w:val="13"/>
                <w:b w:val="1"/>
                <w:bCs w:val="1"/>
                <w:color w:val="auto"/>
              </w:rPr>
              <w:t>1-3</w:t>
            </w:r>
          </w:p>
        </w:tc>
        <w:tc>
          <w:tcPr>
            <w:tcW w:w="680" w:type="dxa"/>
            <w:vAlign w:val="bottom"/>
          </w:tcPr>
          <w:p>
            <w:pPr>
              <w:spacing w:after="0"/>
              <w:rPr>
                <w:sz w:val="10"/>
                <w:szCs w:val="10"/>
                <w:color w:val="auto"/>
              </w:rPr>
            </w:pPr>
          </w:p>
        </w:tc>
        <w:tc>
          <w:tcPr>
            <w:tcW w:w="70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3-5</w:t>
            </w:r>
          </w:p>
        </w:tc>
        <w:tc>
          <w:tcPr>
            <w:tcW w:w="680" w:type="dxa"/>
            <w:vAlign w:val="bottom"/>
          </w:tcPr>
          <w:p>
            <w:pPr>
              <w:spacing w:after="0"/>
              <w:rPr>
                <w:sz w:val="10"/>
                <w:szCs w:val="10"/>
                <w:color w:val="auto"/>
              </w:rPr>
            </w:pPr>
          </w:p>
        </w:tc>
        <w:tc>
          <w:tcPr>
            <w:tcW w:w="10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More than</w:t>
            </w: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Uncertain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Pr>
          <w:p>
            <w:pPr>
              <w:spacing w:after="0"/>
              <w:rPr>
                <w:sz w:val="14"/>
                <w:szCs w:val="14"/>
                <w:color w:val="auto"/>
              </w:rPr>
            </w:pPr>
          </w:p>
        </w:tc>
        <w:tc>
          <w:tcPr>
            <w:tcW w:w="13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Years</w:t>
            </w:r>
          </w:p>
        </w:tc>
        <w:tc>
          <w:tcPr>
            <w:tcW w:w="13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 Years</w:t>
            </w:r>
          </w:p>
        </w:tc>
        <w:tc>
          <w:tcPr>
            <w:tcW w:w="1120" w:type="dxa"/>
            <w:vAlign w:val="bottom"/>
            <w:gridSpan w:val="4"/>
          </w:tcPr>
          <w:p>
            <w:pPr>
              <w:ind w:left="340"/>
              <w:spacing w:after="0"/>
              <w:rPr>
                <w:sz w:val="20"/>
                <w:szCs w:val="20"/>
                <w:color w:val="auto"/>
              </w:rPr>
            </w:pPr>
            <w:r>
              <w:rPr>
                <w:rFonts w:ascii="Arial" w:cs="Arial" w:eastAsia="Arial" w:hAnsi="Arial"/>
                <w:sz w:val="14"/>
                <w:szCs w:val="14"/>
                <w:b w:val="1"/>
                <w:bCs w:val="1"/>
                <w:color w:val="auto"/>
              </w:rPr>
              <w:t>Timeframe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$ 391,350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44,893</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$ 122,529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$ 122,528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$ 101,400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67,172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22,613</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29,865</w:t>
            </w:r>
          </w:p>
        </w:tc>
        <w:tc>
          <w:tcPr>
            <w:tcW w:w="700" w:type="dxa"/>
            <w:vAlign w:val="bottom"/>
          </w:tcPr>
          <w:p>
            <w:pPr>
              <w:jc w:val="right"/>
              <w:spacing w:after="0"/>
              <w:rPr>
                <w:sz w:val="20"/>
                <w:szCs w:val="20"/>
                <w:color w:val="auto"/>
              </w:rPr>
            </w:pPr>
            <w:r>
              <w:rPr>
                <w:rFonts w:ascii="Arial" w:cs="Arial" w:eastAsia="Arial" w:hAnsi="Arial"/>
                <w:sz w:val="18"/>
                <w:szCs w:val="18"/>
                <w:color w:val="auto"/>
              </w:rPr>
              <w:t>11,468</w:t>
            </w:r>
          </w:p>
        </w:tc>
        <w:tc>
          <w:tcPr>
            <w:tcW w:w="6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3,226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(1)</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55,879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29,864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11,640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14,375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Obligations</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83,926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21,469</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33,331</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20,444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8,682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Tax Obligations</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19,462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Obligations (2)</w:t>
            </w:r>
          </w:p>
        </w:tc>
        <w:tc>
          <w:tcPr>
            <w:tcW w:w="5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14,311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1,755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2,009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9,722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$ 632,100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119,664</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$ 199,120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$ 170,824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$ 123,030</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right"/>
        <w:ind w:left="5620" w:right="5620" w:hanging="5612"/>
        <w:spacing w:after="0" w:line="571" w:lineRule="auto"/>
        <w:tabs>
          <w:tab w:leader="none" w:pos="45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Purchase obligations include all open purchase orders as of July 31, 2009.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postretirement medical, dental, and vision plans as disclosed in Note 3 to the consolidated financial statements, under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adopted Financial Accounting Standards Board Interpretation No. 48, “Accounting for Uncertainty in Income Taxes” (“FIN 48”) on August 1, 2007. The Company establishes FIN 48 liabilities when it is not more likely than not that the Company will realize the full tax benefit of the position. The Company adjusts these FIN 48 liabilities in light of changing facts and circumstances.</w:t>
      </w:r>
    </w:p>
    <w:p>
      <w:pPr>
        <w:spacing w:after="0" w:line="80"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SFAS No. 142, “Goodwill and Other Intangible Assets,” requires that goodwill and other indefinite-lived intangible assets be tested at least annually for impairment.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a purchase price above $5 million must be further evaluated in a more detailed review.</w:t>
      </w:r>
    </w:p>
    <w:p>
      <w:pPr>
        <w:spacing w:after="0" w:line="58"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has identified five reporting units within its three reportable segments in accordance with SFAS No. 142. The Company’s methodologies for valuing goodwill are applied consistently on a year-over-year basis; the assumptions used in performing the 2009 impairment calculations were evaluated in light of market and business conditions. Brady continues to believe that the discounted cash flow model provides a reasonable and meaningful fair value estimate based upon the reporting units’ projections of future operating results and cash flows and replicates how market participants would value the Company’s reporting units.</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performing the Company’s annual impairment assessment the Company performed a sensitivity analysis on the material assumptions used in the discounted cash flow valuation models for each of its reporting units. Based on the Company’s fiscal 2009 impairment testing and assuming a hypothetical 10% decrease in the estimated fair values of each of its reporting units, the hypothetical fair value of each of the Company’s reporting units would have been greater than the carrying value. See Note 1 of the Notes to Consolidated Financial Statements contained in Item 8 — Financial Statements and Supplementary Data for further information about goodwill and intangible assets.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11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Company has recorded reserves or allowances for inventory obsolescence, uncollectible accounts receivable, credit memos,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225"/>
        <w:spacing w:after="0" w:line="267" w:lineRule="auto"/>
        <w:rPr>
          <w:sz w:val="20"/>
          <w:szCs w:val="20"/>
          <w:color w:val="auto"/>
        </w:rPr>
      </w:pPr>
      <w:r>
        <w:rPr>
          <w:rFonts w:ascii="Arial" w:cs="Arial" w:eastAsia="Arial" w:hAnsi="Arial"/>
          <w:sz w:val="17"/>
          <w:szCs w:val="17"/>
          <w:color w:val="auto"/>
        </w:rPr>
        <w:t>Brady believes that certain statements in this Form 10-K are “forward-looking statements” within the meaning of the Private Securities Litigation Reform Act of 1995. All statements related to future, not past, events included in this Form10-K,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Brady’s ability to maintain its debt covenants; unforeseen tax consequences;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see the information contained in Item 1A —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42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and cash flows in currencies other than the U.S. dollar. The primary objective of the Company’s foreign-currency exchange risk management is to minimize the impact of currency movements of foreign product imports. To achieve this objective, the Company hedges a portion of known exposures using forward contracts. Main exposures are related to transactions denominated in the British Pound, the Euro, Canadian Dollar, Australian Dollar, Swedish Krona and Chinese Yuan currency. As of July 31, 2009, the amount of outstanding foreign exchange contracts was $30.9 million.</w:t>
      </w:r>
    </w:p>
    <w:p>
      <w:pPr>
        <w:spacing w:after="0" w:line="63"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Such activities require Board approval. As of July 31, 2009, the Company had no interest rate derivatives.</w:t>
      </w:r>
    </w:p>
    <w:p>
      <w:pPr>
        <w:spacing w:after="0" w:line="46"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changes between the U.S dollar and the Singapore dollar, and changes between the U.S. dollar and the Chinese Yuan. Changes in foreign currency exchange rates for the Company’s foreign subsidiaries reporting in local currencies are generally reported as a component of shareholders’ equity. The Company’s unfavorable currency translation adjustment recorded in fiscal 2009 was $(75.5) million. The Company’s favorable currency translation adjustment recorded in fiscal 2008 was $46.8 million. As of July 31, 2009 and 2008, the Company’s foreign subsidiaries had net current assets (defined as current assets less current liabilities) subject to foreign currency translation risk of $242.9 million and $294.5 million, respectively. The potential decrease in the net current assets as of July 31, 2009 from a hypothetical 10 percent adverse change in quoted foreign currency exchange rates would be approximately $24.3 million. This sensitivity analysis assumes a parallel shift in all major foreign currency exchange rates versus the U.S. dollar. Exchange rates rarely move in the same direction relative to the U.S. dollar. This assumption may overstate the impact of changing exchange rates on individual assets and liabilities denominated in a foreign currency.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&amp;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0" w:type="dxa"/>
            <w:vAlign w:val="bottom"/>
            <w:gridSpan w:val="7"/>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800" w:type="dxa"/>
            <w:vAlign w:val="bottom"/>
            <w:gridSpan w:val="7"/>
            <w:vMerge w:val="continue"/>
          </w:tcPr>
          <w:p>
            <w:pPr>
              <w:spacing w:after="0"/>
              <w:rPr>
                <w:sz w:val="14"/>
                <w:szCs w:val="14"/>
                <w:color w:val="auto"/>
              </w:rPr>
            </w:pPr>
          </w:p>
        </w:tc>
        <w:tc>
          <w:tcPr>
            <w:tcW w:w="620" w:type="dxa"/>
            <w:vAlign w:val="bottom"/>
          </w:tcPr>
          <w:p>
            <w:pPr>
              <w:jc w:val="center"/>
              <w:spacing w:after="0" w:line="170"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Financial Statements:</w:t>
            </w:r>
          </w:p>
        </w:tc>
        <w:tc>
          <w:tcPr>
            <w:tcW w:w="6580" w:type="dxa"/>
            <w:vAlign w:val="bottom"/>
            <w:gridSpan w:val="5"/>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6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Balance Sheets — July 31, 2009 and 2008</w:t>
              </w:r>
            </w:hyperlink>
          </w:p>
        </w:tc>
        <w:tc>
          <w:tcPr>
            <w:tcW w:w="6740" w:type="dxa"/>
            <w:vAlign w:val="bottom"/>
            <w:gridSpan w:val="6"/>
          </w:tcPr>
          <w:p>
            <w:pPr>
              <w:spacing w:after="0"/>
              <w:rPr>
                <w:sz w:val="16"/>
                <w:szCs w:val="16"/>
                <w:color w:val="auto"/>
              </w:rPr>
            </w:pPr>
          </w:p>
        </w:tc>
        <w:tc>
          <w:tcPr>
            <w:tcW w:w="620" w:type="dxa"/>
            <w:vAlign w:val="bottom"/>
          </w:tcPr>
          <w:p>
            <w:pPr>
              <w:jc w:val="center"/>
              <w:spacing w:after="0" w:line="190"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080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Income — Years Ended July 31, 2009, 2008 and 2007</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59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Consolidated Statements of Stockholders’ Investment — Years Ended July 31, 2009, 2008 and 2007</w:t>
              </w:r>
            </w:hyperlink>
          </w:p>
        </w:tc>
        <w:tc>
          <w:tcPr>
            <w:tcW w:w="3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Cash Flows — Years Ended July 31, 2009, 2008 and 2007</w:t>
              </w:r>
            </w:hyperlink>
          </w:p>
        </w:tc>
        <w:tc>
          <w:tcPr>
            <w:tcW w:w="4560" w:type="dxa"/>
            <w:vAlign w:val="bottom"/>
            <w:gridSpan w:val="3"/>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1080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 — Years Ended July 31, 2009, 2008 and 2007</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26"/>
        </w:trPr>
        <w:tc>
          <w:tcPr>
            <w:tcW w:w="5920" w:type="dxa"/>
            <w:vAlign w:val="bottom"/>
            <w:tcBorders>
              <w:top w:val="single" w:sz="8" w:color="0000EE"/>
            </w:tcBorders>
            <w:gridSpan w:val="3"/>
          </w:tcPr>
          <w:p>
            <w:pPr>
              <w:ind w:left="5620"/>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2009 and 2008, and the related consolidated statements of income, stockholders’ investment, and cash flows for each of the three years in the period ended July 31, 2009. Our audits also included the financial statement schedule listed in the Index at Item 15.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8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2009 and 2008, and the results of their operations and their cash flows for each of the three years in the period ended July 31, 2009,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4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2009,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September 28, 2009,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2009 and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188,156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losses ($7,931 and $10,059, respectively)</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191,189</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262,461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53,244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75,665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13,159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27,405</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93,808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134,619</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509,427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699,085</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751,173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789,107</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intangibles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115,754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144,791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36,374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25,943</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18,551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96,968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98,646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283,301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282,232</w:t>
            </w: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394,473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393,408</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242,485</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151,988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170,206</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1,583,267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1,850,513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83,793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36,313</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82,354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6,262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5,964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45,247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222,472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308,561</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obligations, less current maturities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346,457</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457,143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63,246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63,001</w:t>
            </w: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632,175</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Stockholders’ investment: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400"/>
              <w:spacing w:after="0" w:line="201" w:lineRule="exact"/>
              <w:rPr>
                <w:sz w:val="20"/>
                <w:szCs w:val="20"/>
                <w:color w:val="auto"/>
              </w:rPr>
            </w:pPr>
            <w:r>
              <w:rPr>
                <w:rFonts w:ascii="Arial" w:cs="Arial" w:eastAsia="Arial" w:hAnsi="Arial"/>
                <w:sz w:val="18"/>
                <w:szCs w:val="18"/>
                <w:color w:val="auto"/>
                <w:w w:val="96"/>
              </w:rPr>
              <w:t>Class A Nonvoting — Issued 51,261,487and 51,261,487 shares, respectively; (aggregate liquidation preference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of $42,803 and $42,628 at July 31, 2009 and 2008, respectively)</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Voting — Issued and outstanding 3,538,628 shares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298,466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292,769</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673,342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639,059</w:t>
            </w: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Treasury stock — 2,270,927 and 1,046,191 shares, respectively of Class A nonvoting common stock, at cost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(69,823)</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(33,234)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53,051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investment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951,092</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1,021,808</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1,583,267</w:t>
            </w:r>
          </w:p>
        </w:tc>
        <w:tc>
          <w:tcPr>
            <w:tcW w:w="6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1,850,513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2009,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44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w w:val="94"/>
              </w:rPr>
              <w:t>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1,208,702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1,523,016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Cost of products sold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631,119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778,821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705,587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744,195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40,607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397,180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495,904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207,684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8"/>
              <w:spacing w:after="0"/>
              <w:rPr>
                <w:sz w:val="20"/>
                <w:szCs w:val="20"/>
                <w:color w:val="auto"/>
              </w:rPr>
            </w:pPr>
            <w:r>
              <w:rPr>
                <w:rFonts w:ascii="Arial" w:cs="Arial" w:eastAsia="Arial" w:hAnsi="Arial"/>
                <w:sz w:val="18"/>
                <w:szCs w:val="18"/>
                <w:color w:val="auto"/>
              </w:rPr>
              <w:t>(24,901)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(23,101)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(21,497)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(20,059)</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200"/>
              <w:spacing w:after="0"/>
              <w:rPr>
                <w:sz w:val="20"/>
                <w:szCs w:val="20"/>
                <w:color w:val="auto"/>
              </w:rPr>
            </w:pPr>
            <w:r>
              <w:rPr>
                <w:rFonts w:ascii="Arial" w:cs="Arial" w:eastAsia="Arial" w:hAnsi="Arial"/>
                <w:sz w:val="18"/>
                <w:szCs w:val="18"/>
                <w:color w:val="auto"/>
              </w:rPr>
              <w:t>Class B Voting:</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Class A and Class B common shares outstanding</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54,168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54,873</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STOCKHOLDERS’ INVESTMENT Years Ended July 31, 2009, 2008 and 2007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2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1"/>
              </w:rPr>
              <w:t>Retained</w:t>
            </w:r>
          </w:p>
        </w:tc>
        <w:tc>
          <w:tcPr>
            <w:tcW w:w="96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22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0"/>
              </w:rPr>
              <w:t>in the</w:t>
            </w:r>
          </w:p>
        </w:tc>
        <w:tc>
          <w:tcPr>
            <w:tcW w:w="960" w:type="dxa"/>
            <w:vAlign w:val="bottom"/>
            <w:gridSpan w:val="3"/>
            <w:vMerge w:val="continue"/>
          </w:tcPr>
          <w:p>
            <w:pPr>
              <w:spacing w:after="0"/>
              <w:rPr>
                <w:sz w:val="12"/>
                <w:szCs w:val="12"/>
                <w:color w:val="auto"/>
              </w:rPr>
            </w:pPr>
          </w:p>
        </w:tc>
        <w:tc>
          <w:tcPr>
            <w:tcW w:w="16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Other</w:t>
            </w:r>
          </w:p>
        </w:tc>
        <w:tc>
          <w:tcPr>
            <w:tcW w:w="520" w:type="dxa"/>
            <w:vAlign w:val="bottom"/>
            <w:vMerge w:val="restart"/>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Business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thousands, except</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per share</w:t>
            </w:r>
          </w:p>
        </w:tc>
        <w:tc>
          <w:tcPr>
            <w:tcW w:w="960" w:type="dxa"/>
            <w:vAlign w:val="bottom"/>
            <w:gridSpan w:val="2"/>
          </w:tcPr>
          <w:p>
            <w:pPr>
              <w:jc w:val="right"/>
              <w:ind w:right="191"/>
              <w:spacing w:after="0" w:line="142" w:lineRule="exact"/>
              <w:rPr>
                <w:sz w:val="20"/>
                <w:szCs w:val="20"/>
                <w:color w:val="auto"/>
              </w:rPr>
            </w:pPr>
            <w:r>
              <w:rPr>
                <w:rFonts w:ascii="Arial" w:cs="Arial" w:eastAsia="Arial" w:hAnsi="Arial"/>
                <w:sz w:val="14"/>
                <w:szCs w:val="14"/>
                <w:b w:val="1"/>
                <w:bCs w:val="1"/>
                <w:color w:val="auto"/>
              </w:rPr>
              <w:t>amounts)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$ 258,922</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$ 460,991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2"/>
              </w:rPr>
              <w:t>(10,865)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35,696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109,388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 and other</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44,256</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Issuance of 104,781 shares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 stock option plan</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(4,037)</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10,865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Other (Note 6)</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deferred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distributions</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4,303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6,907</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 to adopt SFAS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 158, net of tax of</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 $.56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(28,218)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Class B — $.54 per share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$ 266,203</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$ 540,238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83,376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132,188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 and other</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44,785</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Issuance of 464,963 shares of</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 stock option plan</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5,553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Other (Note 6)</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6,147</w:t>
            </w:r>
          </w:p>
        </w:tc>
        <w:tc>
          <w:tcPr>
            <w:tcW w:w="220" w:type="dxa"/>
            <w:vAlign w:val="bottom"/>
          </w:tcPr>
          <w:p>
            <w:pPr>
              <w:spacing w:after="0"/>
              <w:rPr>
                <w:sz w:val="18"/>
                <w:szCs w:val="18"/>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(6,149)</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Cumulative impact of adoption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FIN 48</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stock options and deferred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compensation distributions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4,638</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10,228</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Purchase of 1,349,136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of Class A Common Stock</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(42,175)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Class A — $.60 per share</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(30,400)</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 $.58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Balances at July 31, 2008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$ 292,769</w:t>
            </w:r>
          </w:p>
        </w:tc>
        <w:tc>
          <w:tcPr>
            <w:tcW w:w="1440" w:type="dxa"/>
            <w:vAlign w:val="bottom"/>
            <w:gridSpan w:val="3"/>
          </w:tcPr>
          <w:p>
            <w:pPr>
              <w:jc w:val="right"/>
              <w:ind w:right="448"/>
              <w:spacing w:after="0"/>
              <w:rPr>
                <w:sz w:val="20"/>
                <w:szCs w:val="20"/>
                <w:color w:val="auto"/>
              </w:rPr>
            </w:pPr>
            <w:r>
              <w:rPr>
                <w:rFonts w:ascii="Arial" w:cs="Arial" w:eastAsia="Arial" w:hAnsi="Arial"/>
                <w:sz w:val="18"/>
                <w:szCs w:val="18"/>
                <w:color w:val="auto"/>
              </w:rPr>
              <w:t>$ 639,059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(33,234)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128,161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(5,495)</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70,122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Net currency translation</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adjustment and other</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(75,110)</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ind w:left="200"/>
              <w:spacing w:after="0"/>
              <w:rPr>
                <w:sz w:val="20"/>
                <w:szCs w:val="20"/>
                <w:color w:val="auto"/>
              </w:rPr>
            </w:pPr>
            <w:r>
              <w:rPr>
                <w:rFonts w:ascii="Arial" w:cs="Arial" w:eastAsia="Arial" w:hAnsi="Arial"/>
                <w:sz w:val="18"/>
                <w:szCs w:val="18"/>
                <w:color w:val="auto"/>
              </w:rPr>
              <w:t>Issuance of 138,934 shares of</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under stock option plan</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(Note 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Tax benefit from exercise of</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stock options and deferred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compensation distributions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 (Note 1)</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8,099</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18"/>
                <w:szCs w:val="18"/>
                <w:color w:val="auto"/>
              </w:rPr>
              <w:t>Purchase of 1,344,664 shares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Arial" w:cs="Arial" w:eastAsia="Arial" w:hAnsi="Arial"/>
                <w:sz w:val="18"/>
                <w:szCs w:val="18"/>
                <w:color w:val="auto"/>
              </w:rPr>
              <w:t>of Class A Common Stock</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color w:val="auto"/>
                <w:w w:val="92"/>
              </w:rPr>
              <w:t>(40,267)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Cash dividends on Common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Class A — $.68 per share</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88"/>
              <w:spacing w:after="0"/>
              <w:rPr>
                <w:sz w:val="20"/>
                <w:szCs w:val="20"/>
                <w:color w:val="auto"/>
              </w:rPr>
            </w:pPr>
            <w:r>
              <w:rPr>
                <w:rFonts w:ascii="Arial" w:cs="Arial" w:eastAsia="Arial" w:hAnsi="Arial"/>
                <w:sz w:val="18"/>
                <w:szCs w:val="18"/>
                <w:color w:val="auto"/>
              </w:rPr>
              <w:t>(33,492)</w:t>
            </w:r>
          </w:p>
        </w:tc>
        <w:tc>
          <w:tcPr>
            <w:tcW w:w="100" w:type="dxa"/>
            <w:vAlign w:val="bottom"/>
          </w:tcPr>
          <w:p>
            <w:pPr>
              <w:spacing w:after="0"/>
              <w:rPr>
                <w:sz w:val="18"/>
                <w:szCs w:val="18"/>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 $.66 per share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19" w:right="239" w:bottom="0" w:gutter="0" w:footer="0" w:header="0"/>
        </w:sectPr>
      </w:pPr>
    </w:p>
    <w:bookmarkStart w:id="39" w:name="page40"/>
    <w:bookmarkEnd w:id="39"/>
    <w:p>
      <w:pPr>
        <w:spacing w:after="0"/>
        <w:tabs>
          <w:tab w:leader="none" w:pos="2880" w:val="left"/>
          <w:tab w:leader="none" w:pos="3280" w:val="left"/>
          <w:tab w:leader="none" w:pos="4060" w:val="left"/>
          <w:tab w:leader="none" w:pos="5280" w:val="left"/>
          <w:tab w:leader="none" w:pos="6500" w:val="left"/>
          <w:tab w:leader="none" w:pos="7680" w:val="left"/>
          <w:tab w:leader="none" w:pos="8140" w:val="left"/>
          <w:tab w:leader="none" w:pos="9140" w:val="left"/>
        </w:tabs>
        <w:rPr>
          <w:sz w:val="20"/>
          <w:szCs w:val="20"/>
          <w:color w:val="auto"/>
        </w:rPr>
      </w:pPr>
      <w:r>
        <w:rPr>
          <w:rFonts w:ascii="Arial" w:cs="Arial" w:eastAsia="Arial" w:hAnsi="Arial"/>
          <w:sz w:val="18"/>
          <w:szCs w:val="18"/>
          <w:color w:val="auto"/>
        </w:rPr>
        <w:t>Balances at July 31, 2009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548</w:t>
      </w:r>
      <w:r>
        <w:rPr>
          <w:sz w:val="20"/>
          <w:szCs w:val="20"/>
          <w:color w:val="auto"/>
        </w:rPr>
        <w:tab/>
      </w:r>
      <w:r>
        <w:rPr>
          <w:rFonts w:ascii="Arial" w:cs="Arial" w:eastAsia="Arial" w:hAnsi="Arial"/>
          <w:sz w:val="18"/>
          <w:szCs w:val="18"/>
          <w:u w:val="single" w:color="auto"/>
          <w:color w:val="auto"/>
        </w:rPr>
        <w:t>$ 298,466</w:t>
      </w:r>
      <w:r>
        <w:rPr>
          <w:sz w:val="20"/>
          <w:szCs w:val="20"/>
          <w:color w:val="auto"/>
        </w:rPr>
        <w:tab/>
      </w:r>
      <w:r>
        <w:rPr>
          <w:rFonts w:ascii="Arial" w:cs="Arial" w:eastAsia="Arial" w:hAnsi="Arial"/>
          <w:sz w:val="18"/>
          <w:szCs w:val="18"/>
          <w:u w:val="single" w:color="auto"/>
          <w:color w:val="auto"/>
        </w:rPr>
        <w:t>$ 673,342</w:t>
      </w:r>
      <w:r>
        <w:rPr>
          <w:sz w:val="20"/>
          <w:szCs w:val="20"/>
          <w:color w:val="auto"/>
        </w:rPr>
        <w:tab/>
      </w:r>
      <w:r>
        <w:rPr>
          <w:rFonts w:ascii="Arial" w:cs="Arial" w:eastAsia="Arial" w:hAnsi="Arial"/>
          <w:sz w:val="18"/>
          <w:szCs w:val="18"/>
          <w:u w:val="single" w:color="auto"/>
          <w:color w:val="auto"/>
        </w:rPr>
        <w:t>$ (69,823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53,051</w:t>
      </w:r>
      <w:r>
        <w:rPr>
          <w:sz w:val="20"/>
          <w:szCs w:val="20"/>
          <w:color w:val="auto"/>
        </w:rPr>
        <w:tab/>
      </w:r>
      <w:r>
        <w:rPr>
          <w:rFonts w:ascii="Arial" w:cs="Arial" w:eastAsia="Arial" w:hAnsi="Arial"/>
          <w:sz w:val="17"/>
          <w:szCs w:val="17"/>
          <w:u w:val="single" w:color="auto"/>
          <w:color w:val="auto"/>
        </w:rPr>
        <w:t>$  (4,492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31750</wp:posOffset>
            </wp:positionV>
            <wp:extent cx="4286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31750</wp:posOffset>
            </wp:positionV>
            <wp:extent cx="445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31750</wp:posOffset>
            </wp:positionV>
            <wp:extent cx="445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21094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9470" cy="2603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2009, 2008 and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70,122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132,188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54,851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60,587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Loss on sale of property, plant and equipment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Non-cash portion of restructuring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53,389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(3,704)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(9,673)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126,645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225,554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(29,346)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29,550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(26,407)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(19,044)</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(39,208)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(237,039)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(35,839)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(32,464)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(87,224)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(39,443)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(40,267)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(42,175)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Excess income tax benefit from the exercise of stock options and deferred compensation</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4,638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(160,311)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(76,944)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(70,199)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115,509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258,355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142,846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188,156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258,355</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Cash paid during the year for:</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48,766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51,834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21,508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paid for acquisitions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159,475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July 31, 2009, 2008 and 2007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Brady Corporation (“Brady” or the “Company”) is an international manufacturer and marketer of identification solutions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products which 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79"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include the accounts of Brady Corporation and its subsidiaries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 of which are wholly-owned. All intercompany accounts and transactions have been eliminated in consolidation.</w:t>
      </w:r>
    </w:p>
    <w:p>
      <w:pPr>
        <w:spacing w:after="0" w:line="38"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Subsequent Events </w:t>
      </w:r>
      <w:r>
        <w:rPr>
          <w:rFonts w:ascii="Arial" w:cs="Arial" w:eastAsia="Arial" w:hAnsi="Arial"/>
          <w:sz w:val="16"/>
          <w:szCs w:val="16"/>
          <w:color w:val="auto"/>
        </w:rPr>
        <w:t>— The Company has evaluated subsequent events through the date these financial statements were issued, September 28, 2009.</w:t>
      </w:r>
    </w:p>
    <w:p>
      <w:pPr>
        <w:spacing w:after="0" w:line="140"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On September 10, 2009, the Board of Directors announced an increase in the annual dividend to shareholders of the Company’s Class A Common Stock, from $0.68 to $0.70 per share. A quarterly dividend will be paid on October 30, 2009, to shareholders of record at the close of business on October 9, 2009. This dividend represents an increase of 3% and is the 24th consecutive annual increase in dividends since the Company went public in 1984.</w:t>
      </w:r>
    </w:p>
    <w:p>
      <w:pPr>
        <w:spacing w:after="0" w:line="39" w:lineRule="exact"/>
        <w:rPr>
          <w:sz w:val="20"/>
          <w:szCs w:val="20"/>
          <w:color w:val="auto"/>
        </w:rPr>
      </w:pPr>
    </w:p>
    <w:p>
      <w:pPr>
        <w:ind w:right="40" w:firstLine="225"/>
        <w:spacing w:after="0" w:line="289" w:lineRule="auto"/>
        <w:rPr>
          <w:sz w:val="20"/>
          <w:szCs w:val="20"/>
          <w:color w:val="auto"/>
        </w:rPr>
      </w:pPr>
      <w:r>
        <w:rPr>
          <w:rFonts w:ascii="Arial" w:cs="Arial" w:eastAsia="Arial" w:hAnsi="Arial"/>
          <w:sz w:val="16"/>
          <w:szCs w:val="16"/>
          <w:color w:val="auto"/>
        </w:rPr>
        <w:t>By unanimous written consent effective September 24, 2009, the holders of the Company’s Class B Common Stock approved the Brady Corporation 2010 Omnibus Incentive Stock Plan (the “2010 Omnibus Plan”) and the Brady Corporation 2010 Nonqualified Stock Option Plan for Non-employee Directors (the “2010 Directors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provides that after December 31, 2009, no further awards or grants shall be made under the Company’s 2006 Omnibus Incentive Stock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2010 Directors Plan became effective upon shareholder approval.</w:t>
      </w:r>
    </w:p>
    <w:p>
      <w:pPr>
        <w:spacing w:after="0" w:line="5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The Company adopted Statement of Financial Accounting Standards (“SFAS”) No. 157, “Fair Value Measurements”, on August 1, 2008 as it relates to financial assets and liabilities. The impact of this adoption has not been material to the Company’s consolidated financial statements. SFAS No. 157 (“SFAS 157”) will be effective for the Company’s nonfinancial assets and liabilities on August 1, 2009, the first day of the Company’s next fiscal year. See Note 5 for more information regarding the fair value of long-term debt and Note 10 for fair value measurements.</w:t>
      </w:r>
    </w:p>
    <w:p>
      <w:pPr>
        <w:spacing w:after="0" w:line="85"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(approximately 19% of total inventories at July 31, 2009 and approximately 22% of total inventories at July 31, 2008) and the first-in, first-out (“FIFO”) or average cost methods for other inventories. Had all domestic inventories been accounted for on a FIFO basis instead of on a LIFO basis, the carrying value would have increased by $9,348 and $9,530 at July 31, 2009 and 2008, respectively.</w:t>
      </w:r>
    </w:p>
    <w:p>
      <w:pPr>
        <w:spacing w:after="0" w:line="79"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 The cost of buildings and improvements and machinery and equipment is being depreciated over their estimated useful lives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straight-line method for financial reporting purposes. The estimated useful lives range from 3 to 33 years as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60" w:type="dxa"/>
            <w:vAlign w:val="bottom"/>
          </w:tcPr>
          <w:p>
            <w:pPr>
              <w:spacing w:after="0"/>
              <w:rPr>
                <w:sz w:val="14"/>
                <w:szCs w:val="14"/>
                <w:color w:val="auto"/>
              </w:rPr>
            </w:pPr>
          </w:p>
        </w:tc>
        <w:tc>
          <w:tcPr>
            <w:tcW w:w="2080" w:type="dxa"/>
            <w:vAlign w:val="bottom"/>
            <w:gridSpan w:val="3"/>
          </w:tcPr>
          <w:p>
            <w:pPr>
              <w:ind w:left="360"/>
              <w:spacing w:after="0"/>
              <w:rPr>
                <w:sz w:val="20"/>
                <w:szCs w:val="20"/>
                <w:color w:val="auto"/>
              </w:rPr>
            </w:pPr>
            <w:r>
              <w:rPr>
                <w:rFonts w:ascii="Arial" w:cs="Arial" w:eastAsia="Arial" w:hAnsi="Arial"/>
                <w:sz w:val="14"/>
                <w:szCs w:val="14"/>
                <w:b w:val="1"/>
                <w:bCs w:val="1"/>
                <w:color w:val="auto"/>
              </w:rPr>
              <w:t>Range of Useful Lives</w:t>
            </w: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56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to 33</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0"/>
              </w:rPr>
              <w:t>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Mainframe computing equipment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ind w:left="20"/>
              <w:spacing w:after="0"/>
              <w:rPr>
                <w:sz w:val="20"/>
                <w:szCs w:val="20"/>
                <w:color w:val="auto"/>
              </w:rPr>
            </w:pPr>
            <w:r>
              <w:rPr>
                <w:rFonts w:ascii="Arial" w:cs="Arial" w:eastAsia="Arial" w:hAnsi="Arial"/>
                <w:sz w:val="18"/>
                <w:szCs w:val="18"/>
                <w:color w:val="auto"/>
                <w:w w:val="80"/>
              </w:rPr>
              <w:t>Years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0"/>
              </w:rPr>
              <w:t>Years</w:t>
            </w:r>
          </w:p>
        </w:tc>
        <w:tc>
          <w:tcPr>
            <w:tcW w:w="20" w:type="dxa"/>
            <w:vAlign w:val="bottom"/>
          </w:tcPr>
          <w:p>
            <w:pPr>
              <w:spacing w:after="0"/>
              <w:rPr>
                <w:sz w:val="18"/>
                <w:szCs w:val="18"/>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Leasehold improvements are depreciated over the shorter of the lease term or the estimated useful life of the respective asset.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 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on a straight-line basis, over the estimated periods benefited. Intangible assets with indefinite useful lives and goodwill are not subjected to amortization. These assets are assessed for impairment annually and when deemed necessary.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years ended July 31, 2009 and 2008,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Americas</w:t>
            </w:r>
          </w:p>
        </w:tc>
        <w:tc>
          <w:tcPr>
            <w:tcW w:w="680" w:type="dxa"/>
            <w:vAlign w:val="bottom"/>
            <w:gridSpan w:val="2"/>
            <w:vMerge w:val="restart"/>
          </w:tcPr>
          <w:p>
            <w:pPr>
              <w:spacing w:after="0"/>
              <w:rPr>
                <w:sz w:val="14"/>
                <w:szCs w:val="14"/>
                <w:color w:val="auto"/>
              </w:rPr>
            </w:pPr>
          </w:p>
        </w:tc>
        <w:tc>
          <w:tcPr>
            <w:tcW w:w="7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Europe</w:t>
            </w:r>
          </w:p>
        </w:tc>
        <w:tc>
          <w:tcPr>
            <w:tcW w:w="680" w:type="dxa"/>
            <w:vAlign w:val="bottom"/>
            <w:vMerge w:val="restart"/>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Asia-</w:t>
            </w:r>
          </w:p>
        </w:tc>
        <w:tc>
          <w:tcPr>
            <w:tcW w:w="300" w:type="dxa"/>
            <w:vAlign w:val="bottom"/>
          </w:tcPr>
          <w:p>
            <w:pPr>
              <w:spacing w:after="0"/>
              <w:rPr>
                <w:sz w:val="14"/>
                <w:szCs w:val="14"/>
                <w:color w:val="auto"/>
              </w:rPr>
            </w:pPr>
          </w:p>
        </w:tc>
        <w:tc>
          <w:tcPr>
            <w:tcW w:w="7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Pacific</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$ 404,074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$ 163,699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$ 169,677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3,615</w:t>
            </w:r>
          </w:p>
        </w:tc>
        <w:tc>
          <w:tcPr>
            <w:tcW w:w="6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13,261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(2,928)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$ 412,977</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$ 189,650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$ 186,480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$ 789,107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(3,117)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(23,347)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(35,444)</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Balance as of July 31, 2009</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$ 410,135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$ 166,251</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$ 174,787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$ 751,173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November 2008, the Company reached a settlement of the original purchase price with the former owners of Tradex Converting AB (“Tradex”), which the Company acquired in May 2006, resulting in a purchase price decrease of $3,514, which decreased goodwill in Europe and Asia Pacific, accordingly. Goodwill increased $1,024 during fiscal 2009 as a result of the $749 payment of an earnout to the former owners of Transposafe Systems B.V. and Holland Mounting Systems B.V. (collectively, “Transposafe”), and the $275 final tax adjustments for Sorbent Products Company (“SPC”). Goodwill decreased $35,444 during fiscal 2009 due to the effects of foreign currency translation.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acquisitions completed in fiscal 2008 increased goodwill during the year ended July 31, 2008 by the following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Segment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B.V. and Holland Mounting Systems B.V. (collectively “Transposafe”)</w:t>
            </w: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Europe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13,261</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DAWG, Inc. (“DAWG”)</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Americas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16,876</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Goodwill also increased in fiscal 2008 as a result of adjustments to the preliminary allocation of purchase price for the acquisitions completed in fiscal 2007, of which the largest adjustment related to the final purchase price adjustments for Comprehensive Identification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Products, Inc (“CIPI”), which added $3,948. Of the $3,948 increase in goodwill attributed to the allocation of the purchase price for CIPI, $1,246 related to the adoption of Financial Accounting Standards Board Interpretation No. 48, “Accounting for Uncertainty in Income Taxes, (“FIN 48”), $1,250 related to an accrual for employee termination costs, $809 related to various exit costs associated with the closure of a facility, and the remaining $643 related to tax and other liabilities existing at the time of acquisition. As of July 31, 2009 and 2008, the remaining liability from these charges was approximately $612 and $769, respectively. Goodwill increased $1,467 related to the fiscal 2007 acquisition of Sorbent Products Co., Inc. (“SPC”), primarily due to an adjustment in income taxes. The increase in goodwill related to the acquisitions of CIPI and SPC was partially offset by a tax adjustment of $1,893 associated with the fiscal 2006 acquisition of Identicam Systems relating to a deferred tax asset existing at the time of acquisition. During fiscal year 2008, the Company finalized the purchase price allocation of the SPC acquisition between the segments, resulting in a transfer of goodwill from Europe to the Americas.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remaining $31,243 increase to goodwill during fiscal 2008 was attributable to the effects of foreign currency translation.</w:t>
      </w:r>
    </w:p>
    <w:p>
      <w:pPr>
        <w:spacing w:after="0" w:line="117"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Other intangible assets include patents, trademarks, customer relationships, purchased software, non-compete agreements and other intangible assets with finite lives being amortized in accordance with SFAS No. 142, “Goodwill and Other Intangible Assets.” The net book value of these assets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0"/>
              </w:rPr>
              <w:t>July 31, 2009</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7"/>
              </w:rPr>
              <w:t>July 31, 2008</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Net Book</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1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Period (Years)</w:t>
            </w: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Period (Years)</w:t>
            </w:r>
          </w:p>
        </w:tc>
        <w:tc>
          <w:tcPr>
            <w:tcW w:w="10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Patents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8,976</w:t>
            </w:r>
          </w:p>
        </w:tc>
        <w:tc>
          <w:tcPr>
            <w:tcW w:w="2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1,811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8,603</w:t>
            </w:r>
          </w:p>
        </w:tc>
        <w:tc>
          <w:tcPr>
            <w:tcW w:w="4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2,582</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144,625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67,713</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151,704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(59,101)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1,846</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41,787</w:t>
            </w:r>
          </w:p>
        </w:tc>
        <w:tc>
          <w:tcPr>
            <w:tcW w:w="4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43,005</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(102,150)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115,754</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226,912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(82,121)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value of other intangible assets in the Consolidated Balance Sheet at July 31, 2009, differs from the value assigned to them in the allocation of purchase price due to the effect of fluctuations in the exchange rates used to translate financial statements into the United States dollar between the date of acquisition and July 31, 2009.</w:t>
      </w:r>
    </w:p>
    <w:p>
      <w:pPr>
        <w:spacing w:after="0" w:line="73"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Amortization expense of intangible assets during fiscal 2009, 2008, and 2007 was $22,828, $25,422, and $21,882, respectively. The amortization over each of the next five fiscal years is projected to be $22,652, $19,087, $11,914, $8,616, and $4,038 for the years ending July 31, 2010, 2011, 2012, 2013 and 2014, respectively.</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Impairment of Long-Lived and Other Intangible Assets </w:t>
      </w:r>
      <w:r>
        <w:rPr>
          <w:rFonts w:ascii="Arial" w:cs="Arial" w:eastAsia="Arial" w:hAnsi="Arial"/>
          <w:sz w:val="18"/>
          <w:szCs w:val="18"/>
          <w:color w:val="auto"/>
        </w:rPr>
        <w:t>— The Company evaluates whether events and circumstances have occurred that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impairment is determined to exist, any related impairment loss is calculated based on the fair value of the asset. Based on the assessments completed in fiscal 2009, there have been no indications of impairment in the Company’s long-lived and other intangible assets.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 and Indefinite-lived Intangible Assets</w:t>
      </w:r>
      <w:r>
        <w:rPr>
          <w:rFonts w:ascii="Arial" w:cs="Arial" w:eastAsia="Arial" w:hAnsi="Arial"/>
          <w:sz w:val="18"/>
          <w:szCs w:val="18"/>
          <w:color w:val="auto"/>
        </w:rPr>
        <w:t>— The Company evaluates goodwill and indefinite-lived intangible assets under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SFAS No. 142, “Goodwill and Other Intangible Assets” which addresses the financial accounting and reporting standards for the acquisition of intangible assets outside of a business combination and for goodwill and other intangible assets subsequent to their acquisition. This accounting standard requires that goodwill and indefinite-lived intangible assets not be amortized, but instead be tested for impairment on at least an annual basis.</w:t>
      </w:r>
    </w:p>
    <w:p>
      <w:pPr>
        <w:spacing w:after="0" w:line="39"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During the third quarter of fiscal 2009, the Company conducted a goodwill impairment assessment in accordance with SFAS No. 142, “Goodwill and Other Intangible Assets”. The assessment included comparing the carrying amount of net assets, including goodwill, of each reporting unit to its respective fair value as of February 28, 2009, the date of the assessment. Fair value was determined using the weighted average of a discounted cash flow and market participant analysis for each reporting unit. Because the estimated fair value of each of the Company’s reporting units exceeded its carrying amount, management concluded that no impairment existed as of February 28, 2009. Due to the economic conditions during the second quarter of fiscal 2009, the Company completed its assessment prior to the Company’s annual assessment date of May 1, 2009. The Company further conducted an assessment as of the annual assessment date and concluded that no impairment existed as of May 1, 2009. No indications of impairment have been identified between the date of the interim assessments and July 31, 2009.</w:t>
      </w:r>
    </w:p>
    <w:p>
      <w:pPr>
        <w:spacing w:after="0" w:line="7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During the fourth quarter of fiscal 2009, the Company conducted an indefinite-lived intangible asset impairment analysis in accordance with SFAS No. 142, “Goodwill and Other Intangible Assets.” The assessment included comparing the carry amount of the indefinite-lived intangible asset to the fair value of those assets as of May 1, 2009, the Company’s assessment date. Fair value was determined using the weighted average of a discounted revenue stream and market participant analysis for each indefinite-lived intangible. Because the estimated fair value of each of the Company’s indefinite-lived intangibles exceeded its carrying amount, management concluded that no impairment existed as of May 1, 2009. No indications of impairment have been identified between the date of the interim assessments and July 31, 2009.</w:t>
      </w:r>
    </w:p>
    <w:p>
      <w:pPr>
        <w:spacing w:after="0" w:line="85"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i w:val="1"/>
          <w:iCs w:val="1"/>
          <w:color w:val="auto"/>
        </w:rPr>
        <w:t xml:space="preserve">Catalog Costs and Related Amortization </w:t>
      </w:r>
      <w:r>
        <w:rPr>
          <w:rFonts w:ascii="Arial" w:cs="Arial" w:eastAsia="Arial" w:hAnsi="Arial"/>
          <w:sz w:val="16"/>
          <w:szCs w:val="16"/>
          <w:color w:val="auto"/>
        </w:rPr>
        <w:t>— 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2009 and 2008, $13,511 and $13,214, respectively, of prepaid catalog costs were included in prepaid expenses and other current assets.</w:t>
      </w:r>
    </w:p>
    <w:p>
      <w:pPr>
        <w:spacing w:after="0" w:line="5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it is both earned and realized or realizable. The Company’s policy is to recognize revenue when title</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product, ownership and risk of loss have transferred to the customer, persuasive evidence of an arrangement exits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The Company provides for an allowance for estimated product returns and credit memos which is recognized as a deduction from sales at the time of the sale.</w:t>
      </w:r>
    </w:p>
    <w:p>
      <w:pPr>
        <w:spacing w:after="0" w:line="7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 In accordance with the Financial Accounting Standard Board’s Emerging Issues Task Force Issue (“EITF”) No. 01-9,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Given by a Vendor to a Customer or a Reseller of the Vendor’s Product,” the Company accounts for cash consideration (such as sales incentives and cash discounts) given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its customers or resellers as a reduction of revenue rather than an operating expense.</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Shipping and Handling Fees and Costs </w:t>
      </w:r>
      <w:r>
        <w:rPr>
          <w:rFonts w:ascii="Arial" w:cs="Arial" w:eastAsia="Arial" w:hAnsi="Arial"/>
          <w:sz w:val="18"/>
          <w:szCs w:val="18"/>
          <w:color w:val="auto"/>
        </w:rPr>
        <w:t>— The Company accounts for shipping and handling fees and costs in accordance with EITF Issue No. 00-10,</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Shipping and Handling Fees and Costs.” Under EITF No. 00-10 amounts billed to a customer in a sale transaction related to shipping costs are reported as net sales and the related costs incurred for shipping are reported as cost of goods sold.</w:t>
      </w:r>
    </w:p>
    <w:p>
      <w:pPr>
        <w:spacing w:after="0" w:line="7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i w:val="1"/>
          <w:iCs w:val="1"/>
          <w:color w:val="auto"/>
        </w:rPr>
        <w:t xml:space="preserve">Advertising Costs </w:t>
      </w:r>
      <w:r>
        <w:rPr>
          <w:rFonts w:ascii="Arial" w:cs="Arial" w:eastAsia="Arial" w:hAnsi="Arial"/>
          <w:sz w:val="18"/>
          <w:szCs w:val="18"/>
          <w:color w:val="auto"/>
        </w:rPr>
        <w:t>— Advertising costs are expensed as incurred, except catalog and mailer costs as outlined above. Advertising expense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2009, 2008 and 2007 were $77,395, $85,908 and $75,452, respectively.</w:t>
      </w:r>
    </w:p>
    <w:p>
      <w:pPr>
        <w:spacing w:after="0" w:line="62"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has an incentive stock plan under which the Board of Directors may grant nonqualified stock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75"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of July 31, 2009, the Company has reserved 4,296,875 shares of Class A Nonvoting Common Stock for outstanding stock options and restricted shares and 660,330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Effective August 1, 2005, the Company adopted SFAS No. 123(R), “Share-Based Payment.” In accordance with this standard, the Company recognizes the compensation cost of all share-based awards using the grant-date fair value of those awards (the “fair-value-based” method). The expense is recognized on a straight-line basis over the vesting period of the award. Total stock compensation expense recognized by the Company during the years ended July 31, 2009, 2008, and 2007 was $7,731 ($4,716 net of taxes), $10,228 ($6,239 net of taxes), and $6,907 ($4,213 net of taxes), respectively. As discussed in Note 11, an additional $368 ($224 net of taxes) of non-cash stock option expense was taken related to the restructuring in fiscal 2009. As of July 31, 2009, total unrecognized compensation cost related to share-based compensation awards was $11,757, net of estimated forfeitures, which the Company expects to recognize over a weighted-average period of 2.5 years.</w:t>
      </w:r>
    </w:p>
    <w:p>
      <w:pPr>
        <w:spacing w:after="0" w:line="70"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Company adopted the fair value recognition provisions of SFAS No. 123(R) using the modified-prospective-transition method. Under that transition method, compensation cost recognized during fiscal 2009, 2008, and 2007 included: (a) compensation costs for all share-based payments granted prior to, but not yet vested as of August 1, 2005, based on the grant date fair value estimated in accordance with the original provisions of SFAS No. 123, and</w:t>
      </w:r>
    </w:p>
    <w:p>
      <w:pPr>
        <w:ind w:right="60" w:firstLine="8"/>
        <w:spacing w:after="0" w:line="261"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August 1, 2005, based on the grant date fair value estimated in accordance with the provisions of SFAS No. 123(R). Prior periods are not restated under this method of adoption.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2009</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42"/>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6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300" w:type="dxa"/>
            <w:vAlign w:val="bottom"/>
          </w:tcPr>
          <w:p>
            <w:pPr>
              <w:spacing w:after="0"/>
              <w:rPr>
                <w:sz w:val="10"/>
                <w:szCs w:val="10"/>
                <w:color w:val="auto"/>
              </w:rPr>
            </w:pPr>
          </w:p>
        </w:tc>
        <w:tc>
          <w:tcPr>
            <w:tcW w:w="11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Service-Based</w:t>
            </w:r>
          </w:p>
        </w:tc>
        <w:tc>
          <w:tcPr>
            <w:tcW w:w="3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280" w:type="dxa"/>
            <w:vAlign w:val="bottom"/>
          </w:tcPr>
          <w:p>
            <w:pPr>
              <w:spacing w:after="0"/>
              <w:rPr>
                <w:sz w:val="10"/>
                <w:szCs w:val="10"/>
                <w:color w:val="auto"/>
              </w:rPr>
            </w:pPr>
          </w:p>
        </w:tc>
        <w:tc>
          <w:tcPr>
            <w:tcW w:w="1060" w:type="dxa"/>
            <w:vAlign w:val="bottom"/>
          </w:tcPr>
          <w:p>
            <w:pPr>
              <w:jc w:val="center"/>
              <w:ind w:left="25"/>
              <w:spacing w:after="0" w:line="119" w:lineRule="exact"/>
              <w:rPr>
                <w:sz w:val="20"/>
                <w:szCs w:val="20"/>
                <w:color w:val="auto"/>
              </w:rPr>
            </w:pPr>
            <w:r>
              <w:rPr>
                <w:rFonts w:ascii="Arial" w:cs="Arial" w:eastAsia="Arial" w:hAnsi="Arial"/>
                <w:sz w:val="13"/>
                <w:szCs w:val="13"/>
                <w:b w:val="1"/>
                <w:bCs w:val="1"/>
                <w:color w:val="auto"/>
              </w:rPr>
              <w:t>Performance-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Service-Based</w:t>
            </w: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Based</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85"/>
              </w:rPr>
              <w:t>Based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30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060" w:type="dxa"/>
            <w:vAlign w:val="bottom"/>
          </w:tcPr>
          <w:p>
            <w:pPr>
              <w:jc w:val="center"/>
              <w:ind w:left="25"/>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8"/>
                <w:szCs w:val="18"/>
                <w:color w:val="auto"/>
              </w:rPr>
              <w:t>6.57</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w w:val="88"/>
              </w:rPr>
              <w:t>36.07%</w:t>
            </w:r>
          </w:p>
        </w:tc>
        <w:tc>
          <w:tcPr>
            <w:tcW w:w="1360" w:type="dxa"/>
            <w:vAlign w:val="bottom"/>
            <w:gridSpan w:val="2"/>
          </w:tcPr>
          <w:p>
            <w:pPr>
              <w:jc w:val="right"/>
              <w:ind w:right="65"/>
              <w:spacing w:after="0"/>
              <w:rPr>
                <w:sz w:val="20"/>
                <w:szCs w:val="20"/>
                <w:color w:val="auto"/>
              </w:rPr>
            </w:pPr>
            <w:r>
              <w:rPr>
                <w:rFonts w:ascii="Arial" w:cs="Arial" w:eastAsia="Arial" w:hAnsi="Arial"/>
                <w:sz w:val="18"/>
                <w:szCs w:val="18"/>
                <w:color w:val="auto"/>
              </w:rPr>
              <w:t>33.68%</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32.05%</w:t>
            </w:r>
          </w:p>
        </w:tc>
        <w:tc>
          <w:tcPr>
            <w:tcW w:w="1340" w:type="dxa"/>
            <w:vAlign w:val="bottom"/>
            <w:gridSpan w:val="2"/>
          </w:tcPr>
          <w:p>
            <w:pPr>
              <w:jc w:val="right"/>
              <w:ind w:right="65"/>
              <w:spacing w:after="0"/>
              <w:rPr>
                <w:sz w:val="20"/>
                <w:szCs w:val="20"/>
                <w:color w:val="auto"/>
              </w:rPr>
            </w:pPr>
            <w:r>
              <w:rPr>
                <w:rFonts w:ascii="Arial" w:cs="Arial" w:eastAsia="Arial" w:hAnsi="Arial"/>
                <w:sz w:val="18"/>
                <w:szCs w:val="18"/>
                <w:color w:val="auto"/>
              </w:rPr>
              <w:t>34.66%</w:t>
            </w:r>
          </w:p>
        </w:tc>
        <w:tc>
          <w:tcPr>
            <w:tcW w:w="1500" w:type="dxa"/>
            <w:vAlign w:val="bottom"/>
            <w:gridSpan w:val="3"/>
          </w:tcPr>
          <w:p>
            <w:pPr>
              <w:jc w:val="right"/>
              <w:ind w:right="142"/>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2.03%</w:t>
            </w:r>
          </w:p>
        </w:tc>
        <w:tc>
          <w:tcPr>
            <w:tcW w:w="1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1.58%</w:t>
            </w:r>
          </w:p>
        </w:tc>
        <w:tc>
          <w:tcPr>
            <w:tcW w:w="148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1.62%</w:t>
            </w:r>
          </w:p>
        </w:tc>
        <w:tc>
          <w:tcPr>
            <w:tcW w:w="1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1.51%</w:t>
            </w:r>
          </w:p>
        </w:tc>
        <w:tc>
          <w:tcPr>
            <w:tcW w:w="150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1360" w:type="dxa"/>
            <w:vAlign w:val="bottom"/>
            <w:gridSpan w:val="2"/>
          </w:tcPr>
          <w:p>
            <w:pPr>
              <w:jc w:val="right"/>
              <w:ind w:right="65"/>
              <w:spacing w:after="0"/>
              <w:rPr>
                <w:sz w:val="20"/>
                <w:szCs w:val="20"/>
                <w:color w:val="auto"/>
              </w:rPr>
            </w:pPr>
            <w:r>
              <w:rPr>
                <w:rFonts w:ascii="Arial" w:cs="Arial" w:eastAsia="Arial" w:hAnsi="Arial"/>
                <w:sz w:val="18"/>
                <w:szCs w:val="18"/>
                <w:color w:val="auto"/>
              </w:rPr>
              <w:t>4.66%</w:t>
            </w:r>
          </w:p>
        </w:tc>
        <w:tc>
          <w:tcPr>
            <w:tcW w:w="1480" w:type="dxa"/>
            <w:vAlign w:val="bottom"/>
            <w:gridSpan w:val="3"/>
          </w:tcPr>
          <w:p>
            <w:pPr>
              <w:jc w:val="right"/>
              <w:ind w:right="142"/>
              <w:spacing w:after="0"/>
              <w:rPr>
                <w:sz w:val="20"/>
                <w:szCs w:val="20"/>
                <w:color w:val="auto"/>
              </w:rPr>
            </w:pPr>
            <w:r>
              <w:rPr>
                <w:rFonts w:ascii="Arial" w:cs="Arial" w:eastAsia="Arial" w:hAnsi="Arial"/>
                <w:sz w:val="18"/>
                <w:szCs w:val="18"/>
                <w:color w:val="auto"/>
              </w:rPr>
              <w:t>3.44%</w:t>
            </w:r>
          </w:p>
        </w:tc>
        <w:tc>
          <w:tcPr>
            <w:tcW w:w="1340" w:type="dxa"/>
            <w:vAlign w:val="bottom"/>
            <w:gridSpan w:val="2"/>
          </w:tcPr>
          <w:p>
            <w:pPr>
              <w:jc w:val="right"/>
              <w:ind w:right="65"/>
              <w:spacing w:after="0"/>
              <w:rPr>
                <w:sz w:val="20"/>
                <w:szCs w:val="20"/>
                <w:color w:val="auto"/>
              </w:rPr>
            </w:pPr>
            <w:r>
              <w:rPr>
                <w:rFonts w:ascii="Arial" w:cs="Arial" w:eastAsia="Arial" w:hAnsi="Arial"/>
                <w:sz w:val="18"/>
                <w:szCs w:val="18"/>
                <w:color w:val="auto"/>
              </w:rPr>
              <w:t>4.90%</w:t>
            </w:r>
          </w:p>
        </w:tc>
        <w:tc>
          <w:tcPr>
            <w:tcW w:w="1500" w:type="dxa"/>
            <w:vAlign w:val="bottom"/>
            <w:gridSpan w:val="3"/>
          </w:tcPr>
          <w:p>
            <w:pPr>
              <w:jc w:val="right"/>
              <w:ind w:right="14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market value of</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underlying stock at grant date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21.26</w:t>
            </w:r>
          </w:p>
        </w:tc>
        <w:tc>
          <w:tcPr>
            <w:tcW w:w="13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$35.35</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$38.22</w:t>
            </w:r>
          </w:p>
        </w:tc>
        <w:tc>
          <w:tcPr>
            <w:tcW w:w="13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$33.32</w:t>
            </w:r>
          </w:p>
        </w:tc>
        <w:tc>
          <w:tcPr>
            <w:tcW w:w="1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21.26</w:t>
            </w:r>
          </w:p>
        </w:tc>
        <w:tc>
          <w:tcPr>
            <w:tcW w:w="1360" w:type="dxa"/>
            <w:vAlign w:val="bottom"/>
            <w:gridSpan w:val="2"/>
          </w:tcPr>
          <w:p>
            <w:pPr>
              <w:jc w:val="right"/>
              <w:ind w:right="225"/>
              <w:spacing w:after="0"/>
              <w:rPr>
                <w:sz w:val="20"/>
                <w:szCs w:val="20"/>
                <w:color w:val="auto"/>
              </w:rPr>
            </w:pPr>
            <w:r>
              <w:rPr>
                <w:rFonts w:ascii="Arial" w:cs="Arial" w:eastAsia="Arial" w:hAnsi="Arial"/>
                <w:sz w:val="18"/>
                <w:szCs w:val="18"/>
                <w:color w:val="auto"/>
              </w:rPr>
              <w:t>$35.35</w:t>
            </w:r>
          </w:p>
        </w:tc>
        <w:tc>
          <w:tcPr>
            <w:tcW w:w="1480" w:type="dxa"/>
            <w:vAlign w:val="bottom"/>
            <w:gridSpan w:val="3"/>
          </w:tcPr>
          <w:p>
            <w:pPr>
              <w:jc w:val="right"/>
              <w:ind w:right="282"/>
              <w:spacing w:after="0"/>
              <w:rPr>
                <w:sz w:val="20"/>
                <w:szCs w:val="20"/>
                <w:color w:val="auto"/>
              </w:rPr>
            </w:pPr>
            <w:r>
              <w:rPr>
                <w:rFonts w:ascii="Arial" w:cs="Arial" w:eastAsia="Arial" w:hAnsi="Arial"/>
                <w:sz w:val="18"/>
                <w:szCs w:val="18"/>
                <w:color w:val="auto"/>
              </w:rPr>
              <w:t>$38.22</w:t>
            </w:r>
          </w:p>
        </w:tc>
        <w:tc>
          <w:tcPr>
            <w:tcW w:w="1340" w:type="dxa"/>
            <w:vAlign w:val="bottom"/>
            <w:gridSpan w:val="2"/>
          </w:tcPr>
          <w:p>
            <w:pPr>
              <w:jc w:val="right"/>
              <w:ind w:right="205"/>
              <w:spacing w:after="0"/>
              <w:rPr>
                <w:sz w:val="20"/>
                <w:szCs w:val="20"/>
                <w:color w:val="auto"/>
              </w:rPr>
            </w:pPr>
            <w:r>
              <w:rPr>
                <w:rFonts w:ascii="Arial" w:cs="Arial" w:eastAsia="Arial" w:hAnsi="Arial"/>
                <w:sz w:val="18"/>
                <w:szCs w:val="18"/>
                <w:color w:val="auto"/>
              </w:rPr>
              <w:t>$33.32</w:t>
            </w:r>
          </w:p>
        </w:tc>
        <w:tc>
          <w:tcPr>
            <w:tcW w:w="1500" w:type="dxa"/>
            <w:vAlign w:val="bottom"/>
            <w:gridSpan w:val="3"/>
          </w:tcPr>
          <w:p>
            <w:pPr>
              <w:jc w:val="right"/>
              <w:ind w:right="282"/>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w:t>
            </w: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6.30</w:t>
            </w:r>
          </w:p>
        </w:tc>
        <w:tc>
          <w:tcPr>
            <w:tcW w:w="13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$12.83</w:t>
            </w:r>
          </w:p>
        </w:tc>
        <w:tc>
          <w:tcPr>
            <w:tcW w:w="148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$11.94</w:t>
            </w:r>
          </w:p>
        </w:tc>
        <w:tc>
          <w:tcPr>
            <w:tcW w:w="13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$12.57</w:t>
            </w:r>
          </w:p>
        </w:tc>
        <w:tc>
          <w:tcPr>
            <w:tcW w:w="1500" w:type="dxa"/>
            <w:vAlign w:val="bottom"/>
            <w:gridSpan w:val="3"/>
            <w:shd w:val="clear" w:color="auto" w:fill="CCEEFF"/>
          </w:tcPr>
          <w:p>
            <w:pPr>
              <w:jc w:val="right"/>
              <w:ind w:right="282"/>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grant.</w:t>
      </w:r>
    </w:p>
    <w:p>
      <w:pPr>
        <w:spacing w:after="0" w:line="80"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Effective March 4, 2009, the Compensation Committee of the Board of Directors of the Company approved an amendment to the granting agreement under which the Company issued performance-based stock options on August 2, 2004. Pursuant to the amendment, the exercise period for the performance-based stock options was extended to ten years from five years resulting in an incremental expense of $191 ($116 net of taxes) in fiscal 2009. Also, the amendment provided that during the extension period, executives may exercise the performance-based stock options following a termination only if the termination is as a result of the executive’s death or disability or qualifies as a retirement. The Company’s Chief Executive Officer, Chief Financial Officer, and two of its named executive officers currently have the following exercisable performance-based stock options affected by this amendment: Frank M. Jaehnert, 60,000 options; Thomas J. Felmer, 20,000 options; Peter C. Sephton, 30,000 options; and Matthew O. Williamson, 30,000 options.</w:t>
      </w:r>
    </w:p>
    <w:p>
      <w:pPr>
        <w:spacing w:after="0" w:line="5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As of July 31, 2009, 210,000 performance-based shares were outstanding.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Amounts expended for research and development are expensed as incurred.</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 Other comprehensive income consists of foreign currency translation adjustments, net unrealized gains and losses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and other investments, the unamortized gain on the post-retirement medical, dental and vision plan and their related tax effects. The components of accumulated other comprehensive income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2009</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July 31, 2008</w:t>
            </w:r>
          </w:p>
        </w:tc>
        <w:tc>
          <w:tcPr>
            <w:tcW w:w="0" w:type="dxa"/>
            <w:vAlign w:val="bottom"/>
          </w:tcPr>
          <w:p>
            <w:pPr>
              <w:spacing w:after="0"/>
              <w:rPr>
                <w:sz w:val="1"/>
                <w:szCs w:val="1"/>
                <w:color w:val="auto"/>
              </w:rPr>
            </w:pPr>
          </w:p>
        </w:tc>
      </w:tr>
      <w:tr>
        <w:trPr>
          <w:trHeight w:val="195"/>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Unrealized (loss) gain on cash flow hedges and securities in deferred compensation plans, net of tax of $17 and $263,</w:t>
            </w: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w w:val="99"/>
              </w:rPr>
              <w:t>Unamortized gain on post-retirement medical, dental and vision plan, net of tax of $1,964 and $2,663, respectively</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126,639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ind w:left="562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73"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accounts for income taxes in accordance with SFAS No. 109, “Accounting for Income Taxes,” which requires an asset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approach 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Beginning August 1, 2007, the Company recognizes the effect of income tax positions only if sustaining those positions is more likely than not. Changes in recognition or measurement are reflected in the period in which a change in judgment occurs. Prior to August 1, 2007, the Company recognized the effect of income tax positions only if such positions were probable of being sustained.</w:t>
      </w:r>
    </w:p>
    <w:p>
      <w:pPr>
        <w:spacing w:after="0" w:line="5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i w:val="1"/>
          <w:iCs w:val="1"/>
          <w:color w:val="auto"/>
        </w:rPr>
        <w:t xml:space="preserve">Risk Management Activities </w:t>
      </w:r>
      <w:r>
        <w:rPr>
          <w:rFonts w:ascii="Arial" w:cs="Arial" w:eastAsia="Arial" w:hAnsi="Arial"/>
          <w:sz w:val="18"/>
          <w:szCs w:val="18"/>
          <w:color w:val="auto"/>
        </w:rPr>
        <w:t>— The Company is exposed to market risk, such as changes in interest rates and currency exchange rates.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hold or issue derivative financial instruments for trading purposes.</w:t>
      </w:r>
    </w:p>
    <w:p>
      <w:pPr>
        <w:spacing w:after="0" w:line="62"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 xml:space="preserve">Currency Rate Hedging — </w:t>
      </w:r>
      <w:r>
        <w:rPr>
          <w:rFonts w:ascii="Arial" w:cs="Arial" w:eastAsia="Arial" w:hAnsi="Arial"/>
          <w:sz w:val="16"/>
          <w:szCs w:val="16"/>
          <w:color w:val="auto"/>
        </w:rPr>
        <w:t>The primary objectives of the foreign exchange risk management activities are to mitigate the impact of potential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fluctuations on the Company’s financial results and its economic well-being. While the Company’s risk management objectives and strategies are driven from an economic perspective, the Company attempts,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products purchased in a currency differing from the selling unit’s currency.</w:t>
      </w:r>
    </w:p>
    <w:p>
      <w:pPr>
        <w:spacing w:after="0" w:line="57" w:lineRule="exact"/>
        <w:rPr>
          <w:sz w:val="20"/>
          <w:szCs w:val="20"/>
          <w:color w:val="auto"/>
        </w:rPr>
      </w:pPr>
    </w:p>
    <w:p>
      <w:pPr>
        <w:ind w:right="160" w:firstLine="222"/>
        <w:spacing w:after="0" w:line="302" w:lineRule="auto"/>
        <w:rPr>
          <w:sz w:val="20"/>
          <w:szCs w:val="20"/>
          <w:color w:val="auto"/>
        </w:rPr>
      </w:pPr>
      <w:r>
        <w:rPr>
          <w:rFonts w:ascii="Arial" w:cs="Arial" w:eastAsia="Arial" w:hAnsi="Arial"/>
          <w:sz w:val="16"/>
          <w:szCs w:val="16"/>
          <w:color w:val="auto"/>
        </w:rPr>
        <w:t>The Company primarily utilizes forward exchange contracts with maturities of less than 12 months, which are designated as cash flow hedges. These are intended to offset the effect of exchange rate fluctuations on products purchased in a currency differing from the selling unit’s currency. The fair value of these instruments at July 31, 2009 and 2008 was $(248) and $(96), respectively. As of July 31, 2009, the notional amount of outstanding forward exchange contracts was $30.9 million. See Note 12 for more information regarding the Company’s derivative instruments and hedging activities.</w:t>
      </w:r>
    </w:p>
    <w:p>
      <w:pPr>
        <w:spacing w:after="0" w:line="46" w:lineRule="exact"/>
        <w:rPr>
          <w:sz w:val="20"/>
          <w:szCs w:val="20"/>
          <w:color w:val="auto"/>
        </w:rPr>
      </w:pPr>
    </w:p>
    <w:p>
      <w:pPr>
        <w:jc w:val="both"/>
        <w:ind w:right="80" w:firstLine="222"/>
        <w:spacing w:after="0" w:line="279" w:lineRule="auto"/>
        <w:rPr>
          <w:sz w:val="20"/>
          <w:szCs w:val="20"/>
          <w:color w:val="auto"/>
        </w:rPr>
      </w:pPr>
      <w:r>
        <w:rPr>
          <w:rFonts w:ascii="Arial" w:cs="Arial" w:eastAsia="Arial" w:hAnsi="Arial"/>
          <w:sz w:val="17"/>
          <w:szCs w:val="17"/>
          <w:color w:val="auto"/>
        </w:rPr>
        <w:t>The Company accounts for its hedges in accordance with SFAS No. 133, “Accounting for Derivative Instruments and Hedging Activities.” For derivative instruments designated as cash flow hedges under SFAS No. 133, the Company records these contracts at fair value on the Consolidated Balance Sheets. The effective portion of the gain or loss on these derivatives is reported as a component of other comprehensive income (“OCI”) and reclassified into earnings in the same period or periods during which the hedged transaction affects earnings.</w:t>
      </w:r>
    </w:p>
    <w:p>
      <w:pPr>
        <w:spacing w:after="0" w:line="63" w:lineRule="exact"/>
        <w:rPr>
          <w:sz w:val="20"/>
          <w:szCs w:val="20"/>
          <w:color w:val="auto"/>
        </w:rPr>
      </w:pPr>
    </w:p>
    <w:p>
      <w:pPr>
        <w:ind w:right="360" w:firstLine="222"/>
        <w:spacing w:after="0" w:line="286" w:lineRule="auto"/>
        <w:rPr>
          <w:sz w:val="20"/>
          <w:szCs w:val="20"/>
          <w:color w:val="auto"/>
        </w:rPr>
      </w:pPr>
      <w:r>
        <w:rPr>
          <w:rFonts w:ascii="Arial" w:cs="Arial" w:eastAsia="Arial" w:hAnsi="Arial"/>
          <w:sz w:val="17"/>
          <w:szCs w:val="17"/>
          <w:color w:val="auto"/>
        </w:rPr>
        <w:t>The Company also enters into cash flow hedge contracts to create economic hedges to manage foreign exchange risk exposure. The fair value of these instruments at July 31, 2009 was $130. The Company has not designated these derivative contracts as hedge transactions under SFAS No. 133, and accordingly, the mark-to-market impact of these derivatives is recorded each period in current earnings.</w:t>
      </w:r>
    </w:p>
    <w:p>
      <w:pPr>
        <w:spacing w:after="0" w:line="5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years ended July 31, 2009, 2008 and 2007.</w:t>
      </w:r>
    </w:p>
    <w:p>
      <w:pPr>
        <w:spacing w:after="0" w:line="7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 The Company adopted SFAS No. 157, “Fair Value Measurements,” on August 1, 2008 as it relates to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The impact of this adoption was not material to the Company’s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statements. SFAS No. 157 will be effective for the Company’s nonfinancial assets and liabilities on August 1, 2009, the first day of the Company’s next fiscal year. SFAS No. 157 applies to other accounting pronouncements that require or permit fair value measurements, defines fair value based upon an exit price model, establishes a framework for measuring fair value, and expands the applicable disclosure requirements. SFAS No.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 See Note 10 for more information regarding the Company’s fair value measurements.</w:t>
      </w:r>
    </w:p>
    <w:p>
      <w:pPr>
        <w:spacing w:after="0" w:line="85"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Effective August 1, 2008, the Company adopted SFAS No. 159, “The Fair Value Option for Financial Assets and Financial Liabilities, including an amendment of SFAS No. 115,” to allow companies to choose to elect, at specified dates, to measure eligible financial instruments at fair value. At the date of adoption of SFAS No. 159, the Company did not elect the fair value option for any of its financial assets or financial liabilities.</w:t>
      </w:r>
    </w:p>
    <w:p>
      <w:pPr>
        <w:spacing w:after="0" w:line="5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requires expanded quantitative, qualitative, and credit-risk disclosures about an entity’s derivative instruments and hedging activities. This statement is effective for fiscal years and interim periods beginning after November 15, 2008. The Company adopted SFAS No. 161 during fiscal 2009. See Note 12 for more information regarding the Company’s derivative instruments and hedging activities.</w:t>
      </w:r>
    </w:p>
    <w:p>
      <w:pPr>
        <w:spacing w:after="0" w:line="7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June 2008, the FASB issued Staff Position on EITF Issue 03-6 (“FSP 03-6”), “Determining Whether Instruments Granted in Share-Based Payment Transactions Are Participating Securities.” FSP 03-6 requires that all outstanding unvested share-based payment awards that contain rights to non-forfeitable dividends be considered participating securities in undistributed earnings with common shareholders. This staff position will be effective for fiscal years and interim periods beginning after December 15, 2008. The Company is in the process of evaluating the impact that will result from adopting FSP 03-6 on the Company’s results of operations and financial disclosures when the standard is adopted during the first quarter of fiscal 2010.</w:t>
      </w:r>
    </w:p>
    <w:p>
      <w:pPr>
        <w:spacing w:after="0" w:line="50"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Non-controlling interests in subsidiaries will be valued at fair value at the acquisition date and classified as a separate component of equity;</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SFAS No. 141(R) applies to business combinations for which the acquisition date is on or after August 1, 2009. The impact of SFAS No. 141(R) on the Company’s future consolidated financial statements will depend on the size and nature of future acquisitions.</w:t>
      </w:r>
    </w:p>
    <w:p>
      <w:pPr>
        <w:spacing w:after="0" w:line="62"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April 2009, the FASB issued FSP No. 107-1 and APB 28-1, “Interim Disclosures about Fair Value of Financial Instruments.” FSP 107-1 amends FASB Statement No. 107, “Disclosures about Fair Value of Financial Instruments,” and Accounting Principles Board Opinion No. 28, “Interim Financial Reporting,” to require disclosures about fair value of financial instruments for interim periods of publicly traded companies as well as in annual financial statements. FSP 107-1 is effective for interim reporting periods ending after June 15, 2009, with early adoption permitted for periods ending after March 15, 2009. The Company expects to adopt this FSP for the interim period ending October 31, 2009. The Company is in the process of evaluating the impact that will result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adopting FSP No. 107-1 and APB 28-1 on the Company’s financial disclosures when such guidance is adopted.</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April 2009, the FASB issued FASB Staff Position No. FAS 141(R)-1, “Accounting for Assets and Liabilities Assumed in a Business Combination That Arise From Contingencies” (FSP FAS 141(R)-1). FSP FAS 141(R)-1 amends and clarifies SFAS No. 141(R), “Business Combinations,” to address application issues raised by preparers, auditors, and members of the legal profession on initial recognition and measurement, subsequent measurement and accounting, and disclosure of assets and liabilities arising from contingencies in a business combination. This standard will be applied on a prospective basis for business combinations after July 31, 2009. The impact of SFAS No. 141(R)-1 on our future consolidated financial statements will depend on the size and nature of future acquisitions.</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May 2009, the FASB issued SFAS No. 165, “Subsequent Events.” SFAS No. 165 defines subsequent events as events or transactions that occur after the balance sheet date, but before the financial statements are issued. It defines two types of subsequent events: recognized subsequent events, which provide additional evidence about conditions that existed at the balance sheet date, and non-recognized subsequent events, which provide evidence about conditions that did not exist at the balance sheet date, but arose before the financial statements were issued. Recognized subsequent events are required to be recognized in the financial statements, and non-recognized subsequent events are required to be disclosed. The statement requires entities to disclose the date through which subsequent events have been evaluated, and the basis for that date. SFAS No. 165 is consistent with current practice and did not have any impact on the Company’s consolidated financial statements.</w:t>
      </w:r>
    </w:p>
    <w:p>
      <w:pPr>
        <w:spacing w:after="0" w:line="7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June 2009, the FASB issued SFAS No. 167, “Amendments to FASB Interpretation No. 46(R).” SFAS 167 makes changes to the overall consolidation analysis. SFAS No. 167 is effective as of the beginning of fiscal years that begin after November 15, 2009. The Company expects to adopt this standard on August 1, 2010. The Company is in the process of evaluating the impact that will result from adopting SFAS No. 167 on the Company’s results of operations and financial disclosures when such statement is adopted.</w:t>
      </w:r>
    </w:p>
    <w:p>
      <w:pPr>
        <w:spacing w:after="0" w:line="79"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In June 2009, the FASB issued SFAS No. 168, “The FASB Accounting Standards Codification and the Hierarchy of Generally Accepted Accounting Policies.” SFAS No. 168 replaces SFAS No. 162, “The Hierarchy of Generally Accepted Accounting Policies.” SFAS No. 168 outlines the reorganization of current GAAP into a topical format that eliminates the current GAAP hierarchy. SFAS No. 168 is effective for interim and annual periods ending after September 15, 2009. The Company expects to adopt this standard during the first quarter of fiscal 2010. The Company is in the process of evaluating the impact that will result from adopting SFAS No. 168 on the Company’s financial disclosures when such statement is adopted.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of Businesses</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did not complete any acquisitions during the fiscal year ended July 31, 2009; however, it completed two business acquisitions during the fiscal year ended July 31, 2008, and seven business acquisitions during the fiscal year ended July 31, 2007. All of these transactions were accounted for using the purchase method of accounting; therefore, the results of operations are included in the accompanying consolidated financial statements only since their acquisition dates.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2008</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acquired the following companies in fiscal 2008 for a total combined purchase price, net of cash acquired, of $29,346. A brief description of each company acquired during the year is included below:</w:t>
      </w:r>
    </w:p>
    <w:p>
      <w:pPr>
        <w:spacing w:after="0" w:line="62" w:lineRule="exact"/>
        <w:rPr>
          <w:sz w:val="20"/>
          <w:szCs w:val="20"/>
          <w:color w:val="auto"/>
        </w:rPr>
      </w:pPr>
    </w:p>
    <w:p>
      <w:pPr>
        <w:ind w:left="660" w:hanging="436"/>
        <w:spacing w:after="0" w:line="308" w:lineRule="auto"/>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Tranposafe is headquartered near Amsterdam, the Netherlands with operations in Belgium, Germany, and Poland. Transposafe specializes in security sealing and identification solutions for protecting assets during transport. Transposafe was acquired in November 2007.</w:t>
      </w:r>
    </w:p>
    <w:p>
      <w:pPr>
        <w:spacing w:after="0" w:line="51" w:lineRule="exact"/>
        <w:rPr>
          <w:rFonts w:ascii="Arial" w:cs="Arial" w:eastAsia="Arial" w:hAnsi="Arial"/>
          <w:sz w:val="17"/>
          <w:szCs w:val="17"/>
          <w:b w:val="1"/>
          <w:bCs w:val="1"/>
          <w:color w:val="auto"/>
        </w:rPr>
      </w:pPr>
    </w:p>
    <w:p>
      <w:pPr>
        <w:ind w:left="660" w:right="120" w:hanging="436"/>
        <w:spacing w:after="0" w:line="277"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DAWG is headquartered in Terryville, Connecticut. DAWG is an Internet marketer of sorbents, spill-containment products, safety-storage cabinets, first aid kits, and other products that help keep facilities safe and clean. DAWG was acquired in March 2008.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purchase agreement for Transposafe included a provision for contingent payments based upon meeting certain performance conditions over a two-year period of time subsequent to the acquisition. The total maximum contingent payment of approximately $3,000 was placed in an escrow account for the acquisition of Transposafe. During fiscal 2009, $700 was paid out of the escrow account to satisfy the earnout and holdback liabilities of the Transposafe acquisition.</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8,373</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16,876</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4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 net of cash</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38,384</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Liabilities assumed</w:t>
            </w:r>
          </w:p>
        </w:tc>
        <w:tc>
          <w:tcPr>
            <w:tcW w:w="4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29,346</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$16,876 allocated to goodwill, approximately $3,600 is expected to be deductible for tax purposes.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fiscal 2008 acquisitions were determined to be immaterial individually and in the aggregate, so no pro-forma disclosures were required.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2007</w:t>
      </w:r>
    </w:p>
    <w:p>
      <w:pPr>
        <w:spacing w:after="0" w:line="117" w:lineRule="exact"/>
        <w:rPr>
          <w:sz w:val="20"/>
          <w:szCs w:val="20"/>
          <w:color w:val="auto"/>
        </w:rPr>
      </w:pPr>
    </w:p>
    <w:p>
      <w:pPr>
        <w:jc w:val="both"/>
        <w:ind w:right="120" w:firstLine="222"/>
        <w:spacing w:after="0" w:line="277" w:lineRule="auto"/>
        <w:rPr>
          <w:sz w:val="20"/>
          <w:szCs w:val="20"/>
          <w:color w:val="auto"/>
        </w:rPr>
      </w:pPr>
      <w:r>
        <w:rPr>
          <w:rFonts w:ascii="Arial" w:cs="Arial" w:eastAsia="Arial" w:hAnsi="Arial"/>
          <w:sz w:val="18"/>
          <w:szCs w:val="18"/>
          <w:color w:val="auto"/>
        </w:rPr>
        <w:t>The Company acquired the following companies in fiscal 2007 for a total combined purchase price, net of cash acquired, of $159,475. A brief description of each company acquired during the year is included below:</w:t>
      </w:r>
    </w:p>
    <w:p>
      <w:pPr>
        <w:spacing w:after="0" w:line="62" w:lineRule="exact"/>
        <w:rPr>
          <w:sz w:val="20"/>
          <w:szCs w:val="20"/>
          <w:color w:val="auto"/>
        </w:rPr>
      </w:pPr>
    </w:p>
    <w:p>
      <w:pPr>
        <w:ind w:left="660" w:right="12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CIPI, was formerly headquartered in Burlington, Massachusetts, with operations in Hong Kong, China and the Netherlands. CIPI is a market leader in badging accessories used to identify and track employees and visitors in a variety of settings including businesses, healthcare facilities, special events and government buildings. CIPI was acquired in August 2006.</w:t>
      </w:r>
    </w:p>
    <w:p>
      <w:pPr>
        <w:spacing w:after="0" w:line="86"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Precision Converters L.P (“Precision Converters”) is located in Dallas, Texas and is a supplier of die-cut products to the medical market with a specific focus on disposable, advanced wound-care products. Precision Converters was acquired in October 2006.</w:t>
      </w:r>
    </w:p>
    <w:p>
      <w:pPr>
        <w:spacing w:after="0" w:line="75" w:lineRule="exact"/>
        <w:rPr>
          <w:rFonts w:ascii="Arial" w:cs="Arial" w:eastAsia="Arial" w:hAnsi="Arial"/>
          <w:sz w:val="18"/>
          <w:szCs w:val="18"/>
          <w:b w:val="1"/>
          <w:bCs w:val="1"/>
          <w:color w:val="auto"/>
        </w:rPr>
      </w:pPr>
    </w:p>
    <w:p>
      <w:pPr>
        <w:ind w:left="660" w:right="80" w:hanging="436"/>
        <w:spacing w:after="0" w:line="259"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Scafftag Ltd., Safetrak, Ltd. and Scafftag Pty., Ltd (collectively “Scafftag”) is located in Barry, Wales, U.K., with operations in Australia and in the United States and a sales office in the United Arab Emirates. Scafftag is an industry leader in safety identification and facility management products in the U.K., specializing in products that help companies meet legislative requirements for safety standards in the oil and gas, construction and scaffolding industries. Scafftag was acquired in December 2006.</w:t>
      </w:r>
    </w:p>
    <w:p>
      <w:pPr>
        <w:spacing w:after="0" w:line="92" w:lineRule="exact"/>
        <w:rPr>
          <w:rFonts w:ascii="Arial" w:cs="Arial" w:eastAsia="Arial" w:hAnsi="Arial"/>
          <w:sz w:val="18"/>
          <w:szCs w:val="18"/>
          <w:b w:val="1"/>
          <w:bCs w:val="1"/>
          <w:color w:val="auto"/>
        </w:rPr>
      </w:pPr>
    </w:p>
    <w:p>
      <w:pPr>
        <w:jc w:val="both"/>
        <w:ind w:left="660" w:right="26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Asterisco Artes Graficas Ltda. (“Asterisco”) is located in Sao Paulo, Brazil and is a leading manufacturer of industrial high-performance labels in Brazil, specializing in custom labels printed on film materials for the electronics, automotive, pharmaceutical and other industries. Asterisco was acquired in December 2006.</w:t>
      </w:r>
    </w:p>
    <w:p>
      <w:pPr>
        <w:spacing w:after="0" w:line="86" w:lineRule="exact"/>
        <w:rPr>
          <w:rFonts w:ascii="Arial" w:cs="Arial" w:eastAsia="Arial" w:hAnsi="Arial"/>
          <w:sz w:val="18"/>
          <w:szCs w:val="18"/>
          <w:b w:val="1"/>
          <w:bCs w:val="1"/>
          <w:color w:val="auto"/>
        </w:rPr>
      </w:pPr>
    </w:p>
    <w:p>
      <w:pPr>
        <w:ind w:left="660" w:right="740" w:hanging="436"/>
        <w:spacing w:after="0" w:line="308" w:lineRule="auto"/>
        <w:tabs>
          <w:tab w:leader="none" w:pos="66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Modernotecnica SpA (“Moderno”) is located in Milan, Italy and is a wire-identification manufacturer serving the Maintenance, Repair and Operations market with products used primarily in the electrical industry. Moderno was acquired in December 2006.</w:t>
      </w:r>
    </w:p>
    <w:p>
      <w:pPr>
        <w:spacing w:after="0" w:line="51" w:lineRule="exact"/>
        <w:rPr>
          <w:rFonts w:ascii="Arial" w:cs="Arial" w:eastAsia="Arial" w:hAnsi="Arial"/>
          <w:sz w:val="17"/>
          <w:szCs w:val="17"/>
          <w:b w:val="1"/>
          <w:bCs w:val="1"/>
          <w:color w:val="auto"/>
        </w:rPr>
      </w:pPr>
    </w:p>
    <w:p>
      <w:pPr>
        <w:ind w:left="660" w:right="28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Clement Communications, Inc. (“Clement”) is located in Concordville, Pennsylvania and is a direct marketer of posters, newsletters, guides and handbooks that address safety, quality, teamwork, sales employment practices, customer service and OSHA regulations. Clement was acquired in February 2007.</w:t>
      </w:r>
    </w:p>
    <w:p>
      <w:pPr>
        <w:spacing w:after="0" w:line="86" w:lineRule="exact"/>
        <w:rPr>
          <w:rFonts w:ascii="Arial" w:cs="Arial" w:eastAsia="Arial" w:hAnsi="Arial"/>
          <w:sz w:val="18"/>
          <w:szCs w:val="18"/>
          <w:b w:val="1"/>
          <w:bCs w:val="1"/>
          <w:color w:val="auto"/>
        </w:rPr>
      </w:pPr>
    </w:p>
    <w:p>
      <w:pPr>
        <w:ind w:left="660" w:right="260" w:hanging="436"/>
        <w:spacing w:after="0" w:line="264"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SPC is headquartered in Somerset, New Jersey, with operations in Belgium and Hong Kong. SPC is a leading manufacturer and marketer of synthetic sorbent materials used in a variety of industrial maintenance and environmental applications for spill clean-up, containment and control. SPC was acquired in April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purchase agreements for Scafftag and Asterisco each included provisions for contingent payments based upon meeting certain performance conditions over a period of time subsequent to the acquisition. The total maximum contingent payments of $5,200 have not been accrued as liabilities on the accompanying consolidated financial statements as the payments are based on attaining certain financial results. Approximately $4,900 of the contingency related to the Asterisco acquisition had been placed in an escrow account in compliance with the terms of the purchase agreement. During fiscal 2008, the Company paid the former owners of Astersico $200 to satisfy the terms of the earnout agreement, while the remaining $4,700 was returned to Brady due to the acquired business not meeting certain performance criteria. The purchase agreement of Asterisco also included a holdback provision of approximately $2,300 that was recorded as a liability in the accompanying consolidated financial statements at July 31, 2008. A payment of $700 was paid during fiscal 2009 to satisfy the earnout and holdback liabilities of the Asterisco acquisition and the remaining liability was eliminated.</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combined estimated fair values of the assets acquired and liabilities assumed at the date of the acquisitions.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38,148</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12,158</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105,325</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23,897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11,232</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192,723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33,248</w:t>
            </w:r>
          </w:p>
        </w:tc>
        <w:tc>
          <w:tcPr>
            <w:tcW w:w="80" w:type="dxa"/>
            <w:vAlign w:val="bottom"/>
            <w:shd w:val="clear" w:color="auto" w:fill="CCEEFF"/>
          </w:tcPr>
          <w:p>
            <w:pPr>
              <w:spacing w:after="0"/>
              <w:rPr>
                <w:sz w:val="18"/>
                <w:szCs w:val="18"/>
                <w:color w:val="auto"/>
              </w:rPr>
            </w:pP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159,475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$105,325 allocated to goodwill, approximately $72,134 was deductible for tax purposes.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fiscal 2007 acquisitions were determined to be immaterial individually and in the aggregate, so no pro-forma disclosures were required.</w:t>
      </w:r>
    </w:p>
    <w:p>
      <w:pPr>
        <w:spacing w:after="0" w:line="117"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purchase agreements for Texit, a manufacturer and distributor of wire markers and cable-management products; QDP Thailand Co., Ltd. (“QDPT”), a designer and manufacturer of high-precision components for the electronic, medical and automotive industries, specializing in precision laminating, stamping and contract assembly; and STOPware, Inc. (“Stopware”), a manufacturer of visitor-badging and lobby-security software used to identify and track visitors each included provisions for contingent payments based upon meeting certain performance conditions over a period of time subsequent to the acquisition. In fiscal 2007, QDPT combined its operations with TPS in a facility in Klongluang, Pathumthani, Thailand In fiscal 2006 and 2007, $1,800 and $2,577, respectively, of the conditions were met and recorded in goodwill; payments of $3,377 were made during fiscal 2007 to satisfy the contingent payment requirements. The remaining $1,000 liability was paid in fiscal 2008 for the acquisition of Stopware. The holdback provision included in the purchase agreements of QDPT of $310 was paid in fiscal 2007. The holdback provisions included in the purchase agreements of Daewon Industry Corporation (“Daewon”) and Stopware of $200 and $4,350, respectively, were paid in fiscal 2008. Daewon is,a manufacturer and supplier of pressure sensitive, die-cut adhesive components for the mobile handset and electronics industry. As of July 31, 2009 all required payments have been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w:t>
      </w:r>
    </w:p>
    <w:p>
      <w:pPr>
        <w:spacing w:after="0" w:line="121"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The Company provides postretirement medical, dental and vision benefits (the “Plan”) for eligible regular full and part-time domestic employees (including spouses) outlined by the plan. During fiscal 2008, the Plan was amended to include only employees hired prior to April 1, 2008.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contributions will not exceed a defined dollar benefit amount, regardless of the cost of the program. Employer contributions to the plan are based on the employee’s age and service at retirement. The Company funds benefit costs on a pay-as-you-go basis.</w:t>
      </w:r>
    </w:p>
    <w:p>
      <w:pPr>
        <w:spacing w:after="0" w:line="62"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In October 2006, the FASB issued SFAS No. 158, “Employers’ Accounting for Defined Benefit Pension and Other Postretirement Plans.” This statement requires full recognition of the funded status of defined benefit and other postretirement plans on the balance sheet as an asset or a liability. SFAS No. 158 also continues to require that unrecognized prior service costs/credits, gains/losses, and transition obligations/assets be recorded in Accumulated Other Comprehensive Income, thus not changing the income statement recognition rules for such plans.</w:t>
      </w:r>
    </w:p>
    <w:p>
      <w:pPr>
        <w:spacing w:after="0" w:line="6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2009 and 2008. The following table provides a reconciliation of the changes in the Plan’s accumulated benefit obligations during the years ended July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beginning of year</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12,199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 cost</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Actuarial loss (gain)</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Plan amendments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Separation benefits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Curtailments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Obligation at end of fiscal year</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14,311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15"/>
        <w:spacing w:after="0" w:line="342" w:lineRule="auto"/>
        <w:rPr>
          <w:sz w:val="20"/>
          <w:szCs w:val="20"/>
          <w:color w:val="auto"/>
        </w:rPr>
      </w:pPr>
      <w:r>
        <w:rPr>
          <w:rFonts w:ascii="Arial" w:cs="Arial" w:eastAsia="Arial" w:hAnsi="Arial"/>
          <w:sz w:val="16"/>
          <w:szCs w:val="16"/>
          <w:color w:val="auto"/>
        </w:rPr>
        <w:t>As discussed in Note 11, the fiscal 2009 restructuring charges included employee separation costs. Approximately, $1,178 of employee separation costs have been included in the separation benefits above as the costs directly relate to the postretirement medical, dental and vision benefits.</w:t>
      </w:r>
    </w:p>
    <w:p>
      <w:pPr>
        <w:spacing w:after="0" w:line="1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November 2008, the Company announced it would take several measures to address its cost structure. In addition to a reduction in its contract labor and decreased discretionary spending, the Company announced it would reduce its workforce. The reduction in workforce was accounted for as a partial plan curtailment and reduced the accumulated benefit obligation by $679 as of July 31, 2009.</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31, 2009 and 2008, amounts recognized as liabilities in the accompanying consolidated balance sheets consist of:</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Noncurrent liability</w:t>
            </w: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13,486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11,688</w:t>
            </w:r>
          </w:p>
        </w:tc>
      </w:tr>
      <w:tr>
        <w:trPr>
          <w:trHeight w:val="27"/>
        </w:trPr>
        <w:tc>
          <w:tcPr>
            <w:tcW w:w="5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14,311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12,199</w:t>
            </w:r>
          </w:p>
        </w:tc>
      </w:tr>
      <w:tr>
        <w:trPr>
          <w:trHeight w:val="20"/>
        </w:trPr>
        <w:tc>
          <w:tcPr>
            <w:tcW w:w="5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July 31, 2009 and 2008, pre-tax amounts recognized in accumulated other comprehensive income in the accompanying consolidated balance sheets consist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Prior service credit</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3,906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ind w:left="240"/>
              <w:spacing w:after="0"/>
              <w:rPr>
                <w:sz w:val="20"/>
                <w:szCs w:val="20"/>
                <w:color w:val="auto"/>
              </w:rPr>
            </w:pPr>
            <w:r>
              <w:rPr>
                <w:rFonts w:ascii="Arial" w:cs="Arial" w:eastAsia="Arial" w:hAnsi="Arial"/>
                <w:sz w:val="18"/>
                <w:szCs w:val="18"/>
                <w:color w:val="auto"/>
                <w:w w:val="98"/>
              </w:rPr>
              <w:t>Net periodic benefit cost for the Plan for fiscal years 2009, 2008 and 2007 includes the following components:</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July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periodic postretirement benefit cost included the following components: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Service cost — benefits attributed to service during the period</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672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919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cost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2340" w:type="dxa"/>
            <w:vAlign w:val="bottom"/>
          </w:tcPr>
          <w:p>
            <w:pPr>
              <w:jc w:val="right"/>
              <w:ind w:right="201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Years Ended July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vMerge w:val="restart"/>
          </w:tcPr>
          <w:p>
            <w:pPr>
              <w:ind w:left="200"/>
              <w:spacing w:after="0"/>
              <w:rPr>
                <w:sz w:val="20"/>
                <w:szCs w:val="20"/>
                <w:color w:val="auto"/>
              </w:rPr>
            </w:pPr>
            <w:r>
              <w:rPr>
                <w:rFonts w:ascii="Arial" w:cs="Arial" w:eastAsia="Arial" w:hAnsi="Arial"/>
                <w:sz w:val="18"/>
                <w:szCs w:val="18"/>
                <w:color w:val="auto"/>
              </w:rPr>
              <w:t>Interest cost on accumulated postretirement benefit obligation</w:t>
            </w:r>
          </w:p>
        </w:tc>
        <w:tc>
          <w:tcPr>
            <w:tcW w:w="162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1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8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unrecognized gain</w:t>
            </w:r>
          </w:p>
        </w:tc>
        <w:tc>
          <w:tcPr>
            <w:tcW w:w="2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Curtailment loss</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Periodic postretirement benefit cost</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1,529</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1,362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estimated actuarial gain and prior service credit that will be amortized from accumulated other comprehensive income into net periodic postretirement benefit cost over the next fiscal year are $202 and $64, respectively. The reduction in workforce resulted in a one-time curtailment gain of $679 and the accelerated recognition of the previously unrecognized prior service cost of $106,offset by a one-time separation benefit charge of $1,178, resulting in a net curtailment loss of $393 as of July 31, 2009.</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2008</w:t>
            </w: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2007</w:t>
            </w:r>
          </w:p>
        </w:tc>
      </w:tr>
      <w:tr>
        <w:trPr>
          <w:trHeight w:val="195"/>
        </w:trPr>
        <w:tc>
          <w:tcPr>
            <w:tcW w:w="7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discount rate used in determining accumulated postretirement benefit</w:t>
            </w: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 liability</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Weighted average discount rate used in determining net periodic benefit cost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6.8%</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Rate to which cost trend rate is assumed to decline (the ultimate trend rate)</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2015</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2011</w:t>
            </w:r>
          </w:p>
        </w:tc>
      </w:tr>
    </w:tbl>
    <w:p>
      <w:pPr>
        <w:spacing w:after="0" w:line="9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assumed health care cost trend rate has a significant effect on the amounts reported for the Plan. A one-percentage point change in assumed health care cost trend rates would have the following effects: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1"/>
              </w:rPr>
              <w:t>One-Percentage</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4"/>
              </w:rPr>
              <w:t>One-Percentage</w:t>
            </w:r>
          </w:p>
        </w:tc>
        <w:tc>
          <w:tcPr>
            <w:tcW w:w="0" w:type="dxa"/>
            <w:vAlign w:val="bottom"/>
          </w:tcPr>
          <w:p>
            <w:pPr>
              <w:spacing w:after="0"/>
              <w:rPr>
                <w:sz w:val="1"/>
                <w:szCs w:val="1"/>
                <w:color w:val="auto"/>
              </w:rPr>
            </w:pPr>
          </w:p>
        </w:tc>
      </w:tr>
      <w:tr>
        <w:trPr>
          <w:trHeight w:val="171"/>
        </w:trPr>
        <w:tc>
          <w:tcPr>
            <w:tcW w:w="8740" w:type="dxa"/>
            <w:vAlign w:val="bottom"/>
            <w:vMerge w:val="restart"/>
          </w:tcPr>
          <w:p>
            <w:pPr>
              <w:spacing w:after="0"/>
              <w:rPr>
                <w:sz w:val="20"/>
                <w:szCs w:val="20"/>
                <w:color w:val="auto"/>
              </w:rPr>
            </w:pPr>
            <w:r>
              <w:rPr>
                <w:rFonts w:ascii="Arial" w:cs="Arial" w:eastAsia="Arial" w:hAnsi="Arial"/>
                <w:sz w:val="18"/>
                <w:szCs w:val="18"/>
                <w:color w:val="auto"/>
              </w:rPr>
              <w:t>Effect on future service and interest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Point Increase</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Point Decrease</w:t>
            </w:r>
          </w:p>
        </w:tc>
        <w:tc>
          <w:tcPr>
            <w:tcW w:w="0" w:type="dxa"/>
            <w:vAlign w:val="bottom"/>
          </w:tcPr>
          <w:p>
            <w:pPr>
              <w:spacing w:after="0"/>
              <w:rPr>
                <w:sz w:val="1"/>
                <w:szCs w:val="1"/>
                <w:color w:val="auto"/>
              </w:rPr>
            </w:pPr>
          </w:p>
        </w:tc>
      </w:tr>
      <w:tr>
        <w:trPr>
          <w:trHeight w:val="195"/>
        </w:trPr>
        <w:tc>
          <w:tcPr>
            <w:tcW w:w="8740" w:type="dxa"/>
            <w:vAlign w:val="bottom"/>
            <w:vMerge w:val="continue"/>
          </w:tcPr>
          <w:p>
            <w:pPr>
              <w:spacing w:after="0"/>
              <w:rPr>
                <w:sz w:val="16"/>
                <w:szCs w:val="16"/>
                <w:color w:val="auto"/>
              </w:rPr>
            </w:pPr>
          </w:p>
        </w:tc>
        <w:tc>
          <w:tcPr>
            <w:tcW w:w="104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$ 73</w:t>
            </w:r>
          </w:p>
        </w:tc>
        <w:tc>
          <w:tcPr>
            <w:tcW w:w="540" w:type="dxa"/>
            <w:vAlign w:val="bottom"/>
          </w:tcPr>
          <w:p>
            <w:pPr>
              <w:spacing w:after="0"/>
              <w:rPr>
                <w:sz w:val="16"/>
                <w:szCs w:val="16"/>
                <w:color w:val="auto"/>
              </w:rPr>
            </w:pPr>
          </w:p>
        </w:tc>
        <w:tc>
          <w:tcPr>
            <w:tcW w:w="110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 (83)</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 at July 31, 2009</w:t>
            </w:r>
          </w:p>
        </w:tc>
        <w:tc>
          <w:tcPr>
            <w:tcW w:w="1040" w:type="dxa"/>
            <w:vAlign w:val="bottom"/>
          </w:tcPr>
          <w:p>
            <w:pPr>
              <w:jc w:val="right"/>
              <w:ind w:right="299"/>
              <w:spacing w:after="0"/>
              <w:rPr>
                <w:sz w:val="20"/>
                <w:szCs w:val="20"/>
                <w:color w:val="auto"/>
              </w:rPr>
            </w:pPr>
            <w:r>
              <w:rPr>
                <w:rFonts w:ascii="Arial" w:cs="Arial" w:eastAsia="Arial" w:hAnsi="Arial"/>
                <w:sz w:val="18"/>
                <w:szCs w:val="18"/>
                <w:color w:val="auto"/>
              </w:rPr>
              <w:t>110</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825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2011</w:t>
            </w:r>
          </w:p>
        </w:tc>
        <w:tc>
          <w:tcPr>
            <w:tcW w:w="5440" w:type="dxa"/>
            <w:vAlign w:val="bottom"/>
          </w:tcPr>
          <w:p>
            <w:pPr>
              <w:jc w:val="right"/>
              <w:ind w:right="250"/>
              <w:spacing w:after="0"/>
              <w:rPr>
                <w:sz w:val="20"/>
                <w:szCs w:val="20"/>
                <w:color w:val="auto"/>
              </w:rPr>
            </w:pPr>
            <w:r>
              <w:rPr>
                <w:rFonts w:ascii="Arial" w:cs="Arial" w:eastAsia="Arial" w:hAnsi="Arial"/>
                <w:sz w:val="18"/>
                <w:szCs w:val="18"/>
                <w:color w:val="auto"/>
              </w:rPr>
              <w:t>840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5440" w:type="dxa"/>
            <w:vAlign w:val="bottom"/>
          </w:tcPr>
          <w:p>
            <w:pPr>
              <w:jc w:val="right"/>
              <w:ind w:right="250"/>
              <w:spacing w:after="0"/>
              <w:rPr>
                <w:sz w:val="20"/>
                <w:szCs w:val="20"/>
                <w:color w:val="auto"/>
              </w:rPr>
            </w:pPr>
            <w:r>
              <w:rPr>
                <w:rFonts w:ascii="Arial" w:cs="Arial" w:eastAsia="Arial" w:hAnsi="Arial"/>
                <w:sz w:val="18"/>
                <w:szCs w:val="18"/>
                <w:color w:val="auto"/>
              </w:rPr>
              <w:t>978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2015 through 2019</w:t>
            </w:r>
          </w:p>
        </w:tc>
        <w:tc>
          <w:tcPr>
            <w:tcW w:w="5440" w:type="dxa"/>
            <w:vAlign w:val="bottom"/>
          </w:tcPr>
          <w:p>
            <w:pPr>
              <w:jc w:val="right"/>
              <w:ind w:right="250"/>
              <w:spacing w:after="0"/>
              <w:rPr>
                <w:sz w:val="20"/>
                <w:szCs w:val="20"/>
                <w:color w:val="auto"/>
              </w:rPr>
            </w:pPr>
            <w:r>
              <w:rPr>
                <w:rFonts w:ascii="Arial" w:cs="Arial" w:eastAsia="Arial" w:hAnsi="Arial"/>
                <w:sz w:val="18"/>
                <w:szCs w:val="18"/>
                <w:color w:val="auto"/>
              </w:rPr>
              <w:t>5,823</w:t>
            </w:r>
          </w:p>
        </w:tc>
      </w:tr>
    </w:tbl>
    <w:p>
      <w:pPr>
        <w:spacing w:after="0" w:line="79"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2009 and 2008, $5,512 and $6,633, respectively, of accrued profit-sharing contributions were included in other current liabilities and other long-term liabilities on the accompanying consolidated balance sheets.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2009 and 2008,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$10,175 and $11,095, respectively, of deferred compensation was included in current and other long-term liabilities in the accompanying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0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8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During fiscal 2002, the Company adopted a new deferred compensation plan that allows future contributions to be invested in shares of the Company’s Class A Nonvoting Common Stock or in certain other investment vehicles.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80"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amounts charged to expense for the retirement, profit sharing and deferred compensation plans described above were $11,765, $17,275, and $14,990 during the years ended July 31, 2009, 2008 and 2007,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Years Ended July 31,</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46,388</w:t>
            </w: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Nations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97,655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139,799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97,272</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$ 186,187</w:t>
            </w: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151,928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Income taxes consist of the following:</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Years Ended July 31,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3,486</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13,943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31,223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41,794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States (U.S.)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56,758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Deferred income tax (benefit) expense: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(7,633)</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Other 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(1,693)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States (U.S.)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(8,640)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(2,759)</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27,150</w:t>
            </w:r>
          </w:p>
        </w:tc>
        <w:tc>
          <w:tcPr>
            <w:tcW w:w="16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$ 53,999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July 31, 2009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Prepaid catalog costs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Accounts receivable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17,738</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(5,184)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Intangible Assets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2,134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(21,026)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Deferred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18,934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45,057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(25,670)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net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68,946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(39,384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80" w:type="dxa"/>
            <w:vAlign w:val="bottom"/>
            <w:vMerge w:val="restart"/>
          </w:tcPr>
          <w:p>
            <w:pPr>
              <w:jc w:val="right"/>
              <w:ind w:right="20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July 31, 2008</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7"/>
              </w:rPr>
              <w:t>Assets</w:t>
            </w:r>
          </w:p>
        </w:tc>
        <w:tc>
          <w:tcPr>
            <w:tcW w:w="3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Liabilities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Prepaid catalog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(3,076)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5,422</w:t>
            </w:r>
          </w:p>
        </w:tc>
      </w:tr>
      <w:tr>
        <w:trPr>
          <w:trHeight w:val="230"/>
        </w:trPr>
        <w:tc>
          <w:tcPr>
            <w:tcW w:w="20" w:type="dxa"/>
            <w:vAlign w:val="bottom"/>
          </w:tcPr>
          <w:p>
            <w:pPr>
              <w:spacing w:after="0"/>
              <w:rPr>
                <w:sz w:val="20"/>
                <w:szCs w:val="20"/>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2,656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(18,292)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(15,636)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17,033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17,033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26,630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26,630</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(25,494)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(25,494)</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(1,735)</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(30,578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Tax loss carry forwards at July 31, 2009 are comprised of:</w:t>
      </w:r>
    </w:p>
    <w:p>
      <w:pPr>
        <w:spacing w:after="0" w:line="117" w:lineRule="exact"/>
        <w:rPr>
          <w:sz w:val="20"/>
          <w:szCs w:val="20"/>
          <w:color w:val="auto"/>
        </w:rPr>
      </w:pPr>
    </w:p>
    <w:p>
      <w:pPr>
        <w:ind w:left="660" w:right="200" w:hanging="436"/>
        <w:spacing w:after="0" w:line="277" w:lineRule="auto"/>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Foreign net operating loss carry-forwards of $73,450, of which $48,402 have no expiration date and the remainder of which expire within the next 5 years.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State net operating loss carry-forwards of $60,717, which expire from 2014 to 2029.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Foreign tax credit carry-forwards of $16,028, which expire from 2018 to 2019.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R&amp;D credit carry-forwards of $800, which expire in 2029.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State credit carry-forwards of $1,670, which expire from 2017 to 2024.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income before income taxes to the total income tax expense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Years Ended July 31,</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42"/>
        </w:trPr>
        <w:tc>
          <w:tcPr>
            <w:tcW w:w="73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35.0%</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1.6%</w:t>
            </w:r>
          </w:p>
        </w:tc>
        <w:tc>
          <w:tcPr>
            <w:tcW w:w="1540" w:type="dxa"/>
            <w:vAlign w:val="bottom"/>
            <w:gridSpan w:val="4"/>
          </w:tcPr>
          <w:p>
            <w:pPr>
              <w:jc w:val="right"/>
              <w:ind w:right="11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980" w:type="dxa"/>
            <w:vAlign w:val="bottom"/>
            <w:gridSpan w:val="3"/>
          </w:tcPr>
          <w:p>
            <w:pPr>
              <w:jc w:val="right"/>
              <w:ind w:right="90"/>
              <w:spacing w:after="0"/>
              <w:rPr>
                <w:sz w:val="20"/>
                <w:szCs w:val="20"/>
                <w:color w:val="auto"/>
              </w:rPr>
            </w:pPr>
            <w:r>
              <w:rPr>
                <w:rFonts w:ascii="Arial" w:cs="Arial" w:eastAsia="Arial" w:hAnsi="Arial"/>
                <w:sz w:val="18"/>
                <w:szCs w:val="18"/>
                <w:color w:val="auto"/>
              </w:rPr>
              <w:t>1.6%</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differential</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5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(3.4)%</w:t>
            </w:r>
          </w:p>
        </w:tc>
        <w:tc>
          <w:tcPr>
            <w:tcW w:w="1540" w:type="dxa"/>
            <w:vAlign w:val="bottom"/>
            <w:gridSpan w:val="4"/>
          </w:tcPr>
          <w:p>
            <w:pPr>
              <w:jc w:val="right"/>
              <w:ind w:right="5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(2.7)%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tax accruals and reserves</w:t>
            </w: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(1.5)%</w:t>
            </w:r>
          </w:p>
        </w:tc>
        <w:tc>
          <w:tcPr>
            <w:tcW w:w="1540" w:type="dxa"/>
            <w:vAlign w:val="bottom"/>
            <w:gridSpan w:val="4"/>
          </w:tcPr>
          <w:p>
            <w:pPr>
              <w:jc w:val="right"/>
              <w:ind w:right="5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18"/>
                <w:szCs w:val="18"/>
                <w:color w:val="auto"/>
              </w:rPr>
            </w:pPr>
          </w:p>
        </w:tc>
        <w:tc>
          <w:tcPr>
            <w:tcW w:w="980" w:type="dxa"/>
            <w:vAlign w:val="bottom"/>
            <w:gridSpan w:val="3"/>
          </w:tcPr>
          <w:p>
            <w:pPr>
              <w:jc w:val="right"/>
              <w:ind w:right="30"/>
              <w:spacing w:after="0"/>
              <w:rPr>
                <w:sz w:val="20"/>
                <w:szCs w:val="20"/>
                <w:color w:val="auto"/>
              </w:rPr>
            </w:pPr>
            <w:r>
              <w:rPr>
                <w:rFonts w:ascii="Arial" w:cs="Arial" w:eastAsia="Arial" w:hAnsi="Arial"/>
                <w:sz w:val="18"/>
                <w:szCs w:val="18"/>
                <w:color w:val="auto"/>
              </w:rPr>
              <w:t>(0.5)%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27.9</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29.0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28.0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7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valuation allowance increased by $176 and $5,807 during the fiscal years ended July 31, 2009 and 2008, respectively. If realized or reversed in future periods, substantially all of the valuation allowance would impact the income tax rate.</w:t>
      </w:r>
    </w:p>
    <w:p>
      <w:pPr>
        <w:spacing w:after="0" w:line="62"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international rate differential for the year ended July 31, 2009 includes the recognition of $1,611 of tax expense related to the repayment of tax holidays due to the restructuring and consolidation of certain Asian operations. Favorable geographic mix of pre-tax earnings more than offset the increase in income tax accruals and the tax holiday repayment, resulting in a decrease in the effective tax rate from 29.0% for the year ended July 31, 2008 to 27.9% for the year ended July 31, 2009.</w:t>
      </w:r>
    </w:p>
    <w:p>
      <w:pPr>
        <w:spacing w:after="0" w:line="79"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Company is eligible for tax holidays on the earnings of certain subsidiaries in Asia, including China, India, Thailand, and the Philippines. The benefits realized as a result of these tax holidays reduced the consolidated effective tax rate by approximately 3.3%, 1.9%, and 1.5% during the years ended July 31, 2009, 2008, and 2007, respectively. These tax holidays are in the process of expiring and are anticipated to be fully exhausted by December 31, 2012.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Accounting Standards Board Interpretation No. 48, “Accounting for Uncertainty in Income Taxes” (“FIN 48”)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adopted FIN 48 on August 1, 2007. The adoption resulted in a $903 reduction to earnings retained in the business as of August 1, 2007.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Upon adoption of FIN 48, the Company also reclassified $15,907 from accrued income taxes to other liabilities in the Company’s consolidated balance sheets.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unrecognized tax benefits (excluding interest and penalties)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August 1, 2007 (date of adoption)</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$13,731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 (1)</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3,003</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 (1)</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(579)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(1,435)</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Settlements and effective settlements with tax authorities</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 and other</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717</w:t>
            </w: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Balance at July 31, 2008</w:t>
            </w:r>
          </w:p>
        </w:tc>
        <w:tc>
          <w:tcPr>
            <w:tcW w:w="3920" w:type="dxa"/>
            <w:vAlign w:val="bottom"/>
          </w:tcPr>
          <w:p>
            <w:pPr>
              <w:jc w:val="right"/>
              <w:ind w:right="250"/>
              <w:spacing w:after="0"/>
              <w:rPr>
                <w:sz w:val="20"/>
                <w:szCs w:val="20"/>
                <w:color w:val="auto"/>
              </w:rPr>
            </w:pPr>
            <w:r>
              <w:rPr>
                <w:rFonts w:ascii="Arial" w:cs="Arial" w:eastAsia="Arial" w:hAnsi="Arial"/>
                <w:sz w:val="18"/>
                <w:szCs w:val="18"/>
                <w:b w:val="1"/>
                <w:bCs w:val="1"/>
                <w:color w:val="auto"/>
              </w:rPr>
              <w:t>$16,017</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2,526</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Additions for tax positions of prior years (1)</w:t>
            </w:r>
          </w:p>
        </w:tc>
        <w:tc>
          <w:tcPr>
            <w:tcW w:w="3920" w:type="dxa"/>
            <w:vAlign w:val="bottom"/>
          </w:tcPr>
          <w:p>
            <w:pPr>
              <w:jc w:val="right"/>
              <w:ind w:right="250"/>
              <w:spacing w:after="0"/>
              <w:rPr>
                <w:sz w:val="20"/>
                <w:szCs w:val="20"/>
                <w:color w:val="auto"/>
              </w:rPr>
            </w:pPr>
            <w:r>
              <w:rPr>
                <w:rFonts w:ascii="Arial" w:cs="Arial" w:eastAsia="Arial" w:hAnsi="Arial"/>
                <w:sz w:val="18"/>
                <w:szCs w:val="18"/>
                <w:color w:val="auto"/>
              </w:rPr>
              <w:t>4,056</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3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(934)</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(944)</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effective settlements with tax authorities</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Cumulative Translation Adjustments and other</w:t>
            </w:r>
          </w:p>
        </w:tc>
        <w:tc>
          <w:tcPr>
            <w:tcW w:w="3920" w:type="dxa"/>
            <w:vAlign w:val="bottom"/>
          </w:tcPr>
          <w:p>
            <w:pPr>
              <w:jc w:val="right"/>
              <w:ind w:right="190"/>
              <w:spacing w:after="0"/>
              <w:rPr>
                <w:sz w:val="20"/>
                <w:szCs w:val="20"/>
                <w:color w:val="auto"/>
              </w:rPr>
            </w:pPr>
            <w:r>
              <w:rPr>
                <w:rFonts w:ascii="Arial" w:cs="Arial" w:eastAsia="Arial" w:hAnsi="Arial"/>
                <w:sz w:val="18"/>
                <w:szCs w:val="18"/>
                <w:color w:val="auto"/>
              </w:rPr>
              <w:t>(1,319)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31, 2009</w:t>
            </w:r>
          </w:p>
        </w:tc>
        <w:tc>
          <w:tcPr>
            <w:tcW w:w="3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acquisitions.</w:t>
      </w:r>
    </w:p>
    <w:p>
      <w:pPr>
        <w:spacing w:after="0" w:line="117"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Included in the balance of total unrecognized tax benefits (excluding interest and penalties) at July 31, 2009 and 2008 are potential benefits of approximately $19,117 and $10,952, respectively, that if recognized, would affect the Company’s effective income tax rate. The increase in the unrecognized tax benefits that would reverse through the Company’s effective tax rate is due to the pending adoption of SFAS No. 141(R), “Business Combinations.”</w:t>
      </w:r>
    </w:p>
    <w:p>
      <w:pPr>
        <w:spacing w:after="0" w:line="39"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Company is currently in the early stages of being audited by several taxing authorities including the U.S. Internal Revenue Service for the fiscal years ended July 31, 2006 and 2007. Although the timing of resolution or closure of audits are uncertain, it is reasonably possible that the balance of gross unrecognized tax benefits could change in the next 12 months. Given the number of years remaining subject to examination throughout the globe, the Company is unable to reasonably estimate the full range of possible adjustments to the balance of gross unrecognized tax benefits.</w:t>
      </w:r>
    </w:p>
    <w:p>
      <w:pPr>
        <w:spacing w:after="0" w:line="6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During all years presented, the Company recognized interest and penalties related to unrecognized tax benefits within the provision for income taxes on the consolidated statements of income. Therefore, no change was necessary upon adoption of FIN 48.</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the years ended July 31, 2009 and 2008, the Company recognized $427 and $96 of interest expense, respectively, and $414 and $208 of penalties, respectively, related to the reserve for uncertain tax positions, net of amounts reversing due to statute of limitations and settlements. At July 31, 2009 and 2008, the Company had $2,551 and $2,146, respectively, accrued for interest on unrecognized tax benefits. Penalties are accrued if the tax position does not meet the minimum statutory threshold to avoid the payment of a penalty. At July 31, 2009 and 2008, the Company had $776 and $384, respectively, accrued for penalties on unrecognized tax benefits.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foreign jurisdictions. The following table summarizes the open tax years for the Company’s major jurisdictions: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0" w:type="dxa"/>
            <w:vAlign w:val="bottom"/>
          </w:tcPr>
          <w:p>
            <w:pPr>
              <w:spacing w:after="0"/>
              <w:rPr>
                <w:sz w:val="20"/>
                <w:szCs w:val="20"/>
                <w:color w:val="auto"/>
              </w:rPr>
            </w:pPr>
            <w:r>
              <w:rPr>
                <w:rFonts w:ascii="Arial" w:cs="Arial" w:eastAsia="Arial" w:hAnsi="Arial"/>
                <w:sz w:val="14"/>
                <w:szCs w:val="14"/>
                <w:b w:val="1"/>
                <w:bCs w:val="1"/>
                <w:color w:val="auto"/>
              </w:rPr>
              <w:t>Jurisdiction</w:t>
            </w: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Open Tax Years</w:t>
            </w: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Federal</w:t>
            </w:r>
          </w:p>
        </w:tc>
        <w:tc>
          <w:tcPr>
            <w:tcW w:w="1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F’06 — F’09</w:t>
            </w: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France</w:t>
            </w:r>
          </w:p>
        </w:tc>
        <w:tc>
          <w:tcPr>
            <w:tcW w:w="1820" w:type="dxa"/>
            <w:vAlign w:val="bottom"/>
          </w:tcPr>
          <w:p>
            <w:pPr>
              <w:ind w:left="440"/>
              <w:spacing w:after="0"/>
              <w:rPr>
                <w:sz w:val="20"/>
                <w:szCs w:val="20"/>
                <w:color w:val="auto"/>
              </w:rPr>
            </w:pPr>
            <w:r>
              <w:rPr>
                <w:rFonts w:ascii="Arial" w:cs="Arial" w:eastAsia="Arial" w:hAnsi="Arial"/>
                <w:sz w:val="18"/>
                <w:szCs w:val="18"/>
                <w:color w:val="auto"/>
              </w:rPr>
              <w:t>F’06 — F’09</w:t>
            </w: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F’06 — F’09</w:t>
            </w: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United Kingdom</w:t>
            </w:r>
          </w:p>
        </w:tc>
        <w:tc>
          <w:tcPr>
            <w:tcW w:w="1820" w:type="dxa"/>
            <w:vAlign w:val="bottom"/>
          </w:tcPr>
          <w:p>
            <w:pPr>
              <w:ind w:left="440"/>
              <w:spacing w:after="0"/>
              <w:rPr>
                <w:sz w:val="20"/>
                <w:szCs w:val="20"/>
                <w:color w:val="auto"/>
              </w:rPr>
            </w:pPr>
            <w:r>
              <w:rPr>
                <w:rFonts w:ascii="Arial" w:cs="Arial" w:eastAsia="Arial" w:hAnsi="Arial"/>
                <w:sz w:val="18"/>
                <w:szCs w:val="18"/>
                <w:color w:val="auto"/>
              </w:rPr>
              <w:t>F’08 — F’09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117"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 The cumulative undistributed earnings of such subsidiaries at July 31, 2009 amounted to approximately $449,542.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Obligations</w:t>
      </w:r>
    </w:p>
    <w:p>
      <w:pPr>
        <w:spacing w:after="0" w:line="121"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Company has completed three private placements totaling $500 million in ten-year fixed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paid equal installments of $21.4 million in June 2008 and June 2009. In June 2009, the Company completed a cash tender offer to purchase approximately $65.8 million of its outstanding notes.</w:t>
      </w:r>
    </w:p>
    <w:p>
      <w:pPr>
        <w:spacing w:after="0" w:line="5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excluding all extraordinary non-cash items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2009, there were no outstanding borrowings under the credit facility.</w:t>
      </w:r>
    </w:p>
    <w:p>
      <w:pPr>
        <w:spacing w:after="0" w:line="70"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Company’s October 2006 revolving loan agreement requires the Company to maintain a ratio of debt to trailing twelve months EBITDA, as defined by the debt agreement, of not more than a 3.0 to 1.0 ratio. Additionally, the revolving loan agreement requires the Company’s trailing twelve months earnings before interest and taxes (“EBIT”) to interest expense of not less than a 3.0 to 1.0 ratio (interest expense coverage). The debt agreements also require the aggregate net book value of the assets sold or otherwise disposed of by the Company and its subsidiaries in all dispositions, as defined in the agreements, in any fiscal year of the Company not exceed 15% of consolidated tangible net worth. As of July 31, 2009, the Company was in compliance with the financial covenants of its debt and revolving loan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obligations consist of the following as of July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Various bank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Fixed debt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391,350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478,571</w:t>
            </w:r>
          </w:p>
        </w:tc>
        <w:tc>
          <w:tcPr>
            <w:tcW w:w="10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391,350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478,574</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(44,893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346,457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457,143</w:t>
            </w: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fair value of the Company’s long-term obligations approximates $412,678 at July 31, 2009. The fair value of the Company’s long-term obligations is estimated based on quoted market prices for similar issue and on the current rates offered for debt of similar maturities.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Maturities on long-term debt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Years Ending July 31,</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2011</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2013</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$ 391,350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gridSpan w:val="12"/>
            <w:vMerge w:val="restart"/>
          </w:tcPr>
          <w:p>
            <w:pPr>
              <w:ind w:left="200"/>
              <w:spacing w:after="0"/>
              <w:rPr>
                <w:sz w:val="20"/>
                <w:szCs w:val="20"/>
                <w:color w:val="auto"/>
              </w:rPr>
            </w:pPr>
            <w:r>
              <w:rPr>
                <w:rFonts w:ascii="Arial" w:cs="Arial" w:eastAsia="Arial" w:hAnsi="Arial"/>
                <w:sz w:val="18"/>
                <w:szCs w:val="18"/>
                <w:color w:val="auto"/>
                <w:w w:val="98"/>
              </w:rPr>
              <w:t>The Company had outstanding letters of credit of $1,674 and $1,959 at July 31, 2009 and 2008, respectively.</w:t>
            </w: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74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6. Stockholders’ Investment</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60" w:type="dxa"/>
            <w:vAlign w:val="bottom"/>
            <w:gridSpan w:val="10"/>
          </w:tcPr>
          <w:p>
            <w:pPr>
              <w:ind w:left="220"/>
              <w:spacing w:after="0"/>
              <w:rPr>
                <w:sz w:val="20"/>
                <w:szCs w:val="20"/>
                <w:color w:val="auto"/>
              </w:rPr>
            </w:pPr>
            <w:r>
              <w:rPr>
                <w:rFonts w:ascii="Arial" w:cs="Arial" w:eastAsia="Arial" w:hAnsi="Arial"/>
                <w:sz w:val="18"/>
                <w:szCs w:val="18"/>
                <w:color w:val="auto"/>
              </w:rPr>
              <w:t>Information as to the Company’s capital stock at July 31, 2009 and 2008 is as follows:</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July 31, 2009</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July 31, 2008</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0"/>
                <w:szCs w:val="10"/>
                <w:color w:val="auto"/>
              </w:rPr>
            </w:pPr>
          </w:p>
        </w:tc>
        <w:tc>
          <w:tcPr>
            <w:tcW w:w="12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(thousands)</w:t>
            </w:r>
          </w:p>
        </w:tc>
        <w:tc>
          <w:tcPr>
            <w:tcW w:w="560" w:type="dxa"/>
            <w:vAlign w:val="bottom"/>
          </w:tcPr>
          <w:p>
            <w:pPr>
              <w:spacing w:after="0"/>
              <w:rPr>
                <w:sz w:val="10"/>
                <w:szCs w:val="10"/>
                <w:color w:val="auto"/>
              </w:rPr>
            </w:pPr>
          </w:p>
        </w:tc>
        <w:tc>
          <w:tcPr>
            <w:tcW w:w="12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Shares</w:t>
            </w:r>
          </w:p>
        </w:tc>
        <w:tc>
          <w:tcPr>
            <w:tcW w:w="56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Authorized</w:t>
            </w:r>
          </w:p>
        </w:tc>
        <w:tc>
          <w:tcPr>
            <w:tcW w:w="3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Issued</w:t>
            </w:r>
          </w:p>
        </w:tc>
        <w:tc>
          <w:tcPr>
            <w:tcW w:w="56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$.01 par value</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Cumulative Preferred Stock:</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6% Cumulative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1972 Series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1979 Series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Common Stock, $.01 par value: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51,261,487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100,000,000</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51,261,487</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Class B Voting</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10,000,000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3,538,628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548</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63"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March 2008, the Company announced that the Board of Directors of the Company authorized a share repurchase plan for up to one million shares of the Company’s Class A Nonvoting Common Stock. The share repurchase plan was implemented by purchasing shares on the open market or in privately negotiated transactions, with repurchased shares available for use in connection with the Company’s stock-based plans and for other corporate purposes. As of July 31, 2008, there remained 650,864 shares to purchase in connection with this share repurchase plan. During the year ended July 31, 2009, the Company acquired 650,864 shares of its Class A Nonvoting Common Stock authorized for repurchase under this plan for $21,539. Share repurchases under this plan were completed in the quarter ended October 31, 2008.</w:t>
      </w:r>
    </w:p>
    <w:p>
      <w:pPr>
        <w:spacing w:after="0" w:line="70" w:lineRule="exact"/>
        <w:rPr>
          <w:sz w:val="20"/>
          <w:szCs w:val="20"/>
          <w:color w:val="auto"/>
        </w:rPr>
      </w:pPr>
    </w:p>
    <w:p>
      <w:pPr>
        <w:ind w:right="280" w:firstLine="225"/>
        <w:spacing w:after="0" w:line="297" w:lineRule="auto"/>
        <w:rPr>
          <w:sz w:val="20"/>
          <w:szCs w:val="20"/>
          <w:color w:val="auto"/>
        </w:rPr>
      </w:pPr>
      <w:r>
        <w:rPr>
          <w:rFonts w:ascii="Arial" w:cs="Arial" w:eastAsia="Arial" w:hAnsi="Arial"/>
          <w:sz w:val="16"/>
          <w:szCs w:val="16"/>
          <w:color w:val="auto"/>
        </w:rPr>
        <w:t>In September 2008, the Company announced that the Board of Directors of the Company authorized a share repurchase plan for up to one million additional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12 months ended July 31, 2009, the Company acquired 693,800 shares of its Class A Nonvoting Common Stock under this plan for $18,728. As of July 31, 2009, there remained 306,200 shares to purchase in connection with this share repurchase plan.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other activity in stockholders’ investment for the years ended July 31, 2009,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7"/>
              </w:rPr>
              <w:t>Deferred</w:t>
            </w: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Shares Held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Restricted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 Rabbi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Compensation</w:t>
            </w:r>
          </w:p>
        </w:tc>
        <w:tc>
          <w:tcPr>
            <w:tcW w:w="66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Trust, at cost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2006</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2006</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1,012,914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1,012,914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2007</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2007</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2008</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2008</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690,539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Balances at July 31, 2009</w:t>
            </w: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2009</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671,650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2009,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Company’s Class A Nonvoting Common Stock at the original cost of all the Company’s Class A Nonvoting Common Stock held in deferred compensation plans.</w:t>
      </w:r>
    </w:p>
    <w:p>
      <w:pPr>
        <w:spacing w:after="0" w:line="62"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the Company’s Class A Nonvoting Common Stock at the market price. As part of the Plan, Brady pays all brokerage fees for stock purchases and dividend reinvestments.</w:t>
      </w:r>
    </w:p>
    <w:p>
      <w:pPr>
        <w:spacing w:after="0" w:line="39"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2006 expire five years from the grant date. All other performance-based options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75"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As of July 31, 2009, the Company has reserved 4,296,875 shares of Class A Nonvoting Common Stock for outstanding stock options and restricted shares and 660,330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options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6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Option Price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2006</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$ 9.59 - $40.37</w:t>
            </w:r>
          </w:p>
        </w:tc>
        <w:tc>
          <w:tcPr>
            <w:tcW w:w="740" w:type="dxa"/>
            <w:vAlign w:val="bottom"/>
            <w:gridSpan w:val="2"/>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3,815,052</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32.93</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- 38.19</w:t>
            </w:r>
          </w:p>
        </w:tc>
        <w:tc>
          <w:tcPr>
            <w:tcW w:w="178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908,000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- 28.84</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(397,682)</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Options cancelled</w:t>
            </w:r>
          </w:p>
        </w:tc>
        <w:tc>
          <w:tcPr>
            <w:tcW w:w="820" w:type="dxa"/>
            <w:vAlign w:val="bottom"/>
          </w:tcPr>
          <w:p>
            <w:pPr>
              <w:jc w:val="right"/>
              <w:spacing w:after="0"/>
              <w:rPr>
                <w:sz w:val="20"/>
                <w:szCs w:val="20"/>
                <w:color w:val="auto"/>
              </w:rPr>
            </w:pPr>
            <w:r>
              <w:rPr>
                <w:rFonts w:ascii="Arial" w:cs="Arial" w:eastAsia="Arial" w:hAnsi="Arial"/>
                <w:sz w:val="18"/>
                <w:szCs w:val="18"/>
                <w:color w:val="auto"/>
              </w:rPr>
              <w:t>16.00</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89"/>
              </w:rPr>
              <w:t>- 40.37</w:t>
            </w:r>
          </w:p>
        </w:tc>
        <w:tc>
          <w:tcPr>
            <w:tcW w:w="74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(142,631)</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2007</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$ 9.59 - $40.37</w:t>
            </w:r>
          </w:p>
        </w:tc>
        <w:tc>
          <w:tcPr>
            <w:tcW w:w="7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4,182,739</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35.10</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- 38.31</w:t>
            </w:r>
          </w:p>
        </w:tc>
        <w:tc>
          <w:tcPr>
            <w:tcW w:w="178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977,500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- 38.19</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(763,708)</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Options cancelled</w:t>
            </w:r>
          </w:p>
        </w:tc>
        <w:tc>
          <w:tcPr>
            <w:tcW w:w="820" w:type="dxa"/>
            <w:vAlign w:val="bottom"/>
          </w:tcPr>
          <w:p>
            <w:pPr>
              <w:jc w:val="right"/>
              <w:spacing w:after="0"/>
              <w:rPr>
                <w:sz w:val="20"/>
                <w:szCs w:val="20"/>
                <w:color w:val="auto"/>
              </w:rPr>
            </w:pPr>
            <w:r>
              <w:rPr>
                <w:rFonts w:ascii="Arial" w:cs="Arial" w:eastAsia="Arial" w:hAnsi="Arial"/>
                <w:sz w:val="18"/>
                <w:szCs w:val="18"/>
                <w:color w:val="auto"/>
              </w:rPr>
              <w:t>14.16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89"/>
              </w:rPr>
              <w:t>- 30.37</w:t>
            </w:r>
          </w:p>
        </w:tc>
        <w:tc>
          <w:tcPr>
            <w:tcW w:w="74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(411,326)</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2008</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$ 9.59 - $40.37</w:t>
            </w:r>
          </w:p>
        </w:tc>
        <w:tc>
          <w:tcPr>
            <w:tcW w:w="7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3,985,205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17.23</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w w:val="89"/>
              </w:rPr>
              <w:t>- 35.42</w:t>
            </w:r>
          </w:p>
        </w:tc>
        <w:tc>
          <w:tcPr>
            <w:tcW w:w="1780" w:type="dxa"/>
            <w:vAlign w:val="bottom"/>
            <w:gridSpan w:val="4"/>
          </w:tcPr>
          <w:p>
            <w:pPr>
              <w:spacing w:after="0" w:line="20" w:lineRule="exact"/>
              <w:rPr>
                <w:sz w:val="1"/>
                <w:szCs w:val="1"/>
                <w:color w:val="auto"/>
              </w:rPr>
            </w:pPr>
          </w:p>
        </w:tc>
        <w:tc>
          <w:tcPr>
            <w:tcW w:w="152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gridSpan w:val="2"/>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614,000</w:t>
            </w:r>
          </w:p>
        </w:tc>
        <w:tc>
          <w:tcPr>
            <w:tcW w:w="3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- 38.19</w:t>
            </w:r>
          </w:p>
        </w:tc>
        <w:tc>
          <w:tcPr>
            <w:tcW w:w="1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(138,934)</w:t>
            </w: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Options cancelled</w:t>
            </w:r>
          </w:p>
        </w:tc>
        <w:tc>
          <w:tcPr>
            <w:tcW w:w="820" w:type="dxa"/>
            <w:vAlign w:val="bottom"/>
          </w:tcPr>
          <w:p>
            <w:pPr>
              <w:jc w:val="right"/>
              <w:spacing w:after="0"/>
              <w:rPr>
                <w:sz w:val="20"/>
                <w:szCs w:val="20"/>
                <w:color w:val="auto"/>
              </w:rPr>
            </w:pPr>
            <w:r>
              <w:rPr>
                <w:rFonts w:ascii="Arial" w:cs="Arial" w:eastAsia="Arial" w:hAnsi="Arial"/>
                <w:sz w:val="18"/>
                <w:szCs w:val="18"/>
                <w:color w:val="auto"/>
              </w:rPr>
              <w:t>20.95</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89"/>
              </w:rPr>
              <w:t>- 38.31</w:t>
            </w:r>
          </w:p>
        </w:tc>
        <w:tc>
          <w:tcPr>
            <w:tcW w:w="740" w:type="dxa"/>
            <w:vAlign w:val="bottom"/>
            <w:gridSpan w:val="2"/>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(479,665)</w:t>
            </w:r>
          </w:p>
        </w:tc>
        <w:tc>
          <w:tcPr>
            <w:tcW w:w="1520" w:type="dxa"/>
            <w:vAlign w:val="bottom"/>
            <w:gridSpan w:val="2"/>
          </w:tcPr>
          <w:p>
            <w:pPr>
              <w:jc w:val="right"/>
              <w:ind w:right="248"/>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2009</w:t>
            </w: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$13.31 - $40.37</w:t>
            </w:r>
          </w:p>
        </w:tc>
        <w:tc>
          <w:tcPr>
            <w:tcW w:w="7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3,980,606</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firstLine="222"/>
        <w:spacing w:after="0" w:line="342" w:lineRule="auto"/>
        <w:rPr>
          <w:sz w:val="20"/>
          <w:szCs w:val="20"/>
          <w:color w:val="auto"/>
        </w:rPr>
      </w:pPr>
      <w:r>
        <w:rPr>
          <w:rFonts w:ascii="Arial" w:cs="Arial" w:eastAsia="Arial" w:hAnsi="Arial"/>
          <w:sz w:val="16"/>
          <w:szCs w:val="16"/>
          <w:color w:val="auto"/>
        </w:rPr>
        <w:t>The total fair value of options vested during the fiscal years ended July 31, 2009, 2008 and 2007 was $6,559, $8,626 and $4,687, respectively. The total intrinsic value of options exercised during the fiscal years ended July 31, 2009, 2008 and 2007 was $2,156, $14,479, and $8,272, respectively.</w:t>
      </w:r>
    </w:p>
    <w:p>
      <w:pPr>
        <w:spacing w:after="0" w:line="1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There were 2,831,311, 2,399,742, and 2,300,239 options exercisable with a weighted average exercise price of $27.46, $24.42 and $21.07 at July 31, 2009, 2008 and 2007, respectively. The cash received from the exercise of options during the fiscal years ended July 31, 2009, 2008, and 2007 was $1,683, $14,500, and $6,829, respectively. The cash received from the tax benefit on options exercised during the fiscal years ended July 31, 2009, 2008, and 2007 was $779, $4,185, and $1,492,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July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489"/>
              <w:spacing w:after="0"/>
              <w:rPr>
                <w:sz w:val="20"/>
                <w:szCs w:val="20"/>
                <w:color w:val="auto"/>
              </w:rPr>
            </w:pPr>
            <w:r>
              <w:rPr>
                <w:rFonts w:ascii="Arial" w:cs="Arial" w:eastAsia="Arial" w:hAnsi="Arial"/>
                <w:sz w:val="14"/>
                <w:szCs w:val="14"/>
                <w:b w:val="1"/>
                <w:bCs w:val="1"/>
                <w:color w:val="auto"/>
              </w:rPr>
              <w:t>Options Outstanding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09"/>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40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4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Range of</w:t>
            </w:r>
          </w:p>
        </w:tc>
        <w:tc>
          <w:tcPr>
            <w:tcW w:w="150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15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 July 31,</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Exercise Prices</w:t>
            </w:r>
          </w:p>
        </w:tc>
        <w:tc>
          <w:tcPr>
            <w:tcW w:w="420" w:type="dxa"/>
            <w:vAlign w:val="bottom"/>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July 31, 2009</w:t>
            </w:r>
          </w:p>
        </w:tc>
        <w:tc>
          <w:tcPr>
            <w:tcW w:w="4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$14.99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291,800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87"/>
              </w:rPr>
              <w:t>2.8</w:t>
            </w:r>
          </w:p>
        </w:tc>
        <w:tc>
          <w:tcPr>
            <w:tcW w:w="14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$13.58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291,800</w:t>
            </w:r>
          </w:p>
        </w:tc>
        <w:tc>
          <w:tcPr>
            <w:tcW w:w="1700" w:type="dxa"/>
            <w:vAlign w:val="bottom"/>
            <w:gridSpan w:val="3"/>
            <w:shd w:val="clear" w:color="auto" w:fill="CCEEFF"/>
          </w:tcPr>
          <w:p>
            <w:pPr>
              <w:jc w:val="right"/>
              <w:ind w:right="249"/>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$15.00 to $29.99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1,875,469</w:t>
            </w:r>
          </w:p>
        </w:tc>
        <w:tc>
          <w:tcPr>
            <w:tcW w:w="360" w:type="dxa"/>
            <w:vAlign w:val="bottom"/>
          </w:tcPr>
          <w:p>
            <w:pPr>
              <w:spacing w:after="0"/>
              <w:rPr>
                <w:sz w:val="18"/>
                <w:szCs w:val="18"/>
                <w:color w:val="auto"/>
              </w:rPr>
            </w:pPr>
          </w:p>
        </w:tc>
        <w:tc>
          <w:tcPr>
            <w:tcW w:w="1520" w:type="dxa"/>
            <w:vAlign w:val="bottom"/>
            <w:gridSpan w:val="2"/>
          </w:tcPr>
          <w:p>
            <w:pPr>
              <w:jc w:val="center"/>
              <w:ind w:left="334"/>
              <w:spacing w:after="0"/>
              <w:rPr>
                <w:sz w:val="20"/>
                <w:szCs w:val="20"/>
                <w:color w:val="auto"/>
              </w:rPr>
            </w:pPr>
            <w:r>
              <w:rPr>
                <w:rFonts w:ascii="Arial" w:cs="Arial" w:eastAsia="Arial" w:hAnsi="Arial"/>
                <w:sz w:val="18"/>
                <w:szCs w:val="18"/>
                <w:color w:val="auto"/>
                <w:w w:val="87"/>
              </w:rPr>
              <w:t>5.8</w:t>
            </w:r>
          </w:p>
        </w:tc>
        <w:tc>
          <w:tcPr>
            <w:tcW w:w="1460" w:type="dxa"/>
            <w:vAlign w:val="bottom"/>
            <w:gridSpan w:val="2"/>
          </w:tcPr>
          <w:p>
            <w:pPr>
              <w:jc w:val="right"/>
              <w:ind w:right="249"/>
              <w:spacing w:after="0"/>
              <w:rPr>
                <w:sz w:val="20"/>
                <w:szCs w:val="20"/>
                <w:color w:val="auto"/>
              </w:rPr>
            </w:pPr>
            <w:r>
              <w:rPr>
                <w:rFonts w:ascii="Arial" w:cs="Arial" w:eastAsia="Arial" w:hAnsi="Arial"/>
                <w:sz w:val="18"/>
                <w:szCs w:val="18"/>
                <w:color w:val="auto"/>
              </w:rPr>
              <w:t>21.26</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1,285,469</w:t>
            </w:r>
          </w:p>
        </w:tc>
        <w:tc>
          <w:tcPr>
            <w:tcW w:w="1700" w:type="dxa"/>
            <w:vAlign w:val="bottom"/>
            <w:gridSpan w:val="3"/>
          </w:tcPr>
          <w:p>
            <w:pPr>
              <w:jc w:val="right"/>
              <w:ind w:right="249"/>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and up</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1,813,337</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34"/>
              <w:spacing w:after="0"/>
              <w:rPr>
                <w:sz w:val="20"/>
                <w:szCs w:val="20"/>
                <w:color w:val="auto"/>
              </w:rPr>
            </w:pPr>
            <w:r>
              <w:rPr>
                <w:rFonts w:ascii="Arial" w:cs="Arial" w:eastAsia="Arial" w:hAnsi="Arial"/>
                <w:sz w:val="18"/>
                <w:szCs w:val="18"/>
                <w:color w:val="auto"/>
                <w:w w:val="87"/>
              </w:rPr>
              <w:t>6.4</w:t>
            </w:r>
          </w:p>
        </w:tc>
        <w:tc>
          <w:tcPr>
            <w:tcW w:w="14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37.20</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1,254,042</w:t>
            </w:r>
          </w:p>
        </w:tc>
        <w:tc>
          <w:tcPr>
            <w:tcW w:w="1700" w:type="dxa"/>
            <w:vAlign w:val="bottom"/>
            <w:gridSpan w:val="3"/>
            <w:shd w:val="clear" w:color="auto" w:fill="CCEEFF"/>
          </w:tcPr>
          <w:p>
            <w:pPr>
              <w:jc w:val="right"/>
              <w:ind w:right="249"/>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3,980,606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center"/>
              <w:ind w:left="334"/>
              <w:spacing w:after="0"/>
              <w:rPr>
                <w:sz w:val="20"/>
                <w:szCs w:val="20"/>
                <w:color w:val="auto"/>
              </w:rPr>
            </w:pPr>
            <w:r>
              <w:rPr>
                <w:rFonts w:ascii="Arial" w:cs="Arial" w:eastAsia="Arial" w:hAnsi="Arial"/>
                <w:sz w:val="18"/>
                <w:szCs w:val="18"/>
                <w:color w:val="auto"/>
                <w:w w:val="87"/>
              </w:rPr>
              <w:t>5.8</w:t>
            </w:r>
          </w:p>
        </w:tc>
        <w:tc>
          <w:tcPr>
            <w:tcW w:w="1460" w:type="dxa"/>
            <w:vAlign w:val="bottom"/>
            <w:gridSpan w:val="2"/>
          </w:tcPr>
          <w:p>
            <w:pPr>
              <w:jc w:val="right"/>
              <w:ind w:right="249"/>
              <w:spacing w:after="0"/>
              <w:rPr>
                <w:sz w:val="20"/>
                <w:szCs w:val="20"/>
                <w:color w:val="auto"/>
              </w:rPr>
            </w:pPr>
            <w:r>
              <w:rPr>
                <w:rFonts w:ascii="Arial" w:cs="Arial" w:eastAsia="Arial" w:hAnsi="Arial"/>
                <w:sz w:val="18"/>
                <w:szCs w:val="18"/>
                <w:color w:val="auto"/>
              </w:rPr>
              <w:t>27.96</w:t>
            </w:r>
          </w:p>
        </w:tc>
        <w:tc>
          <w:tcPr>
            <w:tcW w:w="66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2,831,311</w:t>
            </w:r>
          </w:p>
        </w:tc>
        <w:tc>
          <w:tcPr>
            <w:tcW w:w="1700" w:type="dxa"/>
            <w:vAlign w:val="bottom"/>
            <w:gridSpan w:val="3"/>
          </w:tcPr>
          <w:p>
            <w:pPr>
              <w:jc w:val="right"/>
              <w:ind w:right="249"/>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264" w:lineRule="auto"/>
        <w:rPr>
          <w:sz w:val="20"/>
          <w:szCs w:val="20"/>
          <w:color w:val="auto"/>
        </w:rPr>
      </w:pPr>
      <w:r>
        <w:rPr>
          <w:rFonts w:ascii="Arial" w:cs="Arial" w:eastAsia="Arial" w:hAnsi="Arial"/>
          <w:sz w:val="18"/>
          <w:szCs w:val="18"/>
          <w:color w:val="auto"/>
        </w:rPr>
        <w:t>As of July 31, 2009, the aggregate intrinsic value of the number of options outstanding and the number of options outstanding and exercisable was $20,017 and $14,965, respectively. The Company granted 210,000 performance-based restricted shares during fiscal 2008, with a grant price and fair value of $32.83. As of July 31, 2009, 210,000 performance-based restricted shares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acquisitions, and long-term lines of business. Segment profit or loss does not include certain administrative costs, interest, foreign exchange gain or loss, other expenses not allocated to a segment, and income taxes. The accounting policies of the reportable segments are the same as those described in the summary of significant accounting policies.</w:t>
      </w:r>
    </w:p>
    <w:p>
      <w:pPr>
        <w:spacing w:after="0" w:line="80" w:lineRule="exact"/>
        <w:rPr>
          <w:sz w:val="20"/>
          <w:szCs w:val="20"/>
          <w:color w:val="auto"/>
        </w:rPr>
      </w:pPr>
    </w:p>
    <w:p>
      <w:pPr>
        <w:ind w:right="10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In applying the criteria set forth in SFAS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changed the number of reporting segments from four to three during the fourth quarter of fiscal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90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Asia-Pacific</w:t>
            </w:r>
          </w:p>
        </w:tc>
        <w:tc>
          <w:tcPr>
            <w:tcW w:w="340" w:type="dxa"/>
            <w:vAlign w:val="bottom"/>
          </w:tcPr>
          <w:p>
            <w:pPr>
              <w:spacing w:after="0"/>
              <w:rPr>
                <w:sz w:val="12"/>
                <w:szCs w:val="12"/>
                <w:color w:val="auto"/>
              </w:rPr>
            </w:pPr>
          </w:p>
        </w:tc>
        <w:tc>
          <w:tcPr>
            <w:tcW w:w="104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Total Region</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and</w:t>
            </w:r>
          </w:p>
        </w:tc>
        <w:tc>
          <w:tcPr>
            <w:tcW w:w="12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2"/>
              </w:rPr>
              <w:t>Total Company</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3"/>
              </w:rPr>
              <w:t>Eliminations</w:t>
            </w: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2009:</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Revenues from external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customers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$534,440</w:t>
            </w:r>
          </w:p>
        </w:tc>
        <w:tc>
          <w:tcPr>
            <w:tcW w:w="1320" w:type="dxa"/>
            <w:vAlign w:val="bottom"/>
            <w:gridSpan w:val="7"/>
          </w:tcPr>
          <w:p>
            <w:pPr>
              <w:jc w:val="right"/>
              <w:spacing w:after="0"/>
              <w:rPr>
                <w:sz w:val="20"/>
                <w:szCs w:val="20"/>
                <w:color w:val="auto"/>
              </w:rPr>
            </w:pPr>
            <w:r>
              <w:rPr>
                <w:rFonts w:ascii="Arial" w:cs="Arial" w:eastAsia="Arial" w:hAnsi="Arial"/>
                <w:sz w:val="18"/>
                <w:szCs w:val="18"/>
                <w:color w:val="auto"/>
              </w:rPr>
              <w:t>$367,156</w:t>
            </w:r>
          </w:p>
        </w:tc>
        <w:tc>
          <w:tcPr>
            <w:tcW w:w="1560" w:type="dxa"/>
            <w:vAlign w:val="bottom"/>
            <w:gridSpan w:val="5"/>
          </w:tcPr>
          <w:p>
            <w:pPr>
              <w:jc w:val="right"/>
              <w:ind w:right="130"/>
              <w:spacing w:after="0"/>
              <w:rPr>
                <w:sz w:val="20"/>
                <w:szCs w:val="20"/>
                <w:color w:val="auto"/>
              </w:rPr>
            </w:pPr>
            <w:r>
              <w:rPr>
                <w:rFonts w:ascii="Arial" w:cs="Arial" w:eastAsia="Arial" w:hAnsi="Arial"/>
                <w:sz w:val="18"/>
                <w:szCs w:val="18"/>
                <w:color w:val="auto"/>
              </w:rPr>
              <w:t>$307,106</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$1,208,702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5"/>
          </w:tcPr>
          <w:p>
            <w:pPr>
              <w:jc w:val="right"/>
              <w:ind w:right="9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w w:val="93"/>
              </w:rPr>
              <w:t>$1,208,702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18,534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68,697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 (68,697)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amortization expense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8,467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15,957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46,446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8,405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54,851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profit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114,404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99,875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42,575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256,854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248,902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703,559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298,717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341,605</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1,343,881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239,386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1,583,267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Expenditures for property,</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plant and equipment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5,848</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17,596</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6,431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24,027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Year ended July 31, 2008: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Revenues from external</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$667,106</w:t>
            </w:r>
          </w:p>
        </w:tc>
        <w:tc>
          <w:tcPr>
            <w:tcW w:w="13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$496,715</w:t>
            </w:r>
          </w:p>
        </w:tc>
        <w:tc>
          <w:tcPr>
            <w:tcW w:w="15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$359,195</w:t>
            </w:r>
          </w:p>
        </w:tc>
        <w:tc>
          <w:tcPr>
            <w:tcW w:w="13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$1,523,016</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5"/>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w w:val="93"/>
              </w:rPr>
              <w:t>$1,523,016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Intersegment revenues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54,677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25,995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89,183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 (89,183)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expense</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15,482</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51,510</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9,077</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60,587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Segment profit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157,523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135,426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58,234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351,183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(9,048)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342,135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755,770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396,058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89"/>
              </w:rPr>
              <w:t>397,531</w:t>
            </w:r>
          </w:p>
        </w:tc>
        <w:tc>
          <w:tcPr>
            <w:tcW w:w="13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1,549,359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301,154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1,850,513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Expenditures for property,</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plant and equipment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4,714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5,269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17,518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8,889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26,407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Revenues from external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customers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$609,855</w:t>
            </w:r>
          </w:p>
        </w:tc>
        <w:tc>
          <w:tcPr>
            <w:tcW w:w="1320" w:type="dxa"/>
            <w:vAlign w:val="bottom"/>
            <w:gridSpan w:val="7"/>
          </w:tcPr>
          <w:p>
            <w:pPr>
              <w:jc w:val="right"/>
              <w:spacing w:after="0"/>
              <w:rPr>
                <w:sz w:val="20"/>
                <w:szCs w:val="20"/>
                <w:color w:val="auto"/>
              </w:rPr>
            </w:pPr>
            <w:r>
              <w:rPr>
                <w:rFonts w:ascii="Arial" w:cs="Arial" w:eastAsia="Arial" w:hAnsi="Arial"/>
                <w:sz w:val="18"/>
                <w:szCs w:val="18"/>
                <w:color w:val="auto"/>
              </w:rPr>
              <w:t>$416,514</w:t>
            </w:r>
          </w:p>
        </w:tc>
        <w:tc>
          <w:tcPr>
            <w:tcW w:w="1560" w:type="dxa"/>
            <w:vAlign w:val="bottom"/>
            <w:gridSpan w:val="5"/>
          </w:tcPr>
          <w:p>
            <w:pPr>
              <w:jc w:val="right"/>
              <w:ind w:right="130"/>
              <w:spacing w:after="0"/>
              <w:rPr>
                <w:sz w:val="20"/>
                <w:szCs w:val="20"/>
                <w:color w:val="auto"/>
              </w:rPr>
            </w:pPr>
            <w:r>
              <w:rPr>
                <w:rFonts w:ascii="Arial" w:cs="Arial" w:eastAsia="Arial" w:hAnsi="Arial"/>
                <w:sz w:val="18"/>
                <w:szCs w:val="18"/>
                <w:color w:val="auto"/>
              </w:rPr>
              <w:t>$336,262</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$1,362,631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5"/>
          </w:tcPr>
          <w:p>
            <w:pPr>
              <w:jc w:val="right"/>
              <w:ind w:right="9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w w:val="93"/>
              </w:rPr>
              <w:t>$1,362,631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23,554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82,660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 (82,660)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4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20"/>
              <w:spacing w:after="0"/>
              <w:rPr>
                <w:sz w:val="20"/>
                <w:szCs w:val="20"/>
                <w:color w:val="auto"/>
              </w:rPr>
            </w:pPr>
            <w:r>
              <w:rPr>
                <w:rFonts w:ascii="Arial" w:cs="Arial" w:eastAsia="Arial" w:hAnsi="Arial"/>
                <w:sz w:val="18"/>
                <w:szCs w:val="18"/>
                <w:color w:val="auto"/>
              </w:rPr>
              <w:t>amortization expense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23,643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8,363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16,913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48,919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4,937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53,856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profit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144,583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107,552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57,236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309,371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298,886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781,868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347,827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w w:val="89"/>
              </w:rPr>
              <w:t>376,645</w:t>
            </w:r>
          </w:p>
        </w:tc>
        <w:tc>
          <w:tcPr>
            <w:tcW w:w="1380" w:type="dxa"/>
            <w:vAlign w:val="bottom"/>
            <w:gridSpan w:val="6"/>
          </w:tcPr>
          <w:p>
            <w:pPr>
              <w:jc w:val="right"/>
              <w:ind w:right="80"/>
              <w:spacing w:after="0"/>
              <w:rPr>
                <w:sz w:val="20"/>
                <w:szCs w:val="20"/>
                <w:color w:val="auto"/>
              </w:rPr>
            </w:pPr>
            <w:r>
              <w:rPr>
                <w:rFonts w:ascii="Arial" w:cs="Arial" w:eastAsia="Arial" w:hAnsi="Arial"/>
                <w:sz w:val="18"/>
                <w:szCs w:val="18"/>
                <w:color w:val="auto"/>
              </w:rPr>
              <w:t>1,506,340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192,517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210"/>
              <w:spacing w:after="0"/>
              <w:rPr>
                <w:sz w:val="20"/>
                <w:szCs w:val="20"/>
                <w:color w:val="auto"/>
              </w:rPr>
            </w:pPr>
            <w:r>
              <w:rPr>
                <w:rFonts w:ascii="Arial" w:cs="Arial" w:eastAsia="Arial" w:hAnsi="Arial"/>
                <w:sz w:val="18"/>
                <w:szCs w:val="18"/>
                <w:color w:val="auto"/>
              </w:rPr>
              <w:t>1,698,857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Expenditures for property,</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plant and equipment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15,301</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40,984</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10,956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51,940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July 31,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160" w:type="dxa"/>
            <w:vAlign w:val="bottom"/>
            <w:gridSpan w:val="3"/>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income reconciliation: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3"/>
              </w:rPr>
              <w:t>Total profit for reportable segments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$ 256,854</w:t>
            </w:r>
          </w:p>
        </w:tc>
        <w:tc>
          <w:tcPr>
            <w:tcW w:w="80" w:type="dxa"/>
            <w:vAlign w:val="bottom"/>
          </w:tcPr>
          <w:p>
            <w:pPr>
              <w:spacing w:after="0"/>
              <w:rPr>
                <w:sz w:val="18"/>
                <w:szCs w:val="18"/>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$ 351,183</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$ 309,371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eliminations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(7,952)</w:t>
            </w:r>
          </w:p>
        </w:tc>
        <w:tc>
          <w:tcPr>
            <w:tcW w:w="1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(9,048)</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Unallocated amounts: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costs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8"/>
              </w:rPr>
              <w:t>(102,680)</w:t>
            </w:r>
          </w:p>
        </w:tc>
        <w:tc>
          <w:tcPr>
            <w:tcW w:w="16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(134,451)</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(126,899)</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Restructuring costs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(25,849)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Investment and other income — net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4,888</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(24,901)</w:t>
            </w:r>
          </w:p>
        </w:tc>
        <w:tc>
          <w:tcPr>
            <w:tcW w:w="1640" w:type="dxa"/>
            <w:vAlign w:val="bottom"/>
            <w:gridSpan w:val="5"/>
          </w:tcPr>
          <w:p>
            <w:pPr>
              <w:jc w:val="right"/>
              <w:ind w:right="220"/>
              <w:spacing w:after="0"/>
              <w:rPr>
                <w:sz w:val="20"/>
                <w:szCs w:val="20"/>
                <w:color w:val="auto"/>
              </w:rPr>
            </w:pPr>
            <w:r>
              <w:rPr>
                <w:rFonts w:ascii="Arial" w:cs="Arial" w:eastAsia="Arial" w:hAnsi="Arial"/>
                <w:sz w:val="18"/>
                <w:szCs w:val="18"/>
                <w:color w:val="auto"/>
              </w:rPr>
              <w:t>(26,385)</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97,272</w:t>
            </w: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186,187</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151,928</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(27,150)</w:t>
            </w:r>
          </w:p>
        </w:tc>
        <w:tc>
          <w:tcPr>
            <w:tcW w:w="1640" w:type="dxa"/>
            <w:vAlign w:val="bottom"/>
            <w:gridSpan w:val="5"/>
          </w:tcPr>
          <w:p>
            <w:pPr>
              <w:jc w:val="right"/>
              <w:ind w:right="220"/>
              <w:spacing w:after="0"/>
              <w:rPr>
                <w:sz w:val="20"/>
                <w:szCs w:val="20"/>
                <w:color w:val="auto"/>
              </w:rPr>
            </w:pPr>
            <w:r>
              <w:rPr>
                <w:rFonts w:ascii="Arial" w:cs="Arial" w:eastAsia="Arial" w:hAnsi="Arial"/>
                <w:sz w:val="18"/>
                <w:szCs w:val="18"/>
                <w:color w:val="auto"/>
              </w:rPr>
              <w:t>(53,999)</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70,122</w:t>
            </w: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$ 132,188</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$ 109,388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9"/>
              </w:rPr>
              <w:t>Revenues*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left="154"/>
              <w:spacing w:after="0"/>
              <w:rPr>
                <w:sz w:val="20"/>
                <w:szCs w:val="20"/>
                <w:color w:val="auto"/>
              </w:rPr>
            </w:pPr>
            <w:r>
              <w:rPr>
                <w:rFonts w:ascii="Arial" w:cs="Arial" w:eastAsia="Arial" w:hAnsi="Arial"/>
                <w:sz w:val="14"/>
                <w:szCs w:val="14"/>
                <w:b w:val="1"/>
                <w:bCs w:val="1"/>
                <w:color w:val="auto"/>
                <w:w w:val="93"/>
              </w:rPr>
              <w:t>Long-Lived Assets**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7"/>
          </w:tcPr>
          <w:p>
            <w:pPr>
              <w:jc w:val="center"/>
              <w:ind w:right="210"/>
              <w:spacing w:after="0"/>
              <w:rPr>
                <w:sz w:val="20"/>
                <w:szCs w:val="20"/>
                <w:color w:val="auto"/>
              </w:rPr>
            </w:pPr>
            <w:r>
              <w:rPr>
                <w:rFonts w:ascii="Arial" w:cs="Arial" w:eastAsia="Arial" w:hAnsi="Arial"/>
                <w:sz w:val="14"/>
                <w:szCs w:val="14"/>
                <w:b w:val="1"/>
                <w:bCs w:val="1"/>
                <w:color w:val="auto"/>
                <w:w w:val="91"/>
              </w:rPr>
              <w:t>Years Ended July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w w:val="91"/>
              </w:rPr>
              <w:t>As of Years Ended July 31,</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center"/>
              <w:ind w:left="34"/>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left="434"/>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Geographic information: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510,703</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622,618</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589,013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519,932</w:t>
            </w:r>
          </w:p>
        </w:tc>
        <w:tc>
          <w:tcPr>
            <w:tcW w:w="80" w:type="dxa"/>
            <w:vAlign w:val="bottom"/>
          </w:tcPr>
          <w:p>
            <w:pPr>
              <w:spacing w:after="0"/>
              <w:rPr>
                <w:sz w:val="18"/>
                <w:szCs w:val="18"/>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  532,273</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  537,182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China</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199,893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192,048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184,413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123,078</w:t>
            </w: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131,810</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121,181</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566,589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794,036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671,865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375,905</w:t>
            </w:r>
          </w:p>
        </w:tc>
        <w:tc>
          <w:tcPr>
            <w:tcW w:w="80" w:type="dxa"/>
            <w:vAlign w:val="bottom"/>
          </w:tcPr>
          <w:p>
            <w:pPr>
              <w:spacing w:after="0"/>
              <w:rPr>
                <w:sz w:val="18"/>
                <w:szCs w:val="18"/>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8"/>
                <w:szCs w:val="18"/>
                <w:color w:val="auto"/>
              </w:rPr>
              <w:t>440,021</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403,462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(85,686)</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(82,660)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Pr>
          <w:p>
            <w:pPr>
              <w:ind w:left="420"/>
              <w:spacing w:after="0"/>
              <w:rPr>
                <w:sz w:val="20"/>
                <w:szCs w:val="20"/>
                <w:color w:val="auto"/>
              </w:rPr>
            </w:pPr>
            <w:r>
              <w:rPr>
                <w:rFonts w:ascii="Arial" w:cs="Arial" w:eastAsia="Arial" w:hAnsi="Arial"/>
                <w:sz w:val="18"/>
                <w:szCs w:val="18"/>
                <w:color w:val="auto"/>
              </w:rPr>
              <w:t>Consolidated total</w:t>
            </w: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$ 1,208,702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$ 1,523,016</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$ 1,362,631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4"/>
              </w:rPr>
              <w:t>$ 1,018,915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$ 1,104,104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$ 1,061,825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7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other intangible assets and goodwill.</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Common Share</w:t>
      </w:r>
    </w:p>
    <w:p>
      <w:pPr>
        <w:spacing w:after="0" w:line="121"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Net income per Common Share is computed by dividing net income (after deducting the applicable preferential Class A Common Stock dividends) by the weighted average Common Shares outstanding of 52,558,657 for 2009, 54,167,746 for 2008, and 53,906,769 for 2007. The preferential dividend on the Class A Common Stock of $.01665 per share has been added to the net income per Class A Common Share for all years presented.</w:t>
      </w:r>
    </w:p>
    <w:p>
      <w:pPr>
        <w:spacing w:after="0" w:line="5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Years ended July 31,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Net income (numerator for basic and diluted Class A net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70,122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132,188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109,388</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Preferential dividends</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Preferential dividends on dilutive stock options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Numerator for basic and diluted Class B net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69,288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131,328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108,537</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Denominator for basic net income per share for both Class A and B</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52,559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54,168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53,907</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effect of dilutive stock options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Denominator for diluted net income per share for both Class A and B</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52,866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54,741</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net income per share calculation: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Class B common stock net income per share calculation:</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30"/>
        </w:trPr>
        <w:tc>
          <w:tcPr>
            <w:tcW w:w="78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bl>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Options to purchase 2,764,308, 1,599,792, and 1,132,750 shares of Class A common stock were excluded from the computations of diluted net income per share for years ended July 31, 2009, 2008, and 2007, respectively, because the option exercise prices were greater than the average market price of the common shares and, therefore, the effect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entered into various non-cancellable operating lease agreements. Rental expense charged to operations on a straight-line basis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$25,971, $27,443 and $22,779 for the years ended July 31, 2009, 2008 and 2007, respectively. Future minimum lease payments required under such leases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at July 31, 2009 are as follows, for the years ending July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22,613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2011</w:t>
            </w: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16,897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12,968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2013</w:t>
            </w: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6,898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67,172</w:t>
            </w:r>
          </w:p>
        </w:tc>
      </w:tr>
      <w:tr>
        <w:trPr>
          <w:trHeight w:val="20"/>
        </w:trPr>
        <w:tc>
          <w:tcPr>
            <w:tcW w:w="5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1, the Company adopted SFAS No. 157, “Fair Value Measurements”, on August 1, 2008. SFAS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SFAS 157 establishes a fair market value hierarchy for the pricing inputs used to measure fair market value. The Company’s assets and liabilities measured at fair market value are classified in one of the following categories:</w:t>
      </w:r>
    </w:p>
    <w:p>
      <w:pPr>
        <w:spacing w:after="0" w:line="62" w:lineRule="exact"/>
        <w:rPr>
          <w:sz w:val="20"/>
          <w:szCs w:val="20"/>
          <w:color w:val="auto"/>
        </w:rPr>
      </w:pPr>
    </w:p>
    <w:p>
      <w:pPr>
        <w:jc w:val="both"/>
        <w:ind w:left="240" w:right="40"/>
        <w:spacing w:after="0" w:line="286" w:lineRule="auto"/>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Assets or liabilities for which fair value is based on quoted market prices in active markets for identical instruments as of the reporting date. At July 31, 2009, $8,239 of the mutual funds held for the Company’s deferred compensation plans were valued using Level 1 pricing inputs. The Company’s deferred compensation investments are included in “Other assets” on the accompanying Consolidated Balance Sheets.</w:t>
      </w:r>
    </w:p>
    <w:p>
      <w:pPr>
        <w:spacing w:after="0" w:line="57" w:lineRule="exact"/>
        <w:rPr>
          <w:sz w:val="20"/>
          <w:szCs w:val="20"/>
          <w:color w:val="auto"/>
        </w:rPr>
      </w:pPr>
    </w:p>
    <w:p>
      <w:pPr>
        <w:ind w:left="240" w:right="80"/>
        <w:spacing w:after="0" w:line="29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 At July 31, 2009, $248 of the Company’s forward exchange contracts designated as cash flow hedges under SFAS No. 133, “Accounting for Derivative Instruments and Hedging Activities,” were valued using Level 2 pricing inputs. These contracts are included in “Other current liabilities” on the accompanying Consolidated Balance Sheets. At July 31, 2009, $130 of the Company’s forward exchange contracts not designated as hedging instruments under SFAS No. 133 were valued using Level 2 pricing inputs and are included in “Prepaid expenses and other current assets”, on the accompanying Consolidated Balance Sheets, respectively. See Note 12 for additional information regarding the Company’s hedging and derivatives activities.</w:t>
      </w:r>
    </w:p>
    <w:p>
      <w:pPr>
        <w:spacing w:after="0" w:line="57"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Assets or liabilities for which fair value is based on valuation models with significant unobservable pricing inputs and which result in the use of management estimates. As of July 31, 2009, none of the Company’s assets or liabilities were valued using Level 3 pricing inputs.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In November 2008, in response to the global economic downturn, the Company announced it would take several measures to address its cost structure. In addition to a reduction in its contract labor and decreased discretionary spending, the Company announced it would reduce its workforce.</w:t>
      </w:r>
    </w:p>
    <w:p>
      <w:pPr>
        <w:spacing w:after="0" w:line="38"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implemented a plan to reduce its workforce through voluntary and involuntary separation programs, voluntary retirement programs, and facility consolidations. As a result of these actions, the Company recorded restructuring charges of $25,849 during fiscal 2009. The year-to-date restructuring charges consisted of $20,911 of employee separation costs, $2,101 of non-cash fixed asset write-offs, $1,194 of other facility closure related costs, $1,275 of contract termination costs, and $368 of non-cash stock option expense. Of the $25,849 of restructuring charges recorded during the year ended July 31, 2009, $13,928 was incurred in the Americas, $7,730 was incurred in Europe, and $4,191 was incurred in Asia-Pacific. The charges for employee separation costs consisted of severance pay, outplacement services, medical and other related benefits. The costs related to these restructuring activities have been recorded on the consolidated statements of income as restructuring charges. An additional restructuring related expense of $1,611 is included in income tax expense as it relates to the repayment of a tax holiday in Asia resulting from plant consolidation.</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the majority of the remaining cash payments to be made within the next 12 months.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reconciliation of the Company’s restructuring activity for fiscal 2009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Employee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4"/>
              </w:rPr>
              <w:t>Asset</w:t>
            </w:r>
          </w:p>
        </w:tc>
        <w:tc>
          <w:tcPr>
            <w:tcW w:w="120" w:type="dxa"/>
            <w:vAlign w:val="bottom"/>
          </w:tcPr>
          <w:p>
            <w:pPr>
              <w:spacing w:after="0"/>
              <w:rPr>
                <w:sz w:val="14"/>
                <w:szCs w:val="14"/>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Other</w:t>
            </w:r>
          </w:p>
        </w:tc>
        <w:tc>
          <w:tcPr>
            <w:tcW w:w="3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Related</w:t>
            </w:r>
          </w:p>
        </w:tc>
        <w:tc>
          <w:tcPr>
            <w:tcW w:w="38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Write-offs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Restructuring charge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21,279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25,849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separation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(1,178)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(15,288)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(16,880)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Ending balance, July 31, 2009</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other separation benefits include charges of approximately $1,178 directly related to postretirement medical, dental and vision benefits which are included in the SFAS 106 liability. See Note 3 for discussion on employee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121"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Company primarily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SFAS No. 133, “Accounting for Derivative Instruments and Hedging Activities.” The primary objective of the Company’s foreign currency exchange risk management is to minimize the impact of currency movements on intercompany transactions and foreign raw-material imports. To achieve this objective, the Company hedges a portion of known exposures using forward foreign exchange currency contracts. As of July 31, 2009, the notional amount of outstanding forward exchange contracts was $30,929.</w:t>
      </w:r>
    </w:p>
    <w:p>
      <w:pPr>
        <w:spacing w:after="0" w:line="7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 The amount of hedge ineffectiveness was not significant for the years ended July 31, 2009, 2008, and 2007.</w:t>
      </w:r>
    </w:p>
    <w:p>
      <w:pPr>
        <w:spacing w:after="0" w:line="79" w:lineRule="exact"/>
        <w:rPr>
          <w:sz w:val="20"/>
          <w:szCs w:val="20"/>
          <w:color w:val="auto"/>
        </w:rPr>
      </w:pPr>
    </w:p>
    <w:p>
      <w:pPr>
        <w:ind w:right="600" w:firstLine="222"/>
        <w:spacing w:after="0" w:line="308" w:lineRule="auto"/>
        <w:rPr>
          <w:sz w:val="20"/>
          <w:szCs w:val="20"/>
          <w:color w:val="auto"/>
        </w:rPr>
      </w:pPr>
      <w:r>
        <w:rPr>
          <w:rFonts w:ascii="Arial" w:cs="Arial" w:eastAsia="Arial" w:hAnsi="Arial"/>
          <w:sz w:val="17"/>
          <w:szCs w:val="17"/>
          <w:color w:val="auto"/>
        </w:rPr>
        <w:t>The Company hedges a portion of known exposures using forward foreign exchange currency contracts. Main exposures are related to transactions denominated in the British Pound, the Euro, Canadian Dollar, Australian Dollar, Singapore Dollar, Swedish Krona, Korean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Won and Chinese Yuan currency. Generally, these risk management transactions will involve the use of foreign currency derivatives to protect against exposure resulting from intercompany sales and identified inventory or other asset purchases.</w:t>
      </w:r>
    </w:p>
    <w:p>
      <w:pPr>
        <w:spacing w:after="0" w:line="62"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has designated a portion of its foreign exchange contracts as cash flow hedges under SFAS No. 133,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Gains or losses on the derivative related to hedge ineffectiveness are recognized in current earnings. At July 31, 2009 and 2008, unrealized losses of $35 and $567 have been included in OCI, respectively. All balances are expected to be reclassified from OCI to earnings during the next 12 months when the hedged intercompany transactions impact earnings. At July 31, 2009 and at July 31, 2008, the Company included $248 and $96, respectively, of forward exchange contracts in “Other current liabilities” on the accompanying Consolidated Balance Sheet. At July 31, 2009, the U.S. dollar equivalent of these outstanding forward foreign exchange contracts totaled $21,793, including contracts to sell Euros, Canadian Dollars, Australian Dollars, British Pounds, Danish Krona, and U.S. Dollars.</w:t>
      </w:r>
    </w:p>
    <w:p>
      <w:pPr>
        <w:spacing w:after="0" w:line="74"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Additionally, during fiscal 2009, the Company entered into cash flow hedge contracts to create economic hedges to manage foreign exchange risk exposure. The Company has not designated these derivative contracts as hedge transactions under SFAS No. 133, and accordingly, the mark-to-market impact of these derivatives is recorded each period in current earnings. At July 31, 2009, $130 of the Company’s forward exchange contracts not designated as hedging instruments under SFAS No. 133 were included in “Prepaid expenses and other current assets,” on the accompanying Consolidated Balance Sheets. At July 31, 2009, the U.S. dollar equivalent of these outstanding forward foreign exchange contracts totaled $9,136,consisted of contracts to buy Euros.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Asset Derivatives</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48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July 31, 2009</w:t>
            </w:r>
          </w:p>
        </w:tc>
        <w:tc>
          <w:tcPr>
            <w:tcW w:w="4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July 31, 2008</w:t>
            </w:r>
          </w:p>
        </w:tc>
        <w:tc>
          <w:tcPr>
            <w:tcW w:w="3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w w:val="99"/>
              </w:rPr>
              <w:t>July 31, 2009</w:t>
            </w:r>
          </w:p>
        </w:tc>
        <w:tc>
          <w:tcPr>
            <w:tcW w:w="4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Borders>
              <w:bottom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rPr>
              <w:t>July 31, 2008</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2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vMerge w:val="restart"/>
          </w:tcPr>
          <w:p>
            <w:pPr>
              <w:spacing w:after="0"/>
              <w:rPr>
                <w:sz w:val="10"/>
                <w:szCs w:val="10"/>
                <w:color w:val="auto"/>
              </w:rPr>
            </w:pPr>
          </w:p>
        </w:tc>
        <w:tc>
          <w:tcPr>
            <w:tcW w:w="12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0"/>
                <w:szCs w:val="10"/>
                <w:color w:val="auto"/>
              </w:rPr>
            </w:pPr>
          </w:p>
        </w:tc>
        <w:tc>
          <w:tcPr>
            <w:tcW w:w="12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vMerge w:val="restart"/>
          </w:tcPr>
          <w:p>
            <w:pPr>
              <w:spacing w:after="0"/>
              <w:rPr>
                <w:sz w:val="10"/>
                <w:szCs w:val="10"/>
                <w:color w:val="auto"/>
              </w:rPr>
            </w:pPr>
          </w:p>
        </w:tc>
        <w:tc>
          <w:tcPr>
            <w:tcW w:w="12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Foreign exchange</w:t>
            </w:r>
          </w:p>
        </w:tc>
        <w:tc>
          <w:tcPr>
            <w:tcW w:w="12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Prepaid</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center"/>
              <w:ind w:right="790"/>
              <w:spacing w:after="0"/>
              <w:rPr>
                <w:sz w:val="20"/>
                <w:szCs w:val="20"/>
                <w:color w:val="auto"/>
              </w:rPr>
            </w:pPr>
            <w:r>
              <w:rPr>
                <w:rFonts w:ascii="Arial" w:cs="Arial" w:eastAsia="Arial" w:hAnsi="Arial"/>
                <w:sz w:val="18"/>
                <w:szCs w:val="18"/>
                <w:color w:val="auto"/>
                <w:w w:val="87"/>
              </w:rPr>
              <w:t>contracts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Other current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w:t>
            </w:r>
          </w:p>
        </w:tc>
        <w:tc>
          <w:tcPr>
            <w:tcW w:w="1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8"/>
                <w:szCs w:val="18"/>
                <w:color w:val="auto"/>
              </w:rPr>
              <w:t>Total derivatives designated</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as hedging instruments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20"/>
              <w:spacing w:after="0"/>
              <w:rPr>
                <w:sz w:val="20"/>
                <w:szCs w:val="20"/>
                <w:color w:val="auto"/>
              </w:rPr>
            </w:pPr>
            <w:r>
              <w:rPr>
                <w:rFonts w:ascii="Arial" w:cs="Arial" w:eastAsia="Arial" w:hAnsi="Arial"/>
                <w:sz w:val="18"/>
                <w:szCs w:val="18"/>
                <w:color w:val="auto"/>
              </w:rPr>
              <w:t>under Statement 133</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248</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Foreign exchange</w:t>
            </w:r>
          </w:p>
        </w:tc>
        <w:tc>
          <w:tcPr>
            <w:tcW w:w="1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Prepaid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Prepaid</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center"/>
              <w:ind w:right="790"/>
              <w:spacing w:after="0"/>
              <w:rPr>
                <w:sz w:val="20"/>
                <w:szCs w:val="20"/>
                <w:color w:val="auto"/>
              </w:rPr>
            </w:pPr>
            <w:r>
              <w:rPr>
                <w:rFonts w:ascii="Arial" w:cs="Arial" w:eastAsia="Arial" w:hAnsi="Arial"/>
                <w:sz w:val="18"/>
                <w:szCs w:val="18"/>
                <w:color w:val="auto"/>
                <w:w w:val="87"/>
              </w:rPr>
              <w:t>contracts</w:t>
            </w: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and</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60" w:type="dxa"/>
            <w:vAlign w:val="bottom"/>
          </w:tcPr>
          <w:p>
            <w:pPr>
              <w:jc w:val="center"/>
              <w:ind w:right="790"/>
              <w:spacing w:after="0"/>
              <w:rPr>
                <w:sz w:val="20"/>
                <w:szCs w:val="20"/>
                <w:color w:val="auto"/>
              </w:rPr>
            </w:pPr>
            <w:r>
              <w:rPr>
                <w:rFonts w:ascii="Arial" w:cs="Arial" w:eastAsia="Arial" w:hAnsi="Arial"/>
                <w:sz w:val="18"/>
                <w:szCs w:val="18"/>
                <w:color w:val="auto"/>
                <w:w w:val="91"/>
              </w:rPr>
              <w:t>Total derivatives not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designated as hedging</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220"/>
              <w:spacing w:after="0"/>
              <w:rPr>
                <w:sz w:val="20"/>
                <w:szCs w:val="20"/>
                <w:color w:val="auto"/>
              </w:rPr>
            </w:pPr>
            <w:r>
              <w:rPr>
                <w:rFonts w:ascii="Arial" w:cs="Arial" w:eastAsia="Arial" w:hAnsi="Arial"/>
                <w:sz w:val="18"/>
                <w:szCs w:val="18"/>
                <w:color w:val="auto"/>
              </w:rPr>
              <w:t>instruments under</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220"/>
              <w:spacing w:after="0"/>
              <w:rPr>
                <w:sz w:val="20"/>
                <w:szCs w:val="20"/>
                <w:color w:val="auto"/>
              </w:rPr>
            </w:pPr>
            <w:r>
              <w:rPr>
                <w:rFonts w:ascii="Arial" w:cs="Arial" w:eastAsia="Arial" w:hAnsi="Arial"/>
                <w:sz w:val="18"/>
                <w:szCs w:val="18"/>
                <w:color w:val="auto"/>
              </w:rPr>
              <w:t>Statement 133</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under SFAS No. 133 on the Consolidated Statements of Income consisted of the following: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Derivatives in</w:t>
      </w:r>
    </w:p>
    <w:p>
      <w:pPr>
        <w:spacing w:after="0" w:line="216" w:lineRule="auto"/>
        <w:rPr>
          <w:sz w:val="20"/>
          <w:szCs w:val="20"/>
          <w:color w:val="auto"/>
        </w:rPr>
      </w:pPr>
      <w:r>
        <w:rPr>
          <w:rFonts w:ascii="Arial" w:cs="Arial" w:eastAsia="Arial" w:hAnsi="Arial"/>
          <w:sz w:val="13"/>
          <w:szCs w:val="13"/>
          <w:b w:val="1"/>
          <w:bCs w:val="1"/>
          <w:color w:val="auto"/>
        </w:rPr>
        <w:t>Statement 133 Cash</w:t>
      </w:r>
    </w:p>
    <w:p>
      <w:pPr>
        <w:spacing w:after="0" w:line="217" w:lineRule="auto"/>
        <w:rPr>
          <w:sz w:val="20"/>
          <w:szCs w:val="20"/>
          <w:color w:val="auto"/>
        </w:rPr>
      </w:pPr>
      <w:r>
        <w:rPr>
          <w:rFonts w:ascii="Arial" w:cs="Arial" w:eastAsia="Arial" w:hAnsi="Arial"/>
          <w:sz w:val="13"/>
          <w:szCs w:val="13"/>
          <w:b w:val="1"/>
          <w:bCs w:val="1"/>
          <w:color w:val="auto"/>
        </w:rPr>
        <w:t>Flow Hedging</w:t>
      </w:r>
    </w:p>
    <w:p>
      <w:pPr>
        <w:spacing w:after="0" w:line="224" w:lineRule="auto"/>
        <w:rPr>
          <w:sz w:val="20"/>
          <w:szCs w:val="20"/>
          <w:color w:val="auto"/>
        </w:rPr>
      </w:pPr>
      <w:r>
        <w:rPr>
          <w:rFonts w:ascii="Arial" w:cs="Arial" w:eastAsia="Arial" w:hAnsi="Arial"/>
          <w:sz w:val="13"/>
          <w:szCs w:val="13"/>
          <w:b w:val="1"/>
          <w:bCs w:val="1"/>
          <w:color w:val="auto"/>
        </w:rPr>
        <w:t>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11"/>
          <w:szCs w:val="11"/>
          <w:b w:val="1"/>
          <w:bCs w:val="1"/>
          <w:color w:val="auto"/>
        </w:rPr>
        <w:t>Amount of Gain or (Loss)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Recognized in OCI on</w:t>
      </w:r>
    </w:p>
    <w:p>
      <w:pPr>
        <w:jc w:val="center"/>
        <w:ind w:right="80"/>
        <w:spacing w:after="0" w:line="216" w:lineRule="auto"/>
        <w:rPr>
          <w:sz w:val="20"/>
          <w:szCs w:val="20"/>
          <w:color w:val="auto"/>
        </w:rPr>
      </w:pPr>
      <w:r>
        <w:rPr>
          <w:rFonts w:ascii="Arial" w:cs="Arial" w:eastAsia="Arial" w:hAnsi="Arial"/>
          <w:sz w:val="13"/>
          <w:szCs w:val="13"/>
          <w:b w:val="1"/>
          <w:bCs w:val="1"/>
          <w:color w:val="auto"/>
        </w:rPr>
        <w:t>Derivative</w:t>
      </w:r>
    </w:p>
    <w:p>
      <w:pPr>
        <w:jc w:val="center"/>
        <w:ind w:right="80"/>
        <w:spacing w:after="0"/>
        <w:rPr>
          <w:sz w:val="20"/>
          <w:szCs w:val="20"/>
          <w:color w:val="auto"/>
        </w:rPr>
      </w:pPr>
      <w:r>
        <w:rPr>
          <w:rFonts w:ascii="Arial" w:cs="Arial" w:eastAsia="Arial" w:hAnsi="Arial"/>
          <w:sz w:val="13"/>
          <w:szCs w:val="13"/>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-5715</wp:posOffset>
            </wp:positionV>
            <wp:extent cx="10464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0"/>
        <w:spacing w:after="0" w:line="223" w:lineRule="auto"/>
        <w:tabs>
          <w:tab w:leader="none" w:pos="1060" w:val="left"/>
        </w:tabs>
        <w:rPr>
          <w:sz w:val="20"/>
          <w:szCs w:val="20"/>
          <w:color w:val="auto"/>
        </w:rPr>
      </w:pPr>
      <w:r>
        <w:rPr>
          <w:rFonts w:ascii="Arial" w:cs="Arial" w:eastAsia="Arial" w:hAnsi="Arial"/>
          <w:sz w:val="13"/>
          <w:szCs w:val="13"/>
          <w:b w:val="1"/>
          <w:bCs w:val="1"/>
          <w:color w:val="auto"/>
        </w:rPr>
        <w:t>2009</w:t>
      </w:r>
      <w:r>
        <w:rPr>
          <w:sz w:val="20"/>
          <w:szCs w:val="20"/>
          <w:color w:val="auto"/>
        </w:rPr>
        <w:tab/>
      </w:r>
      <w:r>
        <w:rPr>
          <w:rFonts w:ascii="Arial" w:cs="Arial" w:eastAsia="Arial" w:hAnsi="Arial"/>
          <w:sz w:val="13"/>
          <w:szCs w:val="13"/>
          <w:b w:val="1"/>
          <w:bCs w:val="1"/>
          <w:color w:val="auto"/>
        </w:rPr>
        <w:t>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Amount of Gain</w:t>
            </w: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0"/>
        </w:trPr>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ind w:right="337"/>
              <w:spacing w:after="0" w:line="140" w:lineRule="exact"/>
              <w:rPr>
                <w:sz w:val="20"/>
                <w:szCs w:val="20"/>
                <w:color w:val="auto"/>
              </w:rPr>
            </w:pPr>
            <w:r>
              <w:rPr>
                <w:rFonts w:ascii="Arial" w:cs="Arial" w:eastAsia="Arial" w:hAnsi="Arial"/>
                <w:sz w:val="13"/>
                <w:szCs w:val="13"/>
                <w:b w:val="1"/>
                <w:bCs w:val="1"/>
                <w:color w:val="auto"/>
                <w:w w:val="86"/>
              </w:rPr>
              <w:t>or (Loss)</w:t>
            </w:r>
          </w:p>
        </w:tc>
        <w:tc>
          <w:tcPr>
            <w:tcW w:w="2040" w:type="dxa"/>
            <w:vAlign w:val="bottom"/>
          </w:tcPr>
          <w:p>
            <w:pPr>
              <w:jc w:val="center"/>
              <w:ind w:right="157"/>
              <w:spacing w:after="0" w:line="140" w:lineRule="exact"/>
              <w:rPr>
                <w:sz w:val="20"/>
                <w:szCs w:val="20"/>
                <w:color w:val="auto"/>
              </w:rPr>
            </w:pPr>
            <w:r>
              <w:rPr>
                <w:rFonts w:ascii="Arial" w:cs="Arial" w:eastAsia="Arial" w:hAnsi="Arial"/>
                <w:sz w:val="13"/>
                <w:szCs w:val="13"/>
                <w:b w:val="1"/>
                <w:bCs w:val="1"/>
                <w:color w:val="auto"/>
                <w:w w:val="88"/>
              </w:rPr>
              <w:t>Location of</w:t>
            </w:r>
          </w:p>
        </w:tc>
        <w:tc>
          <w:tcPr>
            <w:tcW w:w="13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8"/>
              </w:rPr>
              <w:t>Amount of Gain</w:t>
            </w:r>
          </w:p>
        </w:tc>
      </w:tr>
      <w:tr>
        <w:trPr>
          <w:trHeight w:val="135"/>
        </w:trPr>
        <w:tc>
          <w:tcPr>
            <w:tcW w:w="1640" w:type="dxa"/>
            <w:vAlign w:val="bottom"/>
          </w:tcPr>
          <w:p>
            <w:pPr>
              <w:jc w:val="center"/>
              <w:ind w:right="517"/>
              <w:spacing w:after="0" w:line="135" w:lineRule="exact"/>
              <w:rPr>
                <w:sz w:val="20"/>
                <w:szCs w:val="20"/>
                <w:color w:val="auto"/>
              </w:rPr>
            </w:pPr>
            <w:r>
              <w:rPr>
                <w:rFonts w:ascii="Arial" w:cs="Arial" w:eastAsia="Arial" w:hAnsi="Arial"/>
                <w:sz w:val="13"/>
                <w:szCs w:val="13"/>
                <w:b w:val="1"/>
                <w:bCs w:val="1"/>
                <w:color w:val="auto"/>
                <w:w w:val="88"/>
              </w:rPr>
              <w:t>Location of Gain or</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Reclassified From</w:t>
            </w:r>
          </w:p>
        </w:tc>
        <w:tc>
          <w:tcPr>
            <w:tcW w:w="2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8"/>
              </w:rPr>
              <w:t>Gain or (Loss)</w:t>
            </w:r>
          </w:p>
        </w:tc>
        <w:tc>
          <w:tcPr>
            <w:tcW w:w="400" w:type="dxa"/>
            <w:vAlign w:val="bottom"/>
          </w:tcPr>
          <w:p>
            <w:pPr>
              <w:spacing w:after="0"/>
              <w:rPr>
                <w:sz w:val="11"/>
                <w:szCs w:val="11"/>
                <w:color w:val="auto"/>
              </w:rPr>
            </w:pPr>
          </w:p>
        </w:tc>
        <w:tc>
          <w:tcPr>
            <w:tcW w:w="900" w:type="dxa"/>
            <w:vAlign w:val="bottom"/>
          </w:tcPr>
          <w:p>
            <w:pPr>
              <w:jc w:val="center"/>
              <w:ind w:right="337"/>
              <w:spacing w:after="0" w:line="135" w:lineRule="exact"/>
              <w:rPr>
                <w:sz w:val="20"/>
                <w:szCs w:val="20"/>
                <w:color w:val="auto"/>
              </w:rPr>
            </w:pPr>
            <w:r>
              <w:rPr>
                <w:rFonts w:ascii="Arial" w:cs="Arial" w:eastAsia="Arial" w:hAnsi="Arial"/>
                <w:sz w:val="13"/>
                <w:szCs w:val="13"/>
                <w:b w:val="1"/>
                <w:bCs w:val="1"/>
                <w:color w:val="auto"/>
                <w:w w:val="82"/>
              </w:rPr>
              <w:t>or (Loss)</w:t>
            </w:r>
          </w:p>
        </w:tc>
      </w:tr>
      <w:tr>
        <w:trPr>
          <w:trHeight w:val="135"/>
        </w:trPr>
        <w:tc>
          <w:tcPr>
            <w:tcW w:w="1640" w:type="dxa"/>
            <w:vAlign w:val="bottom"/>
          </w:tcPr>
          <w:p>
            <w:pPr>
              <w:jc w:val="center"/>
              <w:ind w:right="497"/>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Accumulated OCI</w:t>
            </w:r>
          </w:p>
        </w:tc>
        <w:tc>
          <w:tcPr>
            <w:tcW w:w="2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3"/>
              </w:rPr>
              <w:t>Recognized in</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Recognized in</w:t>
            </w:r>
          </w:p>
        </w:tc>
      </w:tr>
      <w:tr>
        <w:trPr>
          <w:trHeight w:val="135"/>
        </w:trPr>
        <w:tc>
          <w:tcPr>
            <w:tcW w:w="1640" w:type="dxa"/>
            <w:vAlign w:val="bottom"/>
          </w:tcPr>
          <w:p>
            <w:pPr>
              <w:jc w:val="center"/>
              <w:ind w:right="497"/>
              <w:spacing w:after="0" w:line="135" w:lineRule="exact"/>
              <w:rPr>
                <w:sz w:val="20"/>
                <w:szCs w:val="20"/>
                <w:color w:val="auto"/>
              </w:rPr>
            </w:pPr>
            <w:r>
              <w:rPr>
                <w:rFonts w:ascii="Arial" w:cs="Arial" w:eastAsia="Arial" w:hAnsi="Arial"/>
                <w:sz w:val="13"/>
                <w:szCs w:val="13"/>
                <w:b w:val="1"/>
                <w:bCs w:val="1"/>
                <w:color w:val="auto"/>
                <w:w w:val="88"/>
              </w:rPr>
              <w:t>From Accumulated</w:t>
            </w:r>
          </w:p>
        </w:tc>
        <w:tc>
          <w:tcPr>
            <w:tcW w:w="12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Into Income</w:t>
            </w:r>
          </w:p>
        </w:tc>
        <w:tc>
          <w:tcPr>
            <w:tcW w:w="20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6"/>
              </w:rPr>
              <w:t>Income on</w:t>
            </w: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Income on Derivative</w:t>
            </w:r>
          </w:p>
        </w:tc>
      </w:tr>
      <w:tr>
        <w:trPr>
          <w:trHeight w:val="149"/>
        </w:trPr>
        <w:tc>
          <w:tcPr>
            <w:tcW w:w="1640" w:type="dxa"/>
            <w:vAlign w:val="bottom"/>
          </w:tcPr>
          <w:p>
            <w:pPr>
              <w:jc w:val="center"/>
              <w:ind w:right="497"/>
              <w:spacing w:after="0"/>
              <w:rPr>
                <w:sz w:val="20"/>
                <w:szCs w:val="20"/>
                <w:color w:val="auto"/>
              </w:rPr>
            </w:pPr>
            <w:r>
              <w:rPr>
                <w:rFonts w:ascii="Arial" w:cs="Arial" w:eastAsia="Arial" w:hAnsi="Arial"/>
                <w:sz w:val="13"/>
                <w:szCs w:val="13"/>
                <w:b w:val="1"/>
                <w:bCs w:val="1"/>
                <w:color w:val="auto"/>
                <w:w w:val="92"/>
              </w:rPr>
              <w:t>OCI into Income</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204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Derivative</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(Ineffective Portion)</w:t>
            </w:r>
          </w:p>
        </w:tc>
      </w:tr>
      <w:tr>
        <w:trPr>
          <w:trHeight w:val="129"/>
        </w:trPr>
        <w:tc>
          <w:tcPr>
            <w:tcW w:w="1640" w:type="dxa"/>
            <w:vAlign w:val="bottom"/>
          </w:tcPr>
          <w:p>
            <w:pPr>
              <w:jc w:val="center"/>
              <w:ind w:right="497"/>
              <w:spacing w:after="0" w:line="129" w:lineRule="exact"/>
              <w:rPr>
                <w:sz w:val="20"/>
                <w:szCs w:val="20"/>
                <w:color w:val="auto"/>
              </w:rPr>
            </w:pPr>
            <w:r>
              <w:rPr>
                <w:rFonts w:ascii="Arial" w:cs="Arial" w:eastAsia="Arial" w:hAnsi="Arial"/>
                <w:sz w:val="13"/>
                <w:szCs w:val="13"/>
                <w:b w:val="1"/>
                <w:bCs w:val="1"/>
                <w:color w:val="auto"/>
                <w:w w:val="89"/>
              </w:rPr>
              <w:t>(Effective Portion)</w:t>
            </w:r>
          </w:p>
        </w:tc>
        <w:tc>
          <w:tcPr>
            <w:tcW w:w="3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88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2008</w:t>
            </w:r>
          </w:p>
        </w:tc>
        <w:tc>
          <w:tcPr>
            <w:tcW w:w="2040" w:type="dxa"/>
            <w:vAlign w:val="bottom"/>
          </w:tcPr>
          <w:p>
            <w:pPr>
              <w:jc w:val="center"/>
              <w:ind w:right="157"/>
              <w:spacing w:after="0" w:line="129" w:lineRule="exact"/>
              <w:rPr>
                <w:sz w:val="20"/>
                <w:szCs w:val="20"/>
                <w:color w:val="auto"/>
              </w:rPr>
            </w:pPr>
            <w:r>
              <w:rPr>
                <w:rFonts w:ascii="Arial" w:cs="Arial" w:eastAsia="Arial" w:hAnsi="Arial"/>
                <w:sz w:val="13"/>
                <w:szCs w:val="13"/>
                <w:b w:val="1"/>
                <w:bCs w:val="1"/>
                <w:color w:val="auto"/>
                <w:w w:val="90"/>
              </w:rPr>
              <w:t>(Ineffective Portion)</w:t>
            </w:r>
          </w:p>
        </w:tc>
        <w:tc>
          <w:tcPr>
            <w:tcW w:w="4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2009</w:t>
            </w:r>
          </w:p>
        </w:tc>
        <w:tc>
          <w:tcPr>
            <w:tcW w:w="9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rPr>
              <w:t>2008</w:t>
            </w:r>
          </w:p>
        </w:tc>
      </w:tr>
    </w:tbl>
    <w:p>
      <w:pPr>
        <w:spacing w:after="0" w:line="1" w:lineRule="exact"/>
        <w:rPr>
          <w:sz w:val="20"/>
          <w:szCs w:val="20"/>
          <w:color w:val="auto"/>
        </w:rPr>
      </w:pPr>
    </w:p>
    <w:p>
      <w:pPr>
        <w:sectPr>
          <w:pgSz w:w="11900" w:h="16838" w:orient="portrait"/>
          <w:cols w:equalWidth="0" w:num="3">
            <w:col w:w="2100" w:space="720"/>
            <w:col w:w="1480" w:space="720"/>
            <w:col w:w="6400"/>
          </w:cols>
          <w:pgMar w:left="240" w:top="419" w:right="239" w:bottom="1440" w:gutter="0" w:footer="0" w:header="0"/>
        </w:sectPr>
      </w:pPr>
    </w:p>
    <w:tbl>
      <w:tblPr>
        <w:tblLayout w:type="fixed"/>
        <w:tblInd w:w="0" w:type="dxa"/>
        <w:tblCellMar>
          <w:top w:w="0" w:type="dxa"/>
          <w:left w:w="0" w:type="dxa"/>
          <w:bottom w:w="0" w:type="dxa"/>
          <w:right w:w="0" w:type="dxa"/>
        </w:tblCellMar>
      </w:tblPr>
      <w:tr>
        <w:trPr>
          <w:trHeight w:val="123"/>
        </w:trPr>
        <w:tc>
          <w:tcPr>
            <w:tcW w:w="2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89"/>
              </w:rPr>
              <w:t>Investment and other</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1"/>
              </w:rPr>
              <w:t>Investment and other</w:t>
            </w: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7"/>
        </w:trPr>
        <w:tc>
          <w:tcPr>
            <w:tcW w:w="254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152</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(325)</w:t>
            </w:r>
          </w:p>
        </w:tc>
        <w:tc>
          <w:tcPr>
            <w:tcW w:w="1740" w:type="dxa"/>
            <w:vAlign w:val="bottom"/>
            <w:gridSpan w:val="3"/>
          </w:tcPr>
          <w:p>
            <w:pPr>
              <w:ind w:left="280"/>
              <w:spacing w:after="0"/>
              <w:rPr>
                <w:sz w:val="20"/>
                <w:szCs w:val="20"/>
                <w:color w:val="auto"/>
              </w:rPr>
            </w:pPr>
            <w:r>
              <w:rPr>
                <w:rFonts w:ascii="Arial" w:cs="Arial" w:eastAsia="Arial" w:hAnsi="Arial"/>
                <w:sz w:val="14"/>
                <w:szCs w:val="14"/>
                <w:color w:val="auto"/>
              </w:rPr>
              <w:t>income — net</w:t>
            </w:r>
          </w:p>
        </w:tc>
        <w:tc>
          <w:tcPr>
            <w:tcW w:w="4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8"/>
              <w:spacing w:after="0"/>
              <w:rPr>
                <w:sz w:val="20"/>
                <w:szCs w:val="20"/>
                <w:color w:val="auto"/>
              </w:rPr>
            </w:pPr>
            <w:r>
              <w:rPr>
                <w:rFonts w:ascii="Arial" w:cs="Arial" w:eastAsia="Arial" w:hAnsi="Arial"/>
                <w:sz w:val="14"/>
                <w:szCs w:val="14"/>
                <w:color w:val="auto"/>
              </w:rPr>
              <w:t>(815)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253</w:t>
            </w: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income — net</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132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w w:val="99"/>
              </w:rPr>
              <w:t>—</w:t>
            </w: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73"/>
              </w:rPr>
              <w:t>(325)</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(815</w:t>
            </w:r>
          </w:p>
        </w:tc>
        <w:tc>
          <w:tcPr>
            <w:tcW w:w="30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76"/>
              </w:rPr>
              <w:t>132</w:t>
            </w:r>
          </w:p>
        </w:tc>
        <w:tc>
          <w:tcPr>
            <w:tcW w:w="3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340" w:firstLine="222"/>
        <w:spacing w:after="0" w:line="277" w:lineRule="auto"/>
        <w:rPr>
          <w:sz w:val="20"/>
          <w:szCs w:val="20"/>
          <w:color w:val="auto"/>
        </w:rPr>
      </w:pPr>
      <w:r>
        <w:rPr>
          <w:rFonts w:ascii="Arial" w:cs="Arial" w:eastAsia="Arial" w:hAnsi="Arial"/>
          <w:sz w:val="18"/>
          <w:szCs w:val="18"/>
          <w:color w:val="auto"/>
        </w:rPr>
        <w:t>The pre-tax effects of derivative instruments not designated as hedging instruments under SFAS No. 133 on the Consolidated Statements of Income consisted of the following:</w:t>
      </w:r>
    </w:p>
    <w:p>
      <w:pPr>
        <w:sectPr>
          <w:pgSz w:w="11900" w:h="16838" w:orient="portrait"/>
          <w:cols w:equalWidth="0" w:num="1">
            <w:col w:w="11420"/>
          </w:cols>
          <w:pgMar w:left="240" w:top="419" w:right="239" w:bottom="1440" w:gutter="0" w:footer="0" w:header="0"/>
          <w:type w:val="continuous"/>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560" w:type="dxa"/>
            <w:vAlign w:val="bottom"/>
          </w:tcPr>
          <w:p>
            <w:pPr>
              <w:jc w:val="center"/>
              <w:ind w:left="1357"/>
              <w:spacing w:after="0"/>
              <w:rPr>
                <w:sz w:val="20"/>
                <w:szCs w:val="20"/>
                <w:color w:val="auto"/>
              </w:rPr>
            </w:pPr>
            <w:r>
              <w:rPr>
                <w:rFonts w:ascii="Arial" w:cs="Arial" w:eastAsia="Arial" w:hAnsi="Arial"/>
                <w:sz w:val="13"/>
                <w:szCs w:val="13"/>
                <w:b w:val="1"/>
                <w:bCs w:val="1"/>
                <w:color w:val="auto"/>
                <w:w w:val="88"/>
              </w:rPr>
              <w:t>Location of Gain or</w:t>
            </w:r>
          </w:p>
        </w:tc>
      </w:tr>
      <w:tr>
        <w:trPr>
          <w:trHeight w:val="135"/>
        </w:trPr>
        <w:tc>
          <w:tcPr>
            <w:tcW w:w="3560" w:type="dxa"/>
            <w:vAlign w:val="bottom"/>
          </w:tcPr>
          <w:p>
            <w:pPr>
              <w:spacing w:after="0"/>
              <w:rPr>
                <w:sz w:val="11"/>
                <w:szCs w:val="11"/>
                <w:color w:val="auto"/>
              </w:rPr>
            </w:pPr>
          </w:p>
        </w:tc>
        <w:tc>
          <w:tcPr>
            <w:tcW w:w="2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5"/>
              </w:rPr>
              <w:t>(Loss) Recognized in</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Derivatives Not Designated as Hedging</w:t>
            </w:r>
          </w:p>
        </w:tc>
        <w:tc>
          <w:tcPr>
            <w:tcW w:w="2560" w:type="dxa"/>
            <w:vAlign w:val="bottom"/>
          </w:tcPr>
          <w:p>
            <w:pPr>
              <w:jc w:val="center"/>
              <w:ind w:left="1377"/>
              <w:spacing w:after="0" w:line="135" w:lineRule="exact"/>
              <w:rPr>
                <w:sz w:val="20"/>
                <w:szCs w:val="20"/>
                <w:color w:val="auto"/>
              </w:rPr>
            </w:pPr>
            <w:r>
              <w:rPr>
                <w:rFonts w:ascii="Arial" w:cs="Arial" w:eastAsia="Arial" w:hAnsi="Arial"/>
                <w:sz w:val="13"/>
                <w:szCs w:val="13"/>
                <w:b w:val="1"/>
                <w:bCs w:val="1"/>
                <w:color w:val="auto"/>
                <w:w w:val="86"/>
              </w:rPr>
              <w:t>Income on</w:t>
            </w:r>
          </w:p>
        </w:tc>
      </w:tr>
      <w:tr>
        <w:trPr>
          <w:trHeight w:val="153"/>
        </w:trPr>
        <w:tc>
          <w:tcPr>
            <w:tcW w:w="3560" w:type="dxa"/>
            <w:vAlign w:val="bottom"/>
          </w:tcPr>
          <w:p>
            <w:pPr>
              <w:spacing w:after="0"/>
              <w:rPr>
                <w:sz w:val="20"/>
                <w:szCs w:val="20"/>
                <w:color w:val="auto"/>
              </w:rPr>
            </w:pPr>
            <w:r>
              <w:rPr>
                <w:rFonts w:ascii="Arial" w:cs="Arial" w:eastAsia="Arial" w:hAnsi="Arial"/>
                <w:sz w:val="13"/>
                <w:szCs w:val="13"/>
                <w:b w:val="1"/>
                <w:bCs w:val="1"/>
                <w:color w:val="auto"/>
              </w:rPr>
              <w:t>Instruments Under Statement 133</w:t>
            </w:r>
          </w:p>
        </w:tc>
        <w:tc>
          <w:tcPr>
            <w:tcW w:w="2560" w:type="dxa"/>
            <w:vAlign w:val="bottom"/>
          </w:tcPr>
          <w:p>
            <w:pPr>
              <w:jc w:val="center"/>
              <w:ind w:left="1377"/>
              <w:spacing w:after="0"/>
              <w:rPr>
                <w:sz w:val="20"/>
                <w:szCs w:val="20"/>
                <w:color w:val="auto"/>
              </w:rPr>
            </w:pPr>
            <w:r>
              <w:rPr>
                <w:rFonts w:ascii="Arial" w:cs="Arial" w:eastAsia="Arial" w:hAnsi="Arial"/>
                <w:sz w:val="13"/>
                <w:szCs w:val="13"/>
                <w:b w:val="1"/>
                <w:bCs w:val="1"/>
                <w:color w:val="auto"/>
                <w:w w:val="90"/>
              </w:rPr>
              <w:t>Derivative</w:t>
            </w: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Amount of Gain or</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(Loss) Recognized in</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Income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8255</wp:posOffset>
            </wp:positionV>
            <wp:extent cx="8058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60"/>
        <w:spacing w:after="0"/>
        <w:tabs>
          <w:tab w:leader="none" w:pos="820" w:val="left"/>
        </w:tabs>
        <w:rPr>
          <w:sz w:val="20"/>
          <w:szCs w:val="20"/>
          <w:color w:val="auto"/>
        </w:rPr>
      </w:pPr>
      <w:r>
        <w:rPr>
          <w:rFonts w:ascii="Arial" w:cs="Arial" w:eastAsia="Arial" w:hAnsi="Arial"/>
          <w:sz w:val="13"/>
          <w:szCs w:val="13"/>
          <w:b w:val="1"/>
          <w:bCs w:val="1"/>
          <w:color w:val="auto"/>
        </w:rPr>
        <w:t>2009</w:t>
      </w:r>
      <w:r>
        <w:rPr>
          <w:sz w:val="20"/>
          <w:szCs w:val="20"/>
          <w:color w:val="auto"/>
        </w:rPr>
        <w:tab/>
      </w:r>
      <w:r>
        <w:rPr>
          <w:rFonts w:ascii="Arial" w:cs="Arial" w:eastAsia="Arial" w:hAnsi="Arial"/>
          <w:sz w:val="13"/>
          <w:szCs w:val="13"/>
          <w:b w:val="1"/>
          <w:bCs w:val="1"/>
          <w:color w:val="auto"/>
        </w:rPr>
        <w:t>2008</w:t>
      </w:r>
    </w:p>
    <w:p>
      <w:pPr>
        <w:spacing w:after="0" w:line="20" w:lineRule="exact"/>
        <w:rPr>
          <w:sz w:val="20"/>
          <w:szCs w:val="20"/>
          <w:color w:val="auto"/>
        </w:rPr>
      </w:pPr>
    </w:p>
    <w:p>
      <w:pPr>
        <w:sectPr>
          <w:pgSz w:w="11900" w:h="16838" w:orient="portrait"/>
          <w:cols w:equalWidth="0" w:num="2">
            <w:col w:w="6120" w:space="600"/>
            <w:col w:w="470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540" w:type="dxa"/>
            <w:vAlign w:val="bottom"/>
            <w:shd w:val="clear" w:color="auto" w:fill="000000"/>
          </w:tcPr>
          <w:p>
            <w:pPr>
              <w:spacing w:after="0" w:line="20" w:lineRule="exact"/>
              <w:rPr>
                <w:sz w:val="1"/>
                <w:szCs w:val="1"/>
                <w:color w:val="auto"/>
              </w:rPr>
            </w:pPr>
          </w:p>
        </w:tc>
        <w:tc>
          <w:tcPr>
            <w:tcW w:w="24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Arial" w:cs="Arial" w:eastAsia="Arial" w:hAnsi="Arial"/>
                <w:sz w:val="14"/>
                <w:szCs w:val="14"/>
                <w:color w:val="auto"/>
              </w:rPr>
              <w:t>Foreign exchange contracts</w:t>
            </w:r>
          </w:p>
        </w:tc>
        <w:tc>
          <w:tcPr>
            <w:tcW w:w="2420" w:type="dxa"/>
            <w:vAlign w:val="bottom"/>
            <w:vMerge w:val="continue"/>
          </w:tcPr>
          <w:p>
            <w:pPr>
              <w:spacing w:after="0"/>
              <w:rPr>
                <w:sz w:val="10"/>
                <w:szCs w:val="10"/>
                <w:color w:val="auto"/>
              </w:rPr>
            </w:pPr>
          </w:p>
        </w:tc>
        <w:tc>
          <w:tcPr>
            <w:tcW w:w="1700" w:type="dxa"/>
            <w:vAlign w:val="bottom"/>
            <w:gridSpan w:val="2"/>
          </w:tcPr>
          <w:p>
            <w:pPr>
              <w:spacing w:after="0" w:line="122" w:lineRule="exact"/>
              <w:rPr>
                <w:sz w:val="20"/>
                <w:szCs w:val="20"/>
                <w:color w:val="auto"/>
              </w:rPr>
            </w:pPr>
            <w:r>
              <w:rPr>
                <w:rFonts w:ascii="Arial" w:cs="Arial" w:eastAsia="Arial" w:hAnsi="Arial"/>
                <w:sz w:val="14"/>
                <w:szCs w:val="14"/>
                <w:color w:val="auto"/>
              </w:rPr>
              <w:t>Other income (expense)</w:t>
            </w:r>
          </w:p>
        </w:tc>
        <w:tc>
          <w:tcPr>
            <w:tcW w:w="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4"/>
                <w:szCs w:val="14"/>
                <w:color w:val="auto"/>
              </w:rPr>
              <w:t>693</w:t>
            </w:r>
          </w:p>
        </w:tc>
        <w:tc>
          <w:tcPr>
            <w:tcW w:w="300" w:type="dxa"/>
            <w:vAlign w:val="bottom"/>
            <w:vMerge w:val="continue"/>
          </w:tcPr>
          <w:p>
            <w:pPr>
              <w:spacing w:after="0"/>
              <w:rPr>
                <w:sz w:val="10"/>
                <w:szCs w:val="10"/>
                <w:color w:val="auto"/>
              </w:rPr>
            </w:pPr>
          </w:p>
        </w:tc>
        <w:tc>
          <w:tcPr>
            <w:tcW w:w="200" w:type="dxa"/>
            <w:vAlign w:val="bottom"/>
            <w:tcBorders>
              <w:bottom w:val="single" w:sz="8" w:color="auto"/>
            </w:tcBorders>
          </w:tcPr>
          <w:p>
            <w:pPr>
              <w:jc w:val="right"/>
              <w:ind w:right="48"/>
              <w:spacing w:after="0" w:line="122"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ind w:left="120"/>
              <w:spacing w:after="0" w:line="122" w:lineRule="exact"/>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693</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Unaudited Quarterly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Quarters</w:t>
            </w: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120" w:type="dxa"/>
            <w:vAlign w:val="bottom"/>
            <w:tcBorders>
              <w:bottom w:val="single" w:sz="8" w:color="auto"/>
            </w:tcBorders>
          </w:tcPr>
          <w:p>
            <w:pPr>
              <w:jc w:val="right"/>
              <w:ind w:right="332"/>
              <w:spacing w:after="0" w:line="129" w:lineRule="exact"/>
              <w:rPr>
                <w:sz w:val="20"/>
                <w:szCs w:val="20"/>
                <w:color w:val="auto"/>
              </w:rPr>
            </w:pPr>
            <w:r>
              <w:rPr>
                <w:rFonts w:ascii="Arial" w:cs="Arial" w:eastAsia="Arial" w:hAnsi="Arial"/>
                <w:sz w:val="13"/>
                <w:szCs w:val="13"/>
                <w:b w:val="1"/>
                <w:bCs w:val="1"/>
                <w:color w:val="auto"/>
              </w:rPr>
              <w:t>First</w:t>
            </w:r>
          </w:p>
        </w:tc>
        <w:tc>
          <w:tcPr>
            <w:tcW w:w="420" w:type="dxa"/>
            <w:vAlign w:val="bottom"/>
          </w:tcPr>
          <w:p>
            <w:pPr>
              <w:spacing w:after="0"/>
              <w:rPr>
                <w:sz w:val="11"/>
                <w:szCs w:val="11"/>
                <w:color w:val="auto"/>
              </w:rPr>
            </w:pPr>
          </w:p>
        </w:tc>
        <w:tc>
          <w:tcPr>
            <w:tcW w:w="11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Second</w:t>
            </w:r>
          </w:p>
        </w:tc>
        <w:tc>
          <w:tcPr>
            <w:tcW w:w="440" w:type="dxa"/>
            <w:vAlign w:val="bottom"/>
          </w:tcPr>
          <w:p>
            <w:pPr>
              <w:spacing w:after="0"/>
              <w:rPr>
                <w:sz w:val="11"/>
                <w:szCs w:val="11"/>
                <w:color w:val="auto"/>
              </w:rPr>
            </w:pPr>
          </w:p>
        </w:tc>
        <w:tc>
          <w:tcPr>
            <w:tcW w:w="1120" w:type="dxa"/>
            <w:vAlign w:val="bottom"/>
            <w:tcBorders>
              <w:bottom w:val="single" w:sz="8" w:color="auto"/>
            </w:tcBorders>
          </w:tcPr>
          <w:p>
            <w:pPr>
              <w:ind w:left="400"/>
              <w:spacing w:after="0" w:line="129" w:lineRule="exact"/>
              <w:rPr>
                <w:sz w:val="20"/>
                <w:szCs w:val="20"/>
                <w:color w:val="auto"/>
              </w:rPr>
            </w:pPr>
            <w:r>
              <w:rPr>
                <w:rFonts w:ascii="Arial" w:cs="Arial" w:eastAsia="Arial" w:hAnsi="Arial"/>
                <w:sz w:val="13"/>
                <w:szCs w:val="13"/>
                <w:b w:val="1"/>
                <w:bCs w:val="1"/>
                <w:color w:val="auto"/>
              </w:rPr>
              <w:t>Third</w:t>
            </w:r>
          </w:p>
        </w:tc>
        <w:tc>
          <w:tcPr>
            <w:tcW w:w="420" w:type="dxa"/>
            <w:vAlign w:val="bottom"/>
          </w:tcPr>
          <w:p>
            <w:pPr>
              <w:spacing w:after="0"/>
              <w:rPr>
                <w:sz w:val="11"/>
                <w:szCs w:val="11"/>
                <w:color w:val="auto"/>
              </w:rPr>
            </w:pPr>
          </w:p>
        </w:tc>
        <w:tc>
          <w:tcPr>
            <w:tcW w:w="11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Fourth</w:t>
            </w:r>
          </w:p>
        </w:tc>
        <w:tc>
          <w:tcPr>
            <w:tcW w:w="440" w:type="dxa"/>
            <w:vAlign w:val="bottom"/>
          </w:tcPr>
          <w:p>
            <w:pPr>
              <w:spacing w:after="0"/>
              <w:rPr>
                <w:sz w:val="11"/>
                <w:szCs w:val="11"/>
                <w:color w:val="auto"/>
              </w:rPr>
            </w:pPr>
          </w:p>
        </w:tc>
        <w:tc>
          <w:tcPr>
            <w:tcW w:w="1260" w:type="dxa"/>
            <w:vAlign w:val="bottom"/>
            <w:tcBorders>
              <w:bottom w:val="single" w:sz="8" w:color="auto"/>
            </w:tcBorders>
          </w:tcPr>
          <w:p>
            <w:pPr>
              <w:jc w:val="right"/>
              <w:ind w:right="43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Sales</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$378,317</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$266,449</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$276,733</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$287,203</w:t>
            </w:r>
          </w:p>
        </w:tc>
        <w:tc>
          <w:tcPr>
            <w:tcW w:w="1700" w:type="dxa"/>
            <w:vAlign w:val="bottom"/>
            <w:gridSpan w:val="2"/>
          </w:tcPr>
          <w:p>
            <w:pPr>
              <w:jc w:val="right"/>
              <w:ind w:right="217"/>
              <w:spacing w:after="0"/>
              <w:rPr>
                <w:sz w:val="20"/>
                <w:szCs w:val="20"/>
                <w:color w:val="auto"/>
              </w:rPr>
            </w:pPr>
            <w:r>
              <w:rPr>
                <w:rFonts w:ascii="Arial" w:cs="Arial" w:eastAsia="Arial" w:hAnsi="Arial"/>
                <w:sz w:val="18"/>
                <w:szCs w:val="18"/>
                <w:color w:val="auto"/>
              </w:rPr>
              <w:t>$1,208,702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181,146</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126,142</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134,173</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136,122</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577,583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56,194</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4,618</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29,272</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30,289</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120,373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37,110</w:t>
            </w:r>
          </w:p>
        </w:tc>
        <w:tc>
          <w:tcPr>
            <w:tcW w:w="15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(4,150)</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17,960</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19,202</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70,122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0.70</w:t>
            </w:r>
          </w:p>
        </w:tc>
        <w:tc>
          <w:tcPr>
            <w:tcW w:w="15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(0.08)</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0.34</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0.37</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0.69</w:t>
            </w:r>
          </w:p>
        </w:tc>
        <w:tc>
          <w:tcPr>
            <w:tcW w:w="1560" w:type="dxa"/>
            <w:vAlign w:val="bottom"/>
            <w:gridSpan w:val="2"/>
          </w:tcPr>
          <w:p>
            <w:pPr>
              <w:jc w:val="right"/>
              <w:ind w:right="157"/>
              <w:spacing w:after="0"/>
              <w:rPr>
                <w:sz w:val="20"/>
                <w:szCs w:val="20"/>
                <w:color w:val="auto"/>
              </w:rPr>
            </w:pPr>
            <w:r>
              <w:rPr>
                <w:rFonts w:ascii="Arial" w:cs="Arial" w:eastAsia="Arial" w:hAnsi="Arial"/>
                <w:sz w:val="18"/>
                <w:szCs w:val="18"/>
                <w:color w:val="auto"/>
              </w:rPr>
              <w:t>(0.08)</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0.34</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0.37</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Sales</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$380,134</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$364,124</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$381,909</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$396,849</w:t>
            </w:r>
          </w:p>
        </w:tc>
        <w:tc>
          <w:tcPr>
            <w:tcW w:w="1700" w:type="dxa"/>
            <w:vAlign w:val="bottom"/>
            <w:gridSpan w:val="2"/>
          </w:tcPr>
          <w:p>
            <w:pPr>
              <w:jc w:val="right"/>
              <w:ind w:right="217"/>
              <w:spacing w:after="0"/>
              <w:rPr>
                <w:sz w:val="20"/>
                <w:szCs w:val="20"/>
                <w:color w:val="auto"/>
              </w:rPr>
            </w:pPr>
            <w:r>
              <w:rPr>
                <w:rFonts w:ascii="Arial" w:cs="Arial" w:eastAsia="Arial" w:hAnsi="Arial"/>
                <w:sz w:val="18"/>
                <w:szCs w:val="18"/>
                <w:color w:val="auto"/>
              </w:rPr>
              <w:t>$1,523,016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187,667</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175,023</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189,576</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191,929</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744,195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58,338</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42,444</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52,582</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54,320</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207,684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36,370</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26,690</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34,353</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34,775</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0.67</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0.49</w:t>
            </w:r>
          </w:p>
        </w:tc>
        <w:tc>
          <w:tcPr>
            <w:tcW w:w="156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0.64</w:t>
            </w:r>
          </w:p>
        </w:tc>
        <w:tc>
          <w:tcPr>
            <w:tcW w:w="156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0.65</w:t>
            </w:r>
          </w:p>
        </w:tc>
        <w:tc>
          <w:tcPr>
            <w:tcW w:w="17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0.66</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197"/>
              <w:spacing w:after="0"/>
              <w:rPr>
                <w:sz w:val="20"/>
                <w:szCs w:val="20"/>
                <w:color w:val="auto"/>
              </w:rPr>
            </w:pPr>
            <w:r>
              <w:rPr>
                <w:rFonts w:ascii="Arial" w:cs="Arial" w:eastAsia="Arial" w:hAnsi="Arial"/>
                <w:sz w:val="18"/>
                <w:szCs w:val="18"/>
                <w:color w:val="auto"/>
              </w:rPr>
              <w:t>0.63</w:t>
            </w:r>
          </w:p>
        </w:tc>
        <w:tc>
          <w:tcPr>
            <w:tcW w:w="1560" w:type="dxa"/>
            <w:vAlign w:val="bottom"/>
            <w:gridSpan w:val="2"/>
          </w:tcPr>
          <w:p>
            <w:pPr>
              <w:jc w:val="right"/>
              <w:ind w:right="217"/>
              <w:spacing w:after="0"/>
              <w:rPr>
                <w:sz w:val="20"/>
                <w:szCs w:val="20"/>
                <w:color w:val="auto"/>
              </w:rPr>
            </w:pPr>
            <w:r>
              <w:rPr>
                <w:rFonts w:ascii="Arial" w:cs="Arial" w:eastAsia="Arial" w:hAnsi="Arial"/>
                <w:sz w:val="18"/>
                <w:szCs w:val="18"/>
                <w:color w:val="auto"/>
              </w:rPr>
              <w:t>0.64</w:t>
            </w:r>
          </w:p>
        </w:tc>
        <w:tc>
          <w:tcPr>
            <w:tcW w:w="1700" w:type="dxa"/>
            <w:vAlign w:val="bottom"/>
            <w:gridSpan w:val="2"/>
          </w:tcPr>
          <w:p>
            <w:pPr>
              <w:jc w:val="right"/>
              <w:ind w:right="197"/>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Fiscal 2009 had a net before tax restructuring charge by quarter of $1,639, $19,408, $2,229, and $2,573 for a total of $25,849.</w:t>
      </w:r>
    </w:p>
    <w:p>
      <w:pPr>
        <w:spacing w:after="0" w:line="77" w:lineRule="exact"/>
        <w:rPr>
          <w:sz w:val="20"/>
          <w:szCs w:val="20"/>
          <w:color w:val="auto"/>
        </w:rPr>
      </w:pPr>
    </w:p>
    <w:p>
      <w:pPr>
        <w:ind w:left="460" w:right="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Fiscal 2009 included a net after tax restructuring charge by quarter of $1,180, $13,974, $1,605, and $3,464 (including $1,611 income tax expense) for a total of $20,224.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carried out an evaluation, under the supervision and with the participation of its management, including the Chief Executive Officer and Chief Financial Officer, of the effectiveness of the Company’s “disclosure controls and procedures” (as defined in the Exchange Act Rule 13a-15(e)) as of the end of the period covered by this report. Based on that evaluation, the Company’s Chief Executive Officer and Chief Financial Officer concluded that the Company’s disclosure controls and procedures are effective as of July 31,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 xml:space="preserve">With the participation of the Chief Executive Officer and the Chief Financial Officer, our management conducted an evaluation of the effectiveness of our internal control over financial reporting as of July 31, 2009, based on the framework and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issued by the Committee of Sponsoring Organizations of the Treadway Commission</w:t>
      </w:r>
      <w:r>
        <w:rPr>
          <w:rFonts w:ascii="Arial" w:cs="Arial" w:eastAsia="Arial" w:hAnsi="Arial"/>
          <w:sz w:val="18"/>
          <w:szCs w:val="18"/>
          <w:i w:val="1"/>
          <w:iCs w:val="1"/>
          <w:color w:val="auto"/>
        </w:rPr>
        <w:t>.</w:t>
      </w:r>
      <w:r>
        <w:rPr>
          <w:rFonts w:ascii="Arial" w:cs="Arial" w:eastAsia="Arial" w:hAnsi="Arial"/>
          <w:sz w:val="18"/>
          <w:szCs w:val="18"/>
          <w:color w:val="auto"/>
        </w:rPr>
        <w:t xml:space="preserve"> Based on the assessment, management concluded that, as of July 31, 2009, the Company’s internal control over financial reporting is effective based on those criteria. The Company’s internal control over financial reporting, as of July 31, 2009, has been audited by Deloitte &amp; Touche LLP, an independent registered public accounting firm, as stated in their report, which is included herein.</w:t>
      </w:r>
    </w:p>
    <w:p>
      <w:pPr>
        <w:spacing w:after="0" w:line="85"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Company’s most recently completed fiscal quarter that have materially affected, or are reasonably likely to materially affect, the Company’s internal control over financial reporting.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Brady Corporation and subsidiaries (the “Company”) as of July 31, 2009,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2009,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6"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July 31, 2009, of the Company and our report dated September 28, 2009, expressed an unqualified opinion on those consolidated financial statements and financial statement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By unanimous written consent effective September 24, 2009, the holders of the Company’s Class B Common Stock approved the Brady Corporation 2010 Omnibus Incentive Stock Plan (the “2010 Omnibus Plan”) and the Brady Corporation 2010 Nonqualified Stock Option Plan for Non-employee Directors (the “2010 Directors Plan”). Under the terms of the 2010 Omnibus Plan, pursuant to which 3,000,000 shares of the Company’s Class A Common Stock have been authorized for issuance, the Company may grant nonqualified stock options, incentive stock options, shares of restricted stock and restricted stock units to eligible employees of the Company and its affiliates. The 2010 Omnibus Plan, which became effective upon shareholder approval, provides that after December 31, 2009, no further awards or grants shall be made under the Company’s 2006 Omnibus Incentive Stock Plan. Under the terms of the 2010 Directors Plan, pursuant to which 200,000 shares of the Company’s Class A Common Stock have been authorized for issuance, each non-employee Director is granted an option to purchase 10,000 shares of the Company’s common stock two weeks after first becoming a director and 8,400 shares of the Company’s common stock on an annual basis thereafter. The 2010 Directors Plan became effective upon shareholder approval. The foregoing descriptions of the 2010 Omnibus Plan and 2010 Directors Plan do not purport to be complete and are qualified in their entirety by reference to the full text of the 2010 Omnibus Plan and 2010 Directors Plan, copies of which are filed as Exhibits 10.28 and 10.29, respectively, to this Form 10-K and are incorporated herein by reference. Forms of granting agreements under the 2010 Omnibus Plan are filed as Exhibit 10.30 to this Form 10-K, and the form of granting agreement under the 2010 Directors Plan is filed as Exhibit 10.31 to this Form 10-K.</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b w:val="1"/>
                <w:bCs w:val="1"/>
                <w:color w:val="auto"/>
              </w:rPr>
              <w:t>PART III</w:t>
            </w:r>
          </w:p>
        </w:tc>
        <w:tc>
          <w:tcPr>
            <w:tcW w:w="0" w:type="dxa"/>
            <w:vAlign w:val="bottom"/>
          </w:tcPr>
          <w:p>
            <w:pPr>
              <w:spacing w:after="0"/>
              <w:rPr>
                <w:sz w:val="1"/>
                <w:szCs w:val="1"/>
                <w:color w:val="auto"/>
              </w:rPr>
            </w:pP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w w:val="88"/>
              </w:rPr>
              <w:t xml:space="preserve">Item 10. </w:t>
            </w:r>
            <w:r>
              <w:rPr>
                <w:rFonts w:ascii="Arial" w:cs="Arial" w:eastAsia="Arial" w:hAnsi="Arial"/>
                <w:sz w:val="18"/>
                <w:szCs w:val="18"/>
                <w:b w:val="1"/>
                <w:bCs w:val="1"/>
                <w:i w:val="1"/>
                <w:iCs w:val="1"/>
                <w:color w:val="auto"/>
                <w:w w:val="88"/>
              </w:rPr>
              <w:t>Directors and Executive Officers of the Registrant</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tcPr>
          <w:p>
            <w:pPr>
              <w:ind w:left="270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CEO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Sr. V.P., CFO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Bolens</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V.P., Treasurer, Director of Investor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Allan J. Klotsche</w:t>
            </w:r>
          </w:p>
        </w:tc>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President — Brady Asia-Pacific and V.P., Brady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President — Brady Europe and V.P., Brady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Matthew O. Williamson</w:t>
            </w:r>
          </w:p>
        </w:tc>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President — Brady Americas and V.P., Brady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V.P. and 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Bentley N. Curran</w:t>
            </w:r>
          </w:p>
        </w:tc>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V.P. and 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Johnson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V.P.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Patrick S. Ference</w:t>
            </w:r>
          </w:p>
        </w:tc>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V.P. —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Elizabeth Pungello</w:t>
            </w:r>
          </w:p>
        </w:tc>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Buchanan</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Richard A. Bemis</w:t>
            </w:r>
          </w:p>
        </w:tc>
        <w:tc>
          <w:tcPr>
            <w:tcW w:w="780" w:type="dxa"/>
            <w:vAlign w:val="bottom"/>
          </w:tcPr>
          <w:p>
            <w:pPr>
              <w:ind w:left="36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Gary E. Nei</w:t>
            </w:r>
          </w:p>
        </w:tc>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R. Jarc</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Chan W. Galbato</w:t>
            </w:r>
          </w:p>
        </w:tc>
        <w:tc>
          <w:tcPr>
            <w:tcW w:w="780" w:type="dxa"/>
            <w:vAlign w:val="bottom"/>
          </w:tcPr>
          <w:p>
            <w:pPr>
              <w:ind w:left="3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Bradley C. Richardson</w:t>
            </w:r>
          </w:p>
        </w:tc>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Frank M. Jaehnert </w:t>
      </w:r>
      <w:r>
        <w:rPr>
          <w:rFonts w:ascii="Arial" w:cs="Arial" w:eastAsia="Arial" w:hAnsi="Arial"/>
          <w:sz w:val="18"/>
          <w:szCs w:val="18"/>
          <w:color w:val="auto"/>
        </w:rPr>
        <w:t>— Mr. Jaehnert joined the Company in 1995 as Finance Director of the Identification Solutions &amp; Specialty Tapes Group.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November 1996 to January 2002. He served as Senior Vice President of the Company and President, Identification Solutions and Specialty Tapes Group from January 2002 to March 2003. In February 2003, he was appointed to his current position, effective April 1, 2003. He has served as a Director of the Company since April 2003. Before joining the Company, he held various financial and management positions for Robert Bosch GmbH from 1983 to 1995.</w:t>
      </w:r>
    </w:p>
    <w:p>
      <w:pPr>
        <w:spacing w:after="0" w:line="8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i w:val="1"/>
          <w:iCs w:val="1"/>
          <w:color w:val="auto"/>
        </w:rPr>
        <w:t xml:space="preserve">Thomas J. Felmer </w:t>
      </w:r>
      <w:r>
        <w:rPr>
          <w:rFonts w:ascii="Arial" w:cs="Arial" w:eastAsia="Arial" w:hAnsi="Arial"/>
          <w:sz w:val="16"/>
          <w:szCs w:val="16"/>
          <w:color w:val="auto"/>
        </w:rPr>
        <w:t>— Mr. Felmer joined the Company in 1989 and has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combined European Seton and Signmark businesses, which he also led for two years. In 2003, Mr. Felmer returned to Milwaukee where he was responsible for Brady’s global sales and marketing processes, Brady Software businesses, and due diligence/integration of the EMED acquisition. In June 2004, he was appointed President-Direct Marketing Americas, and was named Chief Financial Officer in January 2008.</w:t>
      </w:r>
    </w:p>
    <w:p>
      <w:pPr>
        <w:spacing w:after="0" w:line="50"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i w:val="1"/>
          <w:iCs w:val="1"/>
          <w:color w:val="auto"/>
        </w:rPr>
        <w:t xml:space="preserve">Barbara Bolens </w:t>
      </w:r>
      <w:r>
        <w:rPr>
          <w:rFonts w:ascii="Arial" w:cs="Arial" w:eastAsia="Arial" w:hAnsi="Arial"/>
          <w:sz w:val="18"/>
          <w:szCs w:val="18"/>
          <w:color w:val="auto"/>
        </w:rPr>
        <w:t>— Ms. Bolens joined the Company in 1986 and has held a wide variety of positions beginning in customer service and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progressing through product management and new product development. For 10 years, she had been the Assistant Treasurer and has held several other positions on the Corporate Finance Team throughout that time. She was appointed to her present position in November 2004. Ms. Bolens also holds the position of Director of Investor Relations.</w:t>
      </w:r>
    </w:p>
    <w:p>
      <w:pPr>
        <w:spacing w:after="0" w:line="7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i w:val="1"/>
          <w:iCs w:val="1"/>
          <w:color w:val="auto"/>
        </w:rPr>
        <w:t xml:space="preserve">Allan J. Klotsche </w:t>
      </w:r>
      <w:r>
        <w:rPr>
          <w:rFonts w:ascii="Arial" w:cs="Arial" w:eastAsia="Arial" w:hAnsi="Arial"/>
          <w:sz w:val="18"/>
          <w:szCs w:val="18"/>
          <w:color w:val="auto"/>
        </w:rPr>
        <w:t>— Mr. Klotsche joined the Company in 1988. He served in a variety of sales, marketing, technical, and management roles until 1998,</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was appointed V.P. and General Manager of the Precision Tapes Group. He was appointed to his current position as President — Brady Asia Pacific in April 2003. He is also responsible for Brady’s global die-cut business and strategic account management. He holds an MBA from the University of Wisconsin-Milwaukee.</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Peter C. Sephton </w:t>
      </w:r>
      <w:r>
        <w:rPr>
          <w:rFonts w:ascii="Arial" w:cs="Arial" w:eastAsia="Arial" w:hAnsi="Arial"/>
          <w:sz w:val="18"/>
          <w:szCs w:val="18"/>
          <w:color w:val="auto"/>
        </w:rPr>
        <w:t>— Mr. Sephton joined the Company in 1997 as Managing Director — Seton-U.K. From 2001 to 2003 he served as managing director for</w:t>
      </w:r>
      <w:r>
        <w:rPr>
          <w:rFonts w:ascii="Arial" w:cs="Arial" w:eastAsia="Arial" w:hAnsi="Arial"/>
          <w:sz w:val="18"/>
          <w:szCs w:val="18"/>
          <w:i w:val="1"/>
          <w:iCs w:val="1"/>
          <w:color w:val="auto"/>
        </w:rPr>
        <w:t xml:space="preserve"> </w:t>
      </w:r>
      <w:r>
        <w:rPr>
          <w:rFonts w:ascii="Arial" w:cs="Arial" w:eastAsia="Arial" w:hAnsi="Arial"/>
          <w:sz w:val="18"/>
          <w:szCs w:val="18"/>
          <w:color w:val="auto"/>
        </w:rPr>
        <w:t>Brady’s Identification 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Matthew O. Williamson </w:t>
      </w:r>
      <w:r>
        <w:rPr>
          <w:rFonts w:ascii="Arial" w:cs="Arial" w:eastAsia="Arial" w:hAnsi="Arial"/>
          <w:sz w:val="18"/>
          <w:szCs w:val="18"/>
          <w:color w:val="auto"/>
        </w:rPr>
        <w:t>— Mr. Williamson joined the Company in 1979. From 1979 to 1994, he served in a variety of sales and marketing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roles. From 1995 to 2003, Mr. Williamson served as the V.P. and General Manager of Brady’s various specialty tape and identification solution businesses.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President of the Brady Americas business. In addition to his role as President of the Brady Americas business, in January of 2008, Mr. Williamson assumed responsibility for the Direct Marketing Americas, and is currently serving as President of the Americas segment.</w:t>
      </w:r>
    </w:p>
    <w:p>
      <w:pPr>
        <w:spacing w:after="0" w:line="8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Robert L. Tatterson </w:t>
      </w:r>
      <w:r>
        <w:rPr>
          <w:rFonts w:ascii="Arial" w:cs="Arial" w:eastAsia="Arial" w:hAnsi="Arial"/>
          <w:sz w:val="18"/>
          <w:szCs w:val="18"/>
          <w:color w:val="auto"/>
        </w:rPr>
        <w:t>— Mr. Tatterson joined the Company in 2006 as Vice President and Chief Technology Officer. Before joining Brady, he held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with increasing responsibility at GE since 1992. Most recently, Mr. Tatterson served as Technology General Manager for GE Plastics’ Display and Optical Film business in Mt. Vernon, Indiana. He is a 6 Sigma Master Blackbelt and holds a Ph.D. in chemical engineering from the University of Michigan in Ann Arbor.</w:t>
      </w:r>
    </w:p>
    <w:p>
      <w:pPr>
        <w:spacing w:after="0" w:line="79"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i w:val="1"/>
          <w:iCs w:val="1"/>
          <w:color w:val="auto"/>
        </w:rPr>
        <w:t xml:space="preserve">Bentley N. Curran </w:t>
      </w:r>
      <w:r>
        <w:rPr>
          <w:rFonts w:ascii="Arial" w:cs="Arial" w:eastAsia="Arial" w:hAnsi="Arial"/>
          <w:sz w:val="16"/>
          <w:szCs w:val="16"/>
          <w:color w:val="auto"/>
        </w:rPr>
        <w:t>— Mr. Curran joined the Company in 1999 as global information technology director charged with building and deploying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infrastructure. Prior to joining Brady, he held various management and consultant positions for Compucom and Speed Queen Company. He is a graduate of Marian University and holds a bachelor of business degree and an associate of science degree in electronics and engineering systems.</w:t>
      </w:r>
    </w:p>
    <w:p>
      <w:pPr>
        <w:spacing w:after="0" w:line="3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i w:val="1"/>
          <w:iCs w:val="1"/>
          <w:color w:val="auto"/>
        </w:rPr>
        <w:t xml:space="preserve">Kathleen M. Johnson </w:t>
      </w:r>
      <w:r>
        <w:rPr>
          <w:rFonts w:ascii="Arial" w:cs="Arial" w:eastAsia="Arial" w:hAnsi="Arial"/>
          <w:sz w:val="16"/>
          <w:szCs w:val="16"/>
          <w:color w:val="auto"/>
        </w:rPr>
        <w:t>— Ms. Johnson joined the Company in 1989 as controller of a division of Brady and became group finance director in 1996.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Vice President. In 2008 she was appointed Chief Accounting Officer. Prior to joining Brady, she spent six years with Kraft Food Service. She started her career as a CPA with Deloitte. She holds a bachelor’s degree in accounting from the University of Wisconsin-Whitewater.</w:t>
      </w:r>
    </w:p>
    <w:p>
      <w:pPr>
        <w:spacing w:after="0" w:line="39"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Patrick Ference </w:t>
      </w:r>
      <w:r>
        <w:rPr>
          <w:rFonts w:ascii="Arial" w:cs="Arial" w:eastAsia="Arial" w:hAnsi="Arial"/>
          <w:sz w:val="18"/>
          <w:szCs w:val="18"/>
          <w:color w:val="auto"/>
        </w:rPr>
        <w:t>— Mr. Ference joined the Company in 2008 as Vice President — Human Resources, responsible for Brady’s global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Prior to joining Brady, he was Vice President, Corporate Human Resources for Cooper Industries, Ltd., where he was employed since 1997. He holds a bachelor of science degree from Indiana University of Pennsylvania and is a graduate of Cooper’s Leadership Program sponsored through the Jones Graduate School of Management at Rice University.</w:t>
      </w:r>
    </w:p>
    <w:p>
      <w:pPr>
        <w:spacing w:after="0" w:line="7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i w:val="1"/>
          <w:iCs w:val="1"/>
          <w:color w:val="auto"/>
        </w:rPr>
        <w:t xml:space="preserve">Conrad G. Goodkind </w:t>
      </w:r>
      <w:r>
        <w:rPr>
          <w:rFonts w:ascii="Arial" w:cs="Arial" w:eastAsia="Arial" w:hAnsi="Arial"/>
          <w:sz w:val="16"/>
          <w:szCs w:val="16"/>
          <w:color w:val="auto"/>
        </w:rPr>
        <w:t>— Mr. Goodkind served as Secretary of the Company from November 1999 until November 2007, and was elected to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September 2007. He serves as a member of the Corporate Governance and Retirement Committees, and chairs the Finance Committee. He is an attorney in the law firm of Quarles &amp; Brady LLP, which he joined in 1979. He served as a member of the Executive Committee of Quarles &amp; Brady LLP from 1983 to 2005. Mr. Goodkind was a director of Cade Industries, Inc. from 1989 to 1999, and a director of Able Distributing Co., Inc., from 1994 to 2005.</w:t>
      </w:r>
    </w:p>
    <w:p>
      <w:pPr>
        <w:spacing w:after="0" w:line="46"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Elizabeth Pungello </w:t>
      </w:r>
      <w:r>
        <w:rPr>
          <w:rFonts w:ascii="Arial" w:cs="Arial" w:eastAsia="Arial" w:hAnsi="Arial"/>
          <w:sz w:val="18"/>
          <w:szCs w:val="18"/>
          <w:color w:val="auto"/>
        </w:rPr>
        <w:t>— Dr. Pungello has been a Director of the Company since November 2003. She is a member of the Company’s Finance,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and Technology Committees. Dr. Pungello is the great-granddaughter of Brady founder William H. Brady, Sr., and a developmental psychologist at the Frank Porter Graham Child Development Institute at the University of North Carolina at Chapel Hill. She has served as president of the Brady Education Foundation (formerly the W.H. Brady Foundation) since January 2001.</w:t>
      </w:r>
    </w:p>
    <w:p>
      <w:pPr>
        <w:spacing w:after="0" w:line="79" w:lineRule="exact"/>
        <w:rPr>
          <w:sz w:val="20"/>
          <w:szCs w:val="20"/>
          <w:color w:val="auto"/>
        </w:rPr>
      </w:pPr>
    </w:p>
    <w:p>
      <w:pPr>
        <w:ind w:right="340" w:firstLine="225"/>
        <w:spacing w:after="0" w:line="312" w:lineRule="auto"/>
        <w:rPr>
          <w:sz w:val="20"/>
          <w:szCs w:val="20"/>
          <w:color w:val="auto"/>
        </w:rPr>
      </w:pPr>
      <w:r>
        <w:rPr>
          <w:rFonts w:ascii="Arial" w:cs="Arial" w:eastAsia="Arial" w:hAnsi="Arial"/>
          <w:sz w:val="16"/>
          <w:szCs w:val="16"/>
          <w:i w:val="1"/>
          <w:iCs w:val="1"/>
          <w:color w:val="auto"/>
        </w:rPr>
        <w:t xml:space="preserve">Robert C. Buchanan </w:t>
      </w:r>
      <w:r>
        <w:rPr>
          <w:rFonts w:ascii="Arial" w:cs="Arial" w:eastAsia="Arial" w:hAnsi="Arial"/>
          <w:sz w:val="16"/>
          <w:szCs w:val="16"/>
          <w:color w:val="auto"/>
        </w:rPr>
        <w:t>— Mr. Buchanan has been a Director of the Company since November 1987. Mr. Buchanan is chair of the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serves as a member of the Audit and Compensation Committees. Mr. Buchanan is the retired Chairman of the Board of Fox Valley Corporation in Appleton, Wisconsin. He is also a trustee of The Northwestern Mutual Life Insurance Company, Milwaukee, Wisconsin.</w:t>
      </w:r>
    </w:p>
    <w:p>
      <w:pPr>
        <w:spacing w:after="0" w:line="39"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i w:val="1"/>
          <w:iCs w:val="1"/>
          <w:color w:val="auto"/>
        </w:rPr>
        <w:t xml:space="preserve">Richard A. Bemis </w:t>
      </w:r>
      <w:r>
        <w:rPr>
          <w:rFonts w:ascii="Arial" w:cs="Arial" w:eastAsia="Arial" w:hAnsi="Arial"/>
          <w:sz w:val="17"/>
          <w:szCs w:val="17"/>
          <w:color w:val="auto"/>
        </w:rPr>
        <w:t>— Mr. Bemis has been a Director of the Company since January 1990 and is a member of its Corporate Governance, Finance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Committees. Mr. Bemis is Co-chairman of the Board of Directors of Bemis Manufacturing Company,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manufacturer of molded plastic products in Sheboygan Falls, Wisconsin. He is also a director of Integrys Corporation, Chicago, Illinois.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Frank W. Harris </w:t>
      </w:r>
      <w:r>
        <w:rPr>
          <w:rFonts w:ascii="Arial" w:cs="Arial" w:eastAsia="Arial" w:hAnsi="Arial"/>
          <w:sz w:val="18"/>
          <w:szCs w:val="18"/>
          <w:color w:val="auto"/>
        </w:rPr>
        <w:t>— Dr. Harris has been a Director of the Company since November 1991. Dr. Harris is a member of its Finance Committee, and chair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Technology Committee. He is an Emeritus Distinguished Professor of Polymer Science at the University of Akron, and has been on its faculty since 1983. He is also President and CEO of Akron Polymer Systems, a company that develops and markets polymer films, coatings and resins for high-performance applications.</w:t>
      </w:r>
    </w:p>
    <w:p>
      <w:pPr>
        <w:spacing w:after="0" w:line="79" w:lineRule="exact"/>
        <w:rPr>
          <w:sz w:val="20"/>
          <w:szCs w:val="20"/>
          <w:color w:val="auto"/>
        </w:rPr>
      </w:pPr>
    </w:p>
    <w:p>
      <w:pPr>
        <w:ind w:right="480" w:firstLine="225"/>
        <w:spacing w:after="0" w:line="286" w:lineRule="auto"/>
        <w:rPr>
          <w:sz w:val="20"/>
          <w:szCs w:val="20"/>
          <w:color w:val="auto"/>
        </w:rPr>
      </w:pPr>
      <w:r>
        <w:rPr>
          <w:rFonts w:ascii="Arial" w:cs="Arial" w:eastAsia="Arial" w:hAnsi="Arial"/>
          <w:sz w:val="17"/>
          <w:szCs w:val="17"/>
          <w:i w:val="1"/>
          <w:iCs w:val="1"/>
          <w:color w:val="auto"/>
        </w:rPr>
        <w:t xml:space="preserve">Gary E. Nei </w:t>
      </w:r>
      <w:r>
        <w:rPr>
          <w:rFonts w:ascii="Arial" w:cs="Arial" w:eastAsia="Arial" w:hAnsi="Arial"/>
          <w:sz w:val="17"/>
          <w:szCs w:val="17"/>
          <w:color w:val="auto"/>
        </w:rPr>
        <w:t>— Mr. Nei has been a Director of the Company since November 1992. Mr. Nei is a member of the Company’s Finance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Committees and Chair of its Compensation Committee. Mr. Nei is Chairman of Nei-Turner Media, a publishing company in Williams Bay, Wisconsin. He also serves as Chairman of the Beverage Testing Institute, a publishing company in Chicago, Illinois.</w:t>
      </w:r>
    </w:p>
    <w:p>
      <w:pPr>
        <w:spacing w:after="0" w:line="57" w:lineRule="exact"/>
        <w:rPr>
          <w:sz w:val="20"/>
          <w:szCs w:val="20"/>
          <w:color w:val="auto"/>
        </w:rPr>
      </w:pPr>
    </w:p>
    <w:p>
      <w:pPr>
        <w:ind w:right="60" w:firstLine="225"/>
        <w:spacing w:after="0" w:line="274" w:lineRule="auto"/>
        <w:rPr>
          <w:sz w:val="20"/>
          <w:szCs w:val="20"/>
          <w:color w:val="auto"/>
        </w:rPr>
      </w:pPr>
      <w:r>
        <w:rPr>
          <w:rFonts w:ascii="Arial" w:cs="Arial" w:eastAsia="Arial" w:hAnsi="Arial"/>
          <w:sz w:val="17"/>
          <w:szCs w:val="17"/>
          <w:i w:val="1"/>
          <w:iCs w:val="1"/>
          <w:color w:val="auto"/>
        </w:rPr>
        <w:t xml:space="preserve">Frank R. Jarc </w:t>
      </w:r>
      <w:r>
        <w:rPr>
          <w:rFonts w:ascii="Arial" w:cs="Arial" w:eastAsia="Arial" w:hAnsi="Arial"/>
          <w:sz w:val="17"/>
          <w:szCs w:val="17"/>
          <w:color w:val="auto"/>
        </w:rPr>
        <w:t>— Mr. Jarc has been a Director of the Company since May 2000. Mr. Jarc is chair of Brady’s Retirement Committee and is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and Compensation Committees. He is a consultant specializing in corporate development and international acquisitions. From April 1999 to</w:t>
      </w:r>
    </w:p>
    <w:p>
      <w:pPr>
        <w:ind w:right="180"/>
        <w:spacing w:after="0" w:line="277" w:lineRule="auto"/>
        <w:rPr>
          <w:sz w:val="20"/>
          <w:szCs w:val="20"/>
          <w:color w:val="auto"/>
        </w:rPr>
      </w:pPr>
      <w:r>
        <w:rPr>
          <w:rFonts w:ascii="Arial" w:cs="Arial" w:eastAsia="Arial" w:hAnsi="Arial"/>
          <w:sz w:val="17"/>
          <w:szCs w:val="17"/>
          <w:color w:val="auto"/>
        </w:rPr>
        <w:t>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w:t>
      </w:r>
    </w:p>
    <w:p>
      <w:pPr>
        <w:spacing w:after="0" w:line="65"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i w:val="1"/>
          <w:iCs w:val="1"/>
          <w:color w:val="auto"/>
        </w:rPr>
        <w:t xml:space="preserve">Chan W. Galbato </w:t>
      </w:r>
      <w:r>
        <w:rPr>
          <w:rFonts w:ascii="Arial" w:cs="Arial" w:eastAsia="Arial" w:hAnsi="Arial"/>
          <w:sz w:val="18"/>
          <w:szCs w:val="18"/>
          <w:color w:val="auto"/>
        </w:rPr>
        <w:t>— Mr. Galbato was elected to the Board of Directors in November 2006, and serves as a member of the Audit and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Since 2007, he has provided strategy and operations consulting services for CWG Hillside Investments. Prior to his current position, he served as President and CEO of the controls division of Invensys plc from 2005 to 2007. Prior to his position with Invensys, he served as president of services at Home Depot; president and chief executive officer of Armstrong Floor Products; chief executive officer of Choice Parts; and chief executive officer of Coregis Insurance Company, a GE Capital company.</w:t>
      </w:r>
    </w:p>
    <w:p>
      <w:pPr>
        <w:spacing w:after="0" w:line="80"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i w:val="1"/>
          <w:iCs w:val="1"/>
          <w:color w:val="auto"/>
        </w:rPr>
        <w:t xml:space="preserve">Patrick W. Allender </w:t>
      </w:r>
      <w:r>
        <w:rPr>
          <w:rFonts w:ascii="Arial" w:cs="Arial" w:eastAsia="Arial" w:hAnsi="Arial"/>
          <w:sz w:val="18"/>
          <w:szCs w:val="18"/>
          <w:color w:val="auto"/>
        </w:rPr>
        <w:t>— Mr. Allender was elected to the Board of Directors in September 2007 and serves as a member of the Audit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He is the former Executive Vice President and Chief Financial Officer of Danaher Corporation, which he joined in 1987 as CFO and secretary. Prior to joining Danaher, Mr. Allender was a partner with Arthur Andersen LLP. Mr. Allender is currently a member of the Board of Directors of Colfax Corporation, and a member of the Board of Visitors and Governors of Washington College.</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i w:val="1"/>
          <w:iCs w:val="1"/>
          <w:color w:val="auto"/>
        </w:rPr>
        <w:t xml:space="preserve">Bradley C. Richardson </w:t>
      </w:r>
      <w:r>
        <w:rPr>
          <w:rFonts w:ascii="Arial" w:cs="Arial" w:eastAsia="Arial" w:hAnsi="Arial"/>
          <w:sz w:val="18"/>
          <w:szCs w:val="18"/>
          <w:color w:val="auto"/>
        </w:rPr>
        <w:t>— Mr. Richardson was elected to the Board of Directors in November 2007 and serves as chair of the Audit Committee and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Finance Committee. He is Executive Vice President, Corporate Strategy and Chief Financial Officer of Modine Manufacturing Company. Prior to his current position, he spent more than twenty years in a variety of financial and operational positions at BP Amoco including CFO and VP of performance management and control for their Worldwide Exploration and Production division based in London, president of their businesses in Venezuela and CFO for Amoco Energy Group North America. Mr. Richardson currently serves on the Board of Directors for Modine Manufacturing Company and Tronox Incorporated.</w:t>
      </w:r>
    </w:p>
    <w:p>
      <w:pPr>
        <w:spacing w:after="0" w:line="85" w:lineRule="exact"/>
        <w:rPr>
          <w:sz w:val="20"/>
          <w:szCs w:val="20"/>
          <w:color w:val="auto"/>
        </w:rPr>
      </w:pPr>
    </w:p>
    <w:p>
      <w:pPr>
        <w:ind w:right="180" w:firstLine="215"/>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38"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Audit Committee Financial Expert </w:t>
      </w:r>
      <w:r>
        <w:rPr>
          <w:rFonts w:ascii="Arial" w:cs="Arial" w:eastAsia="Arial" w:hAnsi="Arial"/>
          <w:sz w:val="18"/>
          <w:szCs w:val="18"/>
          <w:color w:val="auto"/>
        </w:rPr>
        <w:t>— The Company’s board of directors has determined that at least one audit committee financial expert is serving on its</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Mr. Richardson, chair of the audit committee, and Mr. Allender, Mr. Jarc, and Mr. Galbato, members of the audit committee, are financial experts and are independent as that term is used in Item 7(d)(3)(iv) of Schedule 14A under the Exchange Act.</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Director Independence </w:t>
      </w:r>
      <w:r>
        <w:rPr>
          <w:rFonts w:ascii="Arial" w:cs="Arial" w:eastAsia="Arial" w:hAnsi="Arial"/>
          <w:sz w:val="18"/>
          <w:szCs w:val="18"/>
          <w:color w:val="auto"/>
        </w:rPr>
        <w:t>— A majority of the directors must meet the criteria for independence established by the Board in accordance with the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Frank Jaehnert, President and CEO, are deemed independent.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225"/>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w:t>
      </w:r>
      <w:r>
        <w:rPr>
          <w:rFonts w:ascii="Arial" w:cs="Arial" w:eastAsia="Arial" w:hAnsi="Arial"/>
          <w:sz w:val="16"/>
          <w:szCs w:val="16"/>
          <w:color w:val="auto"/>
        </w:rPr>
        <w:t>— 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Mr. Buchanan, Chairman of the Corporate Governance Committee, is the presiding director at these sessions. In fiscal 2009, there were five executive sessions. Interested parties can raise concerns to be addressed at these meetings by calling the confidential Brady hotline at 1-800-368-3613.</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Audit Committee Members </w:t>
      </w:r>
      <w:r>
        <w:rPr>
          <w:rFonts w:ascii="Arial" w:cs="Arial" w:eastAsia="Arial" w:hAnsi="Arial"/>
          <w:sz w:val="17"/>
          <w:szCs w:val="17"/>
          <w:color w:val="auto"/>
        </w:rPr>
        <w:t>— The Audit Committee, which is a separately-designated standing committee of the Board of Directors, is composed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Richardson (Chairman), Mr. Buchanan, Mr. Galbato, Mr. Jarc and Mr. Allender. Each member of the Audit Committee has been determined by the Board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independent under the rules of the SEC and NYSE. The charter for the Audit Committee is available on the Company’s corporate website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www.bradycorp.com.</w:t>
      </w:r>
    </w:p>
    <w:p>
      <w:pPr>
        <w:spacing w:after="0" w:line="10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 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 Brady’s Corporate Governance Principles, as well as the charters for the Audit Committee,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Compensation Committee, are available on the Company’s Corporate website, www.bradycorp.com. Shareholders may request printed copies of these documents from Brady Corporation, Investor Relations, P.O. Box 571, Milwaukee, WI 53201.</w:t>
      </w:r>
    </w:p>
    <w:p>
      <w:pPr>
        <w:spacing w:after="0" w:line="73"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i w:val="1"/>
          <w:iCs w:val="1"/>
          <w:color w:val="auto"/>
        </w:rPr>
        <w:t xml:space="preserve">Certifications </w:t>
      </w:r>
      <w:r>
        <w:rPr>
          <w:rFonts w:ascii="Arial" w:cs="Arial" w:eastAsia="Arial" w:hAnsi="Arial"/>
          <w:sz w:val="16"/>
          <w:szCs w:val="16"/>
          <w:color w:val="auto"/>
        </w:rPr>
        <w:t>— We have attached the required certifications under Section 302 of the Sarbanes-Oxley Act of 2002 regarding the quality of our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 Exhibits 31.1 and 31.2 to this report. Additionally, on October 20, 2008, the Company filed with the New York Stock Exchange (“NYSE”) an annual certification regarding our compliance with the NYSE’s corporate governance listing standards as required by NYSE Rule 303A.12(a).</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79"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2009, all Section 16(a) filing requirements applicable to its officers, directors and greater than 10 percent beneficial owners were complied with.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17"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Compensation Discussion and Analysis explains the compensation philosophy, policies and practices of the Company with respect to its executives and management. The following information and analyses will focus primarily on the compensation provided to the Company’s principal executive officer, principal financial officer and its other three most highly compensated executives, who are collectively referred to in this section as the “named executive officers.”</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For purposes of this section, named executive officers refers to Frank M. Jaehnert, President, Chief Executive Officer and Director; Thomas J. Felmer, Senior Vice President and Chief Financial Officer; Peter C. Sephton, President — Brady Europe and Vice President, Brady Corporation; Matthew O. Williamson, President — Brady Americas and Vice President, Brady Corporation; and Allan J. Klotsche, President — Brady Asia-Pacific and Vice President, Brady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 and Philosophy</w:t>
      </w:r>
    </w:p>
    <w:p>
      <w:pPr>
        <w:spacing w:after="0" w:line="121" w:lineRule="exact"/>
        <w:rPr>
          <w:sz w:val="20"/>
          <w:szCs w:val="20"/>
          <w:color w:val="auto"/>
        </w:rPr>
      </w:pPr>
    </w:p>
    <w:p>
      <w:pPr>
        <w:jc w:val="both"/>
        <w:ind w:right="220" w:firstLine="222"/>
        <w:spacing w:after="0" w:line="312" w:lineRule="auto"/>
        <w:rPr>
          <w:sz w:val="20"/>
          <w:szCs w:val="20"/>
          <w:color w:val="auto"/>
        </w:rPr>
      </w:pPr>
      <w:r>
        <w:rPr>
          <w:rFonts w:ascii="Arial" w:cs="Arial" w:eastAsia="Arial" w:hAnsi="Arial"/>
          <w:sz w:val="16"/>
          <w:szCs w:val="16"/>
          <w:color w:val="auto"/>
        </w:rPr>
        <w:t>The goal of our executive compensation program is to build long-term value for our shareholders by aligning the financial interests of our management team with those of our shareholders. It is also intended to enable leadership to attract, motivate and retain a team of highly talented individuals to run a top-tier performance company and ensure that the Company’s executives are in possession of a meaningful amount of Company stock.</w:t>
      </w:r>
    </w:p>
    <w:p>
      <w:pPr>
        <w:spacing w:after="0" w:line="39"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Compensation Committee of the Board of Directors is responsible for monitoring and approving the compensation of the Company’s named executive officers. In compliance with this responsibility, the Committee annually reviews the individual performance of these executives and approves any changes in their base salary, the payment of an annual cash incentive and grant of equity awards. The Committee periodically utilizes the services of an independent executive compensation consulting firm to assist with the review and evaluation of our compensation levels and policies, although no outside review occurred in fiscal 2009. Their expertise may also be utilized in modifying any existing or proposing any new compensation arrangements. In addition to this professional advice, the Committee relies upon its collective judgment and other available competitive information and data in making executive compensation decisions. The Committee has avoided strict adherence to rigid guidelines or formulas when determining or modifying executive compensation.</w:t>
      </w:r>
    </w:p>
    <w:p>
      <w:pPr>
        <w:spacing w:after="0" w:line="5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 order to successfully achieve our Company objectives, a combination of short-term and long-term incentives has been developed. The Compensation Committee believes a proper balance between these elements is necessary and includes a combination of cash and equity, with fixed and variable components. These components are dependent upon Company financial performance. Our short-term incentive is in the form of cash, while the long-term incentive is equity based and includes performance-based and time-based stock options, along with performance-based restricted shares. We believe these programs are designed to specifically support the achievement of the Company’s profitability and sales goals. We also believe these programs further enhance the performance of the Company by providing effective tools to retain, attract and motivate a group of highly skilled executives. This results in strong financial and operational performance, which supports the preservation and enhancement of shareholder value over time, without incurring undue risk to our shareholders.</w:t>
      </w:r>
    </w:p>
    <w:p>
      <w:pPr>
        <w:spacing w:after="0" w:line="84" w:lineRule="exact"/>
        <w:rPr>
          <w:sz w:val="20"/>
          <w:szCs w:val="20"/>
          <w:color w:val="auto"/>
        </w:rPr>
      </w:pPr>
    </w:p>
    <w:p>
      <w:pPr>
        <w:ind w:right="240" w:firstLine="215"/>
        <w:spacing w:after="0" w:line="257" w:lineRule="auto"/>
        <w:rPr>
          <w:sz w:val="20"/>
          <w:szCs w:val="20"/>
          <w:color w:val="auto"/>
        </w:rPr>
      </w:pPr>
      <w:r>
        <w:rPr>
          <w:rFonts w:ascii="Arial" w:cs="Arial" w:eastAsia="Arial" w:hAnsi="Arial"/>
          <w:sz w:val="18"/>
          <w:szCs w:val="18"/>
          <w:color w:val="auto"/>
        </w:rPr>
        <w:t>Annually, senior management recommends a proposal to the Compensation Committee for compensation for each named executive officer, with the exception of Frank M. Jaehnert, President and Chief Executive Officer, with respect to whom the Compensation Committee determines compensation. The Compensation Committee reviews the proposal for each officer and ultimately approves a compensation arrangement for them. The resulting approved compensation levels, including the President and Chief Executive Officer’s compensation, are then reported by the Compensation Committee to the full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 for Fiscal 2009</w:t>
      </w:r>
    </w:p>
    <w:p>
      <w:pPr>
        <w:spacing w:after="0" w:line="121" w:lineRule="exact"/>
        <w:rPr>
          <w:sz w:val="20"/>
          <w:szCs w:val="20"/>
          <w:color w:val="auto"/>
        </w:rPr>
      </w:pPr>
    </w:p>
    <w:p>
      <w:pPr>
        <w:ind w:right="320" w:firstLine="215"/>
        <w:spacing w:after="0" w:line="276" w:lineRule="auto"/>
        <w:rPr>
          <w:sz w:val="20"/>
          <w:szCs w:val="20"/>
          <w:color w:val="auto"/>
        </w:rPr>
      </w:pPr>
      <w:r>
        <w:rPr>
          <w:rFonts w:ascii="Arial" w:cs="Arial" w:eastAsia="Arial" w:hAnsi="Arial"/>
          <w:sz w:val="17"/>
          <w:szCs w:val="17"/>
          <w:color w:val="auto"/>
        </w:rPr>
        <w:t>As noted above, it is the Compensation Committee’s philosophy that an executive compensation program should be used to promote both the short and long-term financial objectives of the Company, encourage the executives to act as owners of the Company and attract and retain people who are qualified, motivated and committed to excellence. The Compensation Committee believes this can be accomplished through compensation programs that provide a balanced mix of performance-based cash and equity compensation. The annual bonus and equity compensation provide incentives that reward superior performance and provide financial consequences for underperformance.</w:t>
      </w:r>
    </w:p>
    <w:p>
      <w:pPr>
        <w:spacing w:after="0" w:line="64"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Compensation Committee is responsible for reviewing the overall level of compensation, as well as the various elements of compensation for each of the named executive officers. In addition to the specific process noted below for base salaries, annual cash incentives and long-term equity compensation, the Compensation Committee reviews individual comprehensive “tally sheets” which include the annual cash and equity grants, along with all other benefits over a trailing four-year period. Stock options exercised and the impact of the issuance of stock options on earnings per share dilution are monitored on a regular basis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color w:val="auto"/>
        </w:rPr>
        <w:t>Individual performance and competitiveness in the market are key components in determining base salary and any changes in base salary. Nationally recognized compensation surveys utilizing all companies and industries are obtained annually. A regression analysis is then performed by the Company’s Human Resources team based on the appropriate organization level (company, group, division) and sales volume of the appropriate Brady business. The base salary is designed to compensate executives for their level of responsibility and sustained individual performance. One consideration is the comparison of the individual base salaries to the median for like positions and responsibilities based on these nationally recognized compensation surveys. Further, the Compensation Committee has flexibility to increase base salaries above the median to retain or attract key employees whose performance merits higher base salaries, or to set base salary below the median where individuals are new to the job and performance is being evaluated. The Compensation Committee annually reviews base salaries to ensure, on the basis of responsibility and performance, that executive compensation is meeting the Compensation Committee’s principles.</w:t>
      </w:r>
    </w:p>
    <w:p>
      <w:pPr>
        <w:spacing w:after="0" w:line="89"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addition to the nationally recognized compensation surveys, the Compensation Committee has historically used peer group data for similar positions nationally to test the reasonableness and competitiveness of several components of compensation, including base salaries, annual incentives, and long term incentives by position. Due to the global economic conditions and the related volatility in executive compensation practices, a formal compensation benchmarking review of peer companies for named executive officers was not undertaken in fiscal 2009. The Compensation Committee also uses judgment to determine the appropriate level of base salary, which we believe reflects individual performance and responsibilities, and calibrates with the most recently available market compensation data. The peer group utilized includes 29 companies that are in a similar industry with annual revenues up to approximately $5 billion: Actuant Corporation, Agilent Technologies, Inc., Alliant Techsystems Inc., AMETEK, Inc., Amphenol Corporation, Anixter International Inc., Barnes Group Inc., Bemis Company, Inc., Benchmark Electronics, Inc., Cooper Industries, Ltd., Donaldson Company, Inc., DRS Technologies, Inc., Energizer Holdings, Inc., Exide Technologies, Fastenal Company, Hubbell Incorporated, IDEX Corporation, Molex Incorporated, MSC Industrial Direct Company, Inc., Nordson Corporation, Pentair, Inc., Rogers Corporation, Roper Industries, Inc., SPX Corporation, Teleflex Incorporated, Thomas &amp; Betts Corporation, Vishay Intertechnology, Inc., WESCO International, Inc., and Zebra Technologies Corporation. Included in this peer group is a smaller subset of 13 companies that have annual revenues of less than $2 billion to provide data for similar sized companies to Brady. This subset includes: Actuant Corporation, AMETEK, Inc., Barnes Group Inc., Donaldson Company, Inc., DRS Technologies, Inc., Fastenal Company, IDEX Corporation, MSC Industrial Direct Company, Inc., Nordson Corporation, Rogers Corporation, Roper Industries, Inc., Thomas &amp; Betts Corporation, and Zebra Technologies Corporation. This list may vary in the future due to changes in our business or the business of the companies utilized as peers.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determination of base salary also affects the annual bonus payout since an individual’s annual bonus target is expressed as a percentage of base salary. The Compensation Committee also periodically utilizes the services of an outside consultant to assist in understanding the compensation levels in the market, although no services were utilized in fiscal 2009.</w:t>
      </w:r>
    </w:p>
    <w:p>
      <w:pPr>
        <w:spacing w:after="0" w:line="7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fiscal 2009, several cost reduction initiatives were effected to counter the impact of the global economic downturn on the Company’s financial performance. As a direct result of cancelling merit-based salary increases for employees company-wide, none of the named executive officers received a merit-based base salary increase for fiscal 2009. Messrs. Felmer and Williamson received promotional increases in fiscal 2009 (for increased accountability and/or job changes effected during fiscal 2008) ranging between eight and ten percent.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Bonus</w:t>
      </w:r>
    </w:p>
    <w:p>
      <w:pPr>
        <w:spacing w:after="0" w:line="121" w:lineRule="exact"/>
        <w:rPr>
          <w:sz w:val="20"/>
          <w:szCs w:val="20"/>
          <w:color w:val="auto"/>
        </w:rPr>
      </w:pPr>
    </w:p>
    <w:p>
      <w:pPr>
        <w:ind w:right="20" w:firstLine="215"/>
        <w:spacing w:after="0" w:line="312" w:lineRule="auto"/>
        <w:rPr>
          <w:sz w:val="20"/>
          <w:szCs w:val="20"/>
          <w:color w:val="auto"/>
        </w:rPr>
      </w:pPr>
      <w:r>
        <w:rPr>
          <w:rFonts w:ascii="Arial" w:cs="Arial" w:eastAsia="Arial" w:hAnsi="Arial"/>
          <w:sz w:val="16"/>
          <w:szCs w:val="16"/>
          <w:color w:val="auto"/>
        </w:rPr>
        <w:t>All named executive officers participate in an annual cash incentive plan. This plan has a short-term focus (one year) and is mainly based on the fiscal year financial results. Corporate earnings per share growth is a major component in each individual bonus plan. Other components include consolidated net sales, segment sales, segment profit, and working capital; each component is based on the individual’s role at either the corporate or segment level.</w:t>
      </w:r>
    </w:p>
    <w:p>
      <w:pPr>
        <w:spacing w:after="0" w:line="39"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As part of the annual review of compensation, the Compensation Committee takes into account total annual cash compensation in the marketplace as reflected in nationally recognized compensation surveys. Salary combined with annual target bonus levels that have been established as a percentage of salary are intended to approximate the median of the market total annual cash compensation, as defined in nationally recognized compensation surveys, provided that Brady performs at a level to pay out at 100% of the targeted annual incentive award. Brady’s actual annual bonus payouts will vary above or below the targeted amount based on the actual performance of the Company during the fiscal year. The payouts for the Company’s named executives can range from 0% to 250% of the target. The Compensation Committee expects management to propose ambitious targets. Any bonus payment above 100% of the target requires superior performance by the Company. In order to be eligible to receive a bonus payout, an employee must hold a position within the Company on the last day of the fiscal year.</w:t>
      </w:r>
    </w:p>
    <w:p>
      <w:pPr>
        <w:spacing w:after="0" w:line="71" w:lineRule="exact"/>
        <w:rPr>
          <w:sz w:val="20"/>
          <w:szCs w:val="20"/>
          <w:color w:val="auto"/>
        </w:rPr>
      </w:pPr>
    </w:p>
    <w:p>
      <w:pPr>
        <w:ind w:right="500" w:firstLine="222"/>
        <w:spacing w:after="0" w:line="342" w:lineRule="auto"/>
        <w:rPr>
          <w:sz w:val="20"/>
          <w:szCs w:val="20"/>
          <w:color w:val="auto"/>
        </w:rPr>
      </w:pPr>
      <w:r>
        <w:rPr>
          <w:rFonts w:ascii="Arial" w:cs="Arial" w:eastAsia="Arial" w:hAnsi="Arial"/>
          <w:sz w:val="16"/>
          <w:szCs w:val="16"/>
          <w:color w:val="auto"/>
        </w:rPr>
        <w:t>The Compensation Committee annually reviews the components of these plans, the required performance levels at each target payout level and the calculation of the individual bonus awards. Sales and net income must exceed the prior year in order for these components of the bonus plan to pay out.</w:t>
      </w:r>
    </w:p>
    <w:p>
      <w:pPr>
        <w:spacing w:after="0" w:line="16"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individual incentive target amounts are set at a percentage of base salary and the target amounts are larger for individuals with greater levels of responsibility. The target bonus percentage for Mr. Jaehnert is 100% of his base salary, and for Messrs. Felmer, Sephton, Williamson and Klotsche are 70% of their base salaries. The following table provides the components of the target bonus percentages.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48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Earnings</w:t>
            </w:r>
          </w:p>
        </w:tc>
        <w:tc>
          <w:tcPr>
            <w:tcW w:w="4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Working</w:t>
            </w:r>
          </w:p>
        </w:tc>
        <w:tc>
          <w:tcPr>
            <w:tcW w:w="480" w:type="dxa"/>
            <w:vAlign w:val="bottom"/>
          </w:tcPr>
          <w:p>
            <w:pPr>
              <w:spacing w:after="0"/>
              <w:rPr>
                <w:sz w:val="14"/>
                <w:szCs w:val="14"/>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Segment</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4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480" w:type="dxa"/>
            <w:vAlign w:val="bottom"/>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Sales (1)</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Profit</w:t>
            </w:r>
          </w:p>
        </w:tc>
        <w:tc>
          <w:tcPr>
            <w:tcW w:w="480" w:type="dxa"/>
            <w:vAlign w:val="bottom"/>
          </w:tcPr>
          <w:p>
            <w:pPr>
              <w:spacing w:after="0"/>
              <w:rPr>
                <w:sz w:val="14"/>
                <w:szCs w:val="14"/>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80.0%</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Thomas J. Felmer</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80.0%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60.0%</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Matthew O. Williamson</w:t>
            </w:r>
          </w:p>
        </w:tc>
        <w:tc>
          <w:tcPr>
            <w:tcW w:w="480" w:type="dxa"/>
            <w:vAlign w:val="bottom"/>
          </w:tcPr>
          <w:p>
            <w:pPr>
              <w:spacing w:after="0"/>
              <w:rPr>
                <w:sz w:val="18"/>
                <w:szCs w:val="18"/>
                <w:color w:val="auto"/>
              </w:rPr>
            </w:pPr>
          </w:p>
        </w:tc>
        <w:tc>
          <w:tcPr>
            <w:tcW w:w="960" w:type="dxa"/>
            <w:vAlign w:val="bottom"/>
          </w:tcPr>
          <w:p>
            <w:pPr>
              <w:ind w:left="36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20.0%</w:t>
            </w:r>
          </w:p>
        </w:tc>
        <w:tc>
          <w:tcPr>
            <w:tcW w:w="144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ind w:left="80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20.0%</w:t>
            </w:r>
          </w:p>
        </w:tc>
        <w:tc>
          <w:tcPr>
            <w:tcW w:w="14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60.0%</w:t>
            </w:r>
          </w:p>
        </w:tc>
        <w:tc>
          <w:tcPr>
            <w:tcW w:w="15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sales for Messrs. Sephton, Williamson, and Klotsche are based on regional sales.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For the fiscal year ended July 31, 2009, the Company did not pay an annual cash incentive bonus to any of the named executive officers as the components of the bonus did not exceed the prior year actual results. The impact of the extended global economic downturn significantly impacted the income and revenue performance of the company. As a result, no bonuses were awarded to any of the named executive officers.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Incentives: Long-term Incentive Compensation</w:t>
      </w:r>
    </w:p>
    <w:p>
      <w:pPr>
        <w:spacing w:after="0" w:line="12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The Company utilizes a combination of performance-based stock options, time-based stock options and performance-based restricted shares to attract, retain, and motivate key employees who directly impact the performance of the Company over a timeframe of greater than a year. The combination of performance-based stock options, time-based stock options and performance-based restricted shares is used to provide a balance between annual Company performance and the generation of long-term shareholder value. Stock option based plans are influenced by Brady’s stock price, which directly affects the amount of compensation the executive receives upon vesting and exercising the options. The size and type of equity awards is determined by the Compensation Committee with periodic input from its outside consultant.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Prior to fiscal 2009, the Compensation Committee had established a minimum stock price ($46 per share) that must be achieved prior to the issuance of any additional performance-based stock options. As a result of not attaining a stock price at this level, no performance-based stock options were granted during fiscal 2009.</w:t>
      </w:r>
    </w:p>
    <w:p>
      <w:pPr>
        <w:spacing w:after="0" w:line="7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On account of the effects of the global economic downturn on the Company’s stock price, which made the achievement of the minimum stock price unlikely in the near future, and the Compensation Committee’s belief that performance-based stock options still serve as an important motivator and required component of the Company’s overall compensation program, a new three-year performance-based stock option plan is being implemented in fiscal 2010. The performance criteria of this new plan establish minimum annual earnings per share growth targets as well as relative measure of the Company’s three year earning per share growth compared to the S&amp;P SmallCap 600 Index. These options have a ten year-life.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timing of the grant of time-based stock options is determined at the mid-November Compensation Committee meeting each year. The grant date is established approximately two weeks following the release of the first quarter earnings in November. Time-based stock option grants in fiscal 2009 were reviewed and approved by the Compensation Committee on November 20, 2008 with an effective grant date of December 4, 2008. The grant price is the fair market value of the stock on the grant date and is calculated by taking the average of the high and low stock price on that date. The time-based stock options generally vest one-third each year for the first three years and have a ten year life.</w:t>
      </w:r>
    </w:p>
    <w:p>
      <w:pPr>
        <w:spacing w:after="0" w:line="64"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order to coordinate the evaluation of time-based stock options with the annual performance and compensation reviews, for fiscal 2010 the timing of the grant of time-based stock options were determined at the mid-September Compensation Committee meeting. The grant date will be approximately two weeks following the September Compensation Committee meeting. The grant price will be the fair market value of the stock on the grant date and will be calculated by taking the average of the high and low stock price on the date of grant. The time-based options will vest one-third each year for the first three years and have a ten-year life.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w:t>
      </w:r>
    </w:p>
    <w:p>
      <w:pPr>
        <w:spacing w:after="0" w:line="117" w:lineRule="exact"/>
        <w:rPr>
          <w:sz w:val="20"/>
          <w:szCs w:val="20"/>
          <w:color w:val="auto"/>
        </w:rPr>
      </w:pPr>
    </w:p>
    <w:p>
      <w:pPr>
        <w:ind w:right="400" w:firstLine="225"/>
        <w:spacing w:after="0" w:line="257" w:lineRule="auto"/>
        <w:rPr>
          <w:sz w:val="20"/>
          <w:szCs w:val="20"/>
          <w:color w:val="auto"/>
        </w:rPr>
      </w:pPr>
      <w:r>
        <w:rPr>
          <w:rFonts w:ascii="Arial" w:cs="Arial" w:eastAsia="Arial" w:hAnsi="Arial"/>
          <w:sz w:val="18"/>
          <w:szCs w:val="18"/>
          <w:color w:val="auto"/>
        </w:rPr>
        <w:t>Periodically, the Company issues restricted stock grants to key executives as an additional retention element of their overall compensation. In January 2008, the Compensation Committee approved the issuance of performance restricted stock awards to six of Brady’s senior executives. A total of 210,000 restricted shares were issued and included both a performance vesting requirement (earnings per share) and a service vesting requirement (five years). No new shares were issued during fiscal 2009 as the Compensation Committee concluded that outstanding restricted shares served as a sufficient retention element.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Post-Employment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Benefits: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named executive officers receive the same basic benefits that are offered by the Company to other employees, including medical, dental, disability and life insurance.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Most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5% and have the amount of this reduction contributed to the Employee 401(k) Plan and matched by an additional 4% contribution by the Company. Participants may also elect to have up to another 45%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Funded Retirement Plan.</w:t>
      </w:r>
    </w:p>
    <w:p>
      <w:pPr>
        <w:spacing w:after="0" w:line="58"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 executives on their income above the IRS limits.</w:t>
      </w:r>
    </w:p>
    <w:p>
      <w:pPr>
        <w:spacing w:after="0" w:line="73"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two-year period of continuous service for the employee 401(k) Plan and after six years of continuous service for the Funded Retirement Plan.</w:t>
      </w:r>
    </w:p>
    <w:p>
      <w:pPr>
        <w:spacing w:after="0" w:line="6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Deferred Compensation Arrangements — During fiscal 2002, the Company adopted a deferred compensation plan titled the Brady Corporation Executive Deferred Compensation Plan (“Executive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58" w:lineRule="exact"/>
        <w:rPr>
          <w:sz w:val="20"/>
          <w:szCs w:val="20"/>
          <w:color w:val="auto"/>
        </w:rPr>
      </w:pPr>
    </w:p>
    <w:p>
      <w:pPr>
        <w:ind w:right="380" w:firstLine="215"/>
        <w:spacing w:after="0" w:line="279" w:lineRule="auto"/>
        <w:rPr>
          <w:sz w:val="20"/>
          <w:szCs w:val="20"/>
          <w:color w:val="auto"/>
        </w:rPr>
      </w:pPr>
      <w:r>
        <w:rPr>
          <w:rFonts w:ascii="Arial" w:cs="Arial" w:eastAsia="Arial" w:hAnsi="Arial"/>
          <w:sz w:val="17"/>
          <w:szCs w:val="17"/>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w:t>
      </w:r>
    </w:p>
    <w:p>
      <w:pPr>
        <w:spacing w:after="0" w:line="6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Brady provides the named executive officers with the following perquisites that are not available to other non-executive employees:</w:t>
      </w:r>
    </w:p>
    <w:p>
      <w:pPr>
        <w:spacing w:after="0" w:line="11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Annual allowance for financial and tax planning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Eligibility for annual physical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Company car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Long-term care insurance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Personal liability insurance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order to encourage our executive officers and directors to acquire and retain ownership of a significant number of shares of the Company’s stock, stock ownership guidelines have been established. This supports our belief that stock ownership better aligns the interests of our executives and directors with the Company’s shareholders.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The Board of Directors has established the following stock ownership guidelines for our named executive officers:</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Thomas J. Felmer</w:t>
            </w:r>
          </w:p>
        </w:tc>
        <w:tc>
          <w:tcPr>
            <w:tcW w:w="2000" w:type="dxa"/>
            <w:vAlign w:val="bottom"/>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Matt O. Williamson</w:t>
            </w:r>
          </w:p>
        </w:tc>
        <w:tc>
          <w:tcPr>
            <w:tcW w:w="2000" w:type="dxa"/>
            <w:vAlign w:val="bottom"/>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 shares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20" w:type="dxa"/>
            <w:vAlign w:val="bottom"/>
            <w:gridSpan w:val="2"/>
          </w:tcPr>
          <w:p>
            <w:pPr>
              <w:spacing w:after="0"/>
              <w:rPr>
                <w:sz w:val="20"/>
                <w:szCs w:val="20"/>
                <w:color w:val="auto"/>
              </w:rPr>
            </w:pPr>
            <w:r>
              <w:rPr>
                <w:rFonts w:ascii="Arial" w:cs="Arial" w:eastAsia="Arial" w:hAnsi="Arial"/>
                <w:sz w:val="18"/>
                <w:szCs w:val="18"/>
                <w:color w:val="auto"/>
              </w:rPr>
              <w:t>The stock ownership guideline for each director is 5,000 shares of Company stock.</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Company’s CEO complied with these ownership levels in 2009. Named executive officers other than the Company’s CEO have until fiscal year 2013 to achieve these ownership levels. If an executive does not meet the above ownership level or certain interim levels, the executive’s after-tax payout on any incentive plans will be in Class A Nonvoting Common Stock to bring the executive up to the required level. The Compensation Committee reviews the actual stock ownership levels of each of the named executive officers on an annual basis to ensure the guidelines are met.</w:t>
      </w:r>
    </w:p>
    <w:p>
      <w:pPr>
        <w:spacing w:after="0" w:line="63"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For purposes of determining whether an executive meets the required ownership level, Company stock owned outright, Company stock held in the Executive Deferred Compensation Plan and Company stock owned in the Employee 401(k) Plan or pension plan is included. In addition, twenty percent of any vested stock options that are “in the money” are included.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Board of Directors of Brady Corporation approved change of control agreements for certain executive officers of the Company, including all the named executive officers. The agreements applicable to all of the named executive officers other than Mr. Jaehnert call for payment of an amount equal to two times their annual base salary and two times the average bonus payment received in the three years immediately prior to the date the change of control occurs in the event of termination or resignation upon a change of control. The agreements also call for reimbursement of any excise taxes imposed and up to $25,000 of attorney fees to enforce the executive’s rights under the agreement. Payments under the agreement will be spread over two years.</w:t>
      </w:r>
    </w:p>
    <w:p>
      <w:pPr>
        <w:spacing w:after="0" w:line="50"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May 2003, the Board approved a Change of Control Agreement for Mr. Jaehnert, which was subsequently amended and restated in December 2008 to comply with Internal Revenue Code Section 409A. The agreement calls for payment of an amount equal to three times the annual salary and bonus for</w:t>
      </w:r>
    </w:p>
    <w:p>
      <w:pPr>
        <w:ind w:right="60"/>
        <w:spacing w:after="0" w:line="323" w:lineRule="auto"/>
        <w:rPr>
          <w:sz w:val="20"/>
          <w:szCs w:val="20"/>
          <w:color w:val="auto"/>
        </w:rPr>
      </w:pPr>
      <w:r>
        <w:rPr>
          <w:rFonts w:ascii="Arial" w:cs="Arial" w:eastAsia="Arial" w:hAnsi="Arial"/>
          <w:sz w:val="16"/>
          <w:szCs w:val="16"/>
          <w:color w:val="auto"/>
        </w:rPr>
        <w:t>Mr. Jaehnert in the event of termination or resignation upon a change of control. The agreement also calls for reimbursement of any excise taxes imposed and up to $25,000 of attorney fees to enforce the executive’s rights under the agreement. Payments under the agreement will be spread over three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121"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Section 162(m) of the Internal Revenue Code, added by the Omnibus Budget Reconciliation Act of 1993, generally disallows a tax deduction to public companies for compensation over $1 million paid to the Company’s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executive compensation program. It is the Compensation Committee’s intent to preserve the deductibility of executive compensation to the extent reasonably practicable and to the extent consistent with its other compensation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During fiscal 2009, the Board’s Compensation Committee was composed of Messrs. Allender, Buchanan, Jarc and Nei.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the review and discussions, the Compensation Committee recommended to the Board of Directors that the Compensation Discussion and Analysis be included in the Company’s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Gary E. Nei,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W. Allender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R. Jarc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2009 for services rendered to the Company and its subsidiaries during the fiscal years ended July 31, 2009, July 31, 2008 and July 31, 2007.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2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4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9"/>
              </w:rPr>
              <w:t>($)(1)</w:t>
            </w:r>
          </w:p>
        </w:tc>
        <w:tc>
          <w:tcPr>
            <w:tcW w:w="1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9"/>
              </w:rPr>
              <w:t>($)(1)</w:t>
            </w:r>
          </w:p>
        </w:tc>
        <w:tc>
          <w:tcPr>
            <w:tcW w:w="15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9"/>
              </w:rPr>
              <w:t>($)(2)</w:t>
            </w:r>
          </w:p>
        </w:tc>
        <w:tc>
          <w:tcPr>
            <w:tcW w:w="1580" w:type="dxa"/>
            <w:vAlign w:val="bottom"/>
            <w:gridSpan w:val="2"/>
          </w:tcPr>
          <w:p>
            <w:pPr>
              <w:jc w:val="center"/>
              <w:ind w:left="151"/>
              <w:spacing w:after="0"/>
              <w:rPr>
                <w:sz w:val="20"/>
                <w:szCs w:val="20"/>
                <w:color w:val="auto"/>
              </w:rPr>
            </w:pPr>
            <w:r>
              <w:rPr>
                <w:rFonts w:ascii="Arial" w:cs="Arial" w:eastAsia="Arial" w:hAnsi="Arial"/>
                <w:sz w:val="14"/>
                <w:szCs w:val="14"/>
                <w:b w:val="1"/>
                <w:bCs w:val="1"/>
                <w:color w:val="auto"/>
                <w:w w:val="99"/>
              </w:rPr>
              <w:t>($)(3)</w:t>
            </w:r>
          </w:p>
        </w:tc>
        <w:tc>
          <w:tcPr>
            <w:tcW w:w="13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750,000</w:t>
            </w: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328,300</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577,097</w:t>
            </w:r>
          </w:p>
        </w:tc>
        <w:tc>
          <w:tcPr>
            <w:tcW w:w="2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176,519</w:t>
            </w:r>
          </w:p>
        </w:tc>
        <w:tc>
          <w:tcPr>
            <w:tcW w:w="2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1,846,339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President &amp; Chief Executive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723,077</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191,508</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804,867</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703,554</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150,048</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2,573,054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638,987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860,224</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430,677</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153,510</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2,083,398</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318,269</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tcPr>
          <w:p>
            <w:pPr>
              <w:spacing w:after="0"/>
              <w:rPr>
                <w:sz w:val="24"/>
                <w:szCs w:val="24"/>
                <w:color w:val="auto"/>
              </w:rPr>
            </w:pPr>
          </w:p>
        </w:tc>
        <w:tc>
          <w:tcPr>
            <w:tcW w:w="134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62,080</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904,958</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Senior Vice President &amp;</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293,269</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98,128</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60,689</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988,575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268,269</w:t>
            </w:r>
          </w:p>
        </w:tc>
        <w:tc>
          <w:tcPr>
            <w:tcW w:w="240" w:type="dxa"/>
            <w:vAlign w:val="bottom"/>
          </w:tcPr>
          <w:p>
            <w:pPr>
              <w:spacing w:after="0"/>
              <w:rPr>
                <w:sz w:val="20"/>
                <w:szCs w:val="20"/>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416,072</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184,458</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65,133</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933,932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P.C. Sephton(4)</w:t>
            </w:r>
          </w:p>
        </w:tc>
        <w:tc>
          <w:tcPr>
            <w:tcW w:w="9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325,710</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86,787</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924,070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President — Brady Europe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399,920</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314,097</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103,042</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1,353,548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352,970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418,232</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326,886</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95,539</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1,193,627</w:t>
            </w: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M. O. Williamson</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326,843</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tcPr>
          <w:p>
            <w:pPr>
              <w:spacing w:after="0"/>
              <w:rPr>
                <w:sz w:val="24"/>
                <w:szCs w:val="24"/>
                <w:color w:val="auto"/>
              </w:rPr>
            </w:pPr>
          </w:p>
        </w:tc>
        <w:tc>
          <w:tcPr>
            <w:tcW w:w="1340" w:type="dxa"/>
            <w:vAlign w:val="bottom"/>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62,023</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913,665</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w w:val="90"/>
              </w:rPr>
              <w:t>President — Brady Americas</w:t>
            </w: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299,615</w:t>
            </w:r>
          </w:p>
        </w:tc>
        <w:tc>
          <w:tcPr>
            <w:tcW w:w="1560" w:type="dxa"/>
            <w:vAlign w:val="bottom"/>
            <w:gridSpan w:val="2"/>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183,410</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65,794</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1,085,308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16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279,340</w:t>
            </w:r>
          </w:p>
        </w:tc>
        <w:tc>
          <w:tcPr>
            <w:tcW w:w="240" w:type="dxa"/>
            <w:vAlign w:val="bottom"/>
          </w:tcPr>
          <w:p>
            <w:pPr>
              <w:spacing w:after="0"/>
              <w:rPr>
                <w:sz w:val="20"/>
                <w:szCs w:val="20"/>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151"/>
              <w:spacing w:after="0"/>
              <w:rPr>
                <w:sz w:val="20"/>
                <w:szCs w:val="20"/>
                <w:color w:val="auto"/>
              </w:rPr>
            </w:pPr>
            <w:r>
              <w:rPr>
                <w:rFonts w:ascii="Arial" w:cs="Arial" w:eastAsia="Arial" w:hAnsi="Arial"/>
                <w:sz w:val="18"/>
                <w:szCs w:val="18"/>
                <w:color w:val="auto"/>
                <w:w w:val="92"/>
              </w:rPr>
              <w:t>418,232</w:t>
            </w:r>
          </w:p>
        </w:tc>
        <w:tc>
          <w:tcPr>
            <w:tcW w:w="1580" w:type="dxa"/>
            <w:vAlign w:val="bottom"/>
            <w:gridSpan w:val="2"/>
          </w:tcPr>
          <w:p>
            <w:pPr>
              <w:jc w:val="right"/>
              <w:ind w:right="277"/>
              <w:spacing w:after="0"/>
              <w:rPr>
                <w:sz w:val="20"/>
                <w:szCs w:val="20"/>
                <w:color w:val="auto"/>
              </w:rPr>
            </w:pPr>
            <w:r>
              <w:rPr>
                <w:rFonts w:ascii="Arial" w:cs="Arial" w:eastAsia="Arial" w:hAnsi="Arial"/>
                <w:sz w:val="18"/>
                <w:szCs w:val="18"/>
                <w:color w:val="auto"/>
              </w:rPr>
              <w:t>234,939</w:t>
            </w:r>
          </w:p>
        </w:tc>
        <w:tc>
          <w:tcPr>
            <w:tcW w:w="1580" w:type="dxa"/>
            <w:vAlign w:val="bottom"/>
            <w:gridSpan w:val="2"/>
          </w:tcPr>
          <w:p>
            <w:pPr>
              <w:jc w:val="right"/>
              <w:ind w:right="282"/>
              <w:spacing w:after="0"/>
              <w:rPr>
                <w:sz w:val="20"/>
                <w:szCs w:val="20"/>
                <w:color w:val="auto"/>
              </w:rPr>
            </w:pPr>
            <w:r>
              <w:rPr>
                <w:rFonts w:ascii="Arial" w:cs="Arial" w:eastAsia="Arial" w:hAnsi="Arial"/>
                <w:sz w:val="18"/>
                <w:szCs w:val="18"/>
                <w:color w:val="auto"/>
              </w:rPr>
              <w:t>61,322</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993,833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9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2009</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290,000</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229,810</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288,549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61,320</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875,256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President — Brady Asia</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Pacific</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285,962</w:t>
            </w:r>
          </w:p>
        </w:tc>
        <w:tc>
          <w:tcPr>
            <w:tcW w:w="15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134,056</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402,433</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128,411</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52,487</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1,003,349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16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9"/>
              </w:rPr>
              <w:t>268,269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151"/>
              <w:spacing w:after="0"/>
              <w:rPr>
                <w:sz w:val="20"/>
                <w:szCs w:val="20"/>
                <w:color w:val="auto"/>
              </w:rPr>
            </w:pPr>
            <w:r>
              <w:rPr>
                <w:rFonts w:ascii="Arial" w:cs="Arial" w:eastAsia="Arial" w:hAnsi="Arial"/>
                <w:sz w:val="18"/>
                <w:szCs w:val="18"/>
                <w:color w:val="auto"/>
                <w:w w:val="92"/>
              </w:rPr>
              <w:t>416,072</w:t>
            </w:r>
          </w:p>
        </w:tc>
        <w:tc>
          <w:tcPr>
            <w:tcW w:w="1580" w:type="dxa"/>
            <w:vAlign w:val="bottom"/>
            <w:gridSpan w:val="2"/>
            <w:shd w:val="clear" w:color="auto" w:fill="CCEEFF"/>
          </w:tcPr>
          <w:p>
            <w:pPr>
              <w:jc w:val="right"/>
              <w:ind w:right="277"/>
              <w:spacing w:after="0"/>
              <w:rPr>
                <w:sz w:val="20"/>
                <w:szCs w:val="20"/>
                <w:color w:val="auto"/>
              </w:rPr>
            </w:pPr>
            <w:r>
              <w:rPr>
                <w:rFonts w:ascii="Arial" w:cs="Arial" w:eastAsia="Arial" w:hAnsi="Arial"/>
                <w:sz w:val="18"/>
                <w:szCs w:val="18"/>
                <w:color w:val="auto"/>
              </w:rPr>
              <w:t>53,914</w:t>
            </w:r>
          </w:p>
        </w:tc>
        <w:tc>
          <w:tcPr>
            <w:tcW w:w="15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64,873</w:t>
            </w:r>
          </w:p>
        </w:tc>
        <w:tc>
          <w:tcPr>
            <w:tcW w:w="13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803,128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30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amounts expensed in fiscal 2009 relating to grants of performance-based stock options, time-based stock options and restricted stock awards. The Company accounts for stock-based compensation in accordance with SFAS No. 123(R), which requires it to recognize compensation expense for stock options granted to employees and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2009.</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actual value of a restricted stock award will depend on the market value of the Company’s common stock on the date the stock is sold.</w:t>
      </w:r>
    </w:p>
    <w:p>
      <w:pPr>
        <w:spacing w:after="0" w:line="88" w:lineRule="exact"/>
        <w:rPr>
          <w:sz w:val="20"/>
          <w:szCs w:val="20"/>
          <w:color w:val="auto"/>
        </w:rPr>
      </w:pPr>
    </w:p>
    <w:p>
      <w:pPr>
        <w:ind w:left="460" w:right="660"/>
        <w:spacing w:after="0" w:line="325" w:lineRule="auto"/>
        <w:rPr>
          <w:sz w:val="20"/>
          <w:szCs w:val="20"/>
          <w:color w:val="auto"/>
        </w:rPr>
      </w:pPr>
      <w:r>
        <w:rPr>
          <w:rFonts w:ascii="Arial" w:cs="Arial" w:eastAsia="Arial" w:hAnsi="Arial"/>
          <w:sz w:val="16"/>
          <w:szCs w:val="16"/>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76" w:lineRule="exact"/>
        <w:rPr>
          <w:rFonts w:ascii="Arial" w:cs="Arial" w:eastAsia="Arial" w:hAnsi="Arial"/>
          <w:sz w:val="18"/>
          <w:szCs w:val="18"/>
          <w:color w:val="auto"/>
        </w:rPr>
      </w:pPr>
    </w:p>
    <w:p>
      <w:pPr>
        <w:ind w:left="460" w:right="60" w:hanging="452"/>
        <w:spacing w:after="0" w:line="279"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amounts in this column for Messrs. Jaehnert, Felmer, Williamson, and Klotsche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and other perquisites. The perquisites may include an annual allowance for financial and tax planning and the cost of an annual physical health exam.</w:t>
      </w:r>
    </w:p>
    <w:p>
      <w:pPr>
        <w:spacing w:after="0" w:line="22" w:lineRule="exact"/>
        <w:rPr>
          <w:rFonts w:ascii="Arial" w:cs="Arial" w:eastAsia="Arial" w:hAnsi="Arial"/>
          <w:sz w:val="17"/>
          <w:szCs w:val="17"/>
          <w:color w:val="auto"/>
        </w:rPr>
      </w:pPr>
    </w:p>
    <w:p>
      <w:pPr>
        <w:ind w:left="460" w:right="460"/>
        <w:spacing w:after="0" w:line="277" w:lineRule="auto"/>
        <w:rPr>
          <w:rFonts w:ascii="Arial" w:cs="Arial" w:eastAsia="Arial" w:hAnsi="Arial"/>
          <w:sz w:val="17"/>
          <w:szCs w:val="17"/>
          <w:color w:val="auto"/>
        </w:rPr>
      </w:pPr>
      <w:r>
        <w:rPr>
          <w:rFonts w:ascii="Arial" w:cs="Arial" w:eastAsia="Arial" w:hAnsi="Arial"/>
          <w:sz w:val="18"/>
          <w:szCs w:val="18"/>
          <w:color w:val="auto"/>
        </w:rPr>
        <w:t>The amounts in this column for Mr. Sephton include: contributions for the Brady U.K. Pension Plan, the cost of group term life insurance, vehicle allowance and associated expenses and other perquisites as listed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Group Term</w:t>
            </w:r>
          </w:p>
        </w:tc>
        <w:tc>
          <w:tcPr>
            <w:tcW w:w="2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Personal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Care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Liability</w:t>
            </w:r>
          </w:p>
        </w:tc>
        <w:tc>
          <w:tcPr>
            <w:tcW w:w="220" w:type="dxa"/>
            <w:vAlign w:val="bottom"/>
          </w:tcPr>
          <w:p>
            <w:pPr>
              <w:spacing w:after="0"/>
              <w:rPr>
                <w:sz w:val="12"/>
                <w:szCs w:val="12"/>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5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F.M. Jaehnert</w:t>
            </w:r>
          </w:p>
        </w:tc>
        <w:tc>
          <w:tcPr>
            <w:tcW w:w="2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2009</w:t>
            </w:r>
          </w:p>
        </w:tc>
        <w:tc>
          <w:tcPr>
            <w:tcW w:w="200" w:type="dxa"/>
            <w:vAlign w:val="bottom"/>
          </w:tcPr>
          <w:p>
            <w:pPr>
              <w:spacing w:after="0"/>
              <w:rPr>
                <w:sz w:val="16"/>
                <w:szCs w:val="16"/>
                <w:color w:val="auto"/>
              </w:rPr>
            </w:pPr>
          </w:p>
        </w:tc>
        <w:tc>
          <w:tcPr>
            <w:tcW w:w="1320" w:type="dxa"/>
            <w:vAlign w:val="bottom"/>
            <w:tcBorders>
              <w:top w:val="single" w:sz="8" w:color="auto"/>
            </w:tcBorders>
          </w:tcPr>
          <w:p>
            <w:pPr>
              <w:jc w:val="right"/>
              <w:ind w:right="284"/>
              <w:spacing w:after="0" w:line="195" w:lineRule="exact"/>
              <w:rPr>
                <w:sz w:val="20"/>
                <w:szCs w:val="20"/>
                <w:color w:val="auto"/>
              </w:rPr>
            </w:pPr>
            <w:r>
              <w:rPr>
                <w:rFonts w:ascii="Arial" w:cs="Arial" w:eastAsia="Arial" w:hAnsi="Arial"/>
                <w:sz w:val="18"/>
                <w:szCs w:val="18"/>
                <w:color w:val="auto"/>
              </w:rPr>
              <w:t>116,284</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244"/>
              <w:spacing w:after="0" w:line="195" w:lineRule="exact"/>
              <w:rPr>
                <w:sz w:val="20"/>
                <w:szCs w:val="20"/>
                <w:color w:val="auto"/>
              </w:rPr>
            </w:pPr>
            <w:r>
              <w:rPr>
                <w:rFonts w:ascii="Arial" w:cs="Arial" w:eastAsia="Arial" w:hAnsi="Arial"/>
                <w:sz w:val="18"/>
                <w:szCs w:val="18"/>
                <w:color w:val="auto"/>
              </w:rPr>
              <w:t>3,042</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27,698</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218"/>
              <w:spacing w:after="0" w:line="195" w:lineRule="exact"/>
              <w:rPr>
                <w:sz w:val="20"/>
                <w:szCs w:val="20"/>
                <w:color w:val="auto"/>
              </w:rPr>
            </w:pPr>
            <w:r>
              <w:rPr>
                <w:rFonts w:ascii="Arial" w:cs="Arial" w:eastAsia="Arial" w:hAnsi="Arial"/>
                <w:sz w:val="18"/>
                <w:szCs w:val="18"/>
                <w:color w:val="auto"/>
              </w:rPr>
              <w:t>1,621</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213"/>
              <w:spacing w:after="0" w:line="195" w:lineRule="exact"/>
              <w:rPr>
                <w:sz w:val="20"/>
                <w:szCs w:val="20"/>
                <w:color w:val="auto"/>
              </w:rPr>
            </w:pPr>
            <w:r>
              <w:rPr>
                <w:rFonts w:ascii="Arial" w:cs="Arial" w:eastAsia="Arial" w:hAnsi="Arial"/>
                <w:sz w:val="18"/>
                <w:szCs w:val="18"/>
                <w:color w:val="auto"/>
              </w:rPr>
              <w:t>2,654</w:t>
            </w:r>
          </w:p>
        </w:tc>
        <w:tc>
          <w:tcPr>
            <w:tcW w:w="220" w:type="dxa"/>
            <w:vAlign w:val="bottom"/>
          </w:tcPr>
          <w:p>
            <w:pPr>
              <w:spacing w:after="0"/>
              <w:rPr>
                <w:sz w:val="16"/>
                <w:szCs w:val="16"/>
                <w:color w:val="auto"/>
              </w:rPr>
            </w:pPr>
          </w:p>
        </w:tc>
        <w:tc>
          <w:tcPr>
            <w:tcW w:w="940" w:type="dxa"/>
            <w:vAlign w:val="bottom"/>
            <w:tcBorders>
              <w:top w:val="single" w:sz="8" w:color="auto"/>
            </w:tcBorders>
          </w:tcPr>
          <w:p>
            <w:pPr>
              <w:jc w:val="right"/>
              <w:ind w:right="132"/>
              <w:spacing w:after="0" w:line="195" w:lineRule="exact"/>
              <w:rPr>
                <w:sz w:val="20"/>
                <w:szCs w:val="20"/>
                <w:color w:val="auto"/>
              </w:rPr>
            </w:pPr>
            <w:r>
              <w:rPr>
                <w:rFonts w:ascii="Arial" w:cs="Arial" w:eastAsia="Arial" w:hAnsi="Arial"/>
                <w:sz w:val="18"/>
                <w:szCs w:val="18"/>
                <w:color w:val="auto"/>
              </w:rPr>
              <w:t>25,220</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ind w:right="139"/>
              <w:spacing w:after="0" w:line="195" w:lineRule="exact"/>
              <w:rPr>
                <w:sz w:val="20"/>
                <w:szCs w:val="20"/>
                <w:color w:val="auto"/>
              </w:rPr>
            </w:pPr>
            <w:r>
              <w:rPr>
                <w:rFonts w:ascii="Arial" w:cs="Arial" w:eastAsia="Arial" w:hAnsi="Arial"/>
                <w:sz w:val="18"/>
                <w:szCs w:val="18"/>
                <w:color w:val="auto"/>
              </w:rPr>
              <w:t>176,519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93,254</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3,042</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26,129</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1240" w:type="dxa"/>
            <w:vAlign w:val="bottom"/>
            <w:gridSpan w:val="2"/>
          </w:tcPr>
          <w:p>
            <w:pPr>
              <w:jc w:val="right"/>
              <w:ind w:right="213"/>
              <w:spacing w:after="0"/>
              <w:rPr>
                <w:sz w:val="20"/>
                <w:szCs w:val="20"/>
                <w:color w:val="auto"/>
              </w:rPr>
            </w:pPr>
            <w:r>
              <w:rPr>
                <w:rFonts w:ascii="Arial" w:cs="Arial" w:eastAsia="Arial" w:hAnsi="Arial"/>
                <w:sz w:val="18"/>
                <w:szCs w:val="18"/>
                <w:color w:val="auto"/>
              </w:rPr>
              <w:t>1,520</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24,420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150,048</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104,230</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4,259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26,935</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1240" w:type="dxa"/>
            <w:vAlign w:val="bottom"/>
            <w:gridSpan w:val="2"/>
          </w:tcPr>
          <w:p>
            <w:pPr>
              <w:jc w:val="right"/>
              <w:ind w:right="213"/>
              <w:spacing w:after="0"/>
              <w:rPr>
                <w:sz w:val="20"/>
                <w:szCs w:val="20"/>
                <w:color w:val="auto"/>
              </w:rPr>
            </w:pPr>
            <w:r>
              <w:rPr>
                <w:rFonts w:ascii="Arial" w:cs="Arial" w:eastAsia="Arial" w:hAnsi="Arial"/>
                <w:sz w:val="18"/>
                <w:szCs w:val="18"/>
                <w:color w:val="auto"/>
              </w:rPr>
              <w:t>843</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15,560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153,510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T.J. Felmer</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32,528</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890</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26,401</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640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62,080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37,434</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572</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20,380</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620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60,689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41,585</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872</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20,993</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65,133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P.C. Sephton(4)</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52,114</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1,749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32,924</w:t>
            </w:r>
          </w:p>
        </w:tc>
        <w:tc>
          <w:tcPr>
            <w:tcW w:w="22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86,787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63,987</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2,308</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36,747</w:t>
            </w:r>
          </w:p>
        </w:tc>
        <w:tc>
          <w:tcPr>
            <w:tcW w:w="22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103,042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56,475</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2,349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36,715</w:t>
            </w:r>
          </w:p>
        </w:tc>
        <w:tc>
          <w:tcPr>
            <w:tcW w:w="220" w:type="dxa"/>
            <w:vAlign w:val="bottom"/>
          </w:tcPr>
          <w:p>
            <w:pPr>
              <w:spacing w:after="0"/>
              <w:rPr>
                <w:sz w:val="18"/>
                <w:szCs w:val="18"/>
                <w:color w:val="auto"/>
              </w:rPr>
            </w:pPr>
          </w:p>
        </w:tc>
        <w:tc>
          <w:tcPr>
            <w:tcW w:w="1020" w:type="dxa"/>
            <w:vAlign w:val="bottom"/>
          </w:tcPr>
          <w:p>
            <w:pPr>
              <w:jc w:val="right"/>
              <w:ind w:right="2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M. O. Williamson</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40,038</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919</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18,309</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1,136</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62,023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42,241</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590</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21,280</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65,794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36,396</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733</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22,510</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61,322</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A. J. Klotsche</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2009</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33,525</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816</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20,033</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61,320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2008</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26,798</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761</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24,519</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52,487</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2007</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color w:val="auto"/>
              </w:rPr>
              <w:t>41,163</w:t>
            </w:r>
          </w:p>
        </w:tc>
        <w:tc>
          <w:tcPr>
            <w:tcW w:w="1240" w:type="dxa"/>
            <w:vAlign w:val="bottom"/>
            <w:gridSpan w:val="2"/>
          </w:tcPr>
          <w:p>
            <w:pPr>
              <w:jc w:val="right"/>
              <w:ind w:right="244"/>
              <w:spacing w:after="0"/>
              <w:rPr>
                <w:sz w:val="20"/>
                <w:szCs w:val="20"/>
                <w:color w:val="auto"/>
              </w:rPr>
            </w:pPr>
            <w:r>
              <w:rPr>
                <w:rFonts w:ascii="Arial" w:cs="Arial" w:eastAsia="Arial" w:hAnsi="Arial"/>
                <w:sz w:val="18"/>
                <w:szCs w:val="18"/>
                <w:color w:val="auto"/>
              </w:rPr>
              <w:t>563</w:t>
            </w:r>
          </w:p>
        </w:tc>
        <w:tc>
          <w:tcPr>
            <w:tcW w:w="114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22,166</w:t>
            </w:r>
          </w:p>
        </w:tc>
        <w:tc>
          <w:tcPr>
            <w:tcW w:w="1240" w:type="dxa"/>
            <w:vAlign w:val="bottom"/>
            <w:gridSpan w:val="2"/>
          </w:tcPr>
          <w:p>
            <w:pPr>
              <w:jc w:val="right"/>
              <w:ind w:right="218"/>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0"/>
                <w:szCs w:val="20"/>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8"/>
                <w:szCs w:val="18"/>
                <w:color w:val="auto"/>
              </w:rPr>
              <w:t>64,873</w:t>
            </w:r>
          </w:p>
        </w:tc>
        <w:tc>
          <w:tcPr>
            <w:tcW w:w="0" w:type="dxa"/>
            <w:vAlign w:val="bottom"/>
          </w:tcPr>
          <w:p>
            <w:pPr>
              <w:spacing w:after="0"/>
              <w:rPr>
                <w:sz w:val="1"/>
                <w:szCs w:val="1"/>
                <w:color w:val="auto"/>
              </w:rPr>
            </w:pPr>
          </w:p>
        </w:tc>
      </w:tr>
    </w:tbl>
    <w:p>
      <w:pPr>
        <w:ind w:left="460" w:right="34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2009: $1 = £0.6294, fiscal 2008: $1 = £0.5001, fiscal 2007: $1 = £0.5135.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grants of plan-based awards made during fiscal 2009 to the named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Compen-</w:t>
            </w:r>
          </w:p>
        </w:tc>
        <w:tc>
          <w:tcPr>
            <w:tcW w:w="30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sation</w:t>
            </w:r>
          </w:p>
        </w:tc>
        <w:tc>
          <w:tcPr>
            <w:tcW w:w="30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Non-Equity Incentive Plan Awards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Stocks</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lying</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Committee</w:t>
            </w: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4"/>
                <w:szCs w:val="14"/>
                <w:b w:val="1"/>
                <w:bCs w:val="1"/>
                <w:color w:val="auto"/>
              </w:rPr>
              <w:t>(1)</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or Units</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19"/>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0"/>
                <w:szCs w:val="10"/>
                <w:color w:val="auto"/>
              </w:rPr>
            </w:pPr>
          </w:p>
        </w:tc>
        <w:tc>
          <w:tcPr>
            <w:tcW w:w="104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0"/>
                <w:szCs w:val="10"/>
                <w:color w:val="auto"/>
              </w:rPr>
            </w:pPr>
          </w:p>
        </w:tc>
        <w:tc>
          <w:tcPr>
            <w:tcW w:w="13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Approval</w:t>
            </w:r>
          </w:p>
        </w:tc>
        <w:tc>
          <w:tcPr>
            <w:tcW w:w="7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0"/>
                <w:szCs w:val="10"/>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Target ($)</w:t>
            </w:r>
          </w:p>
        </w:tc>
        <w:tc>
          <w:tcPr>
            <w:tcW w:w="160" w:type="dxa"/>
            <w:vAlign w:val="bottom"/>
          </w:tcPr>
          <w:p>
            <w:pPr>
              <w:spacing w:after="0"/>
              <w:rPr>
                <w:sz w:val="10"/>
                <w:szCs w:val="10"/>
                <w:color w:val="auto"/>
              </w:rPr>
            </w:pPr>
          </w:p>
        </w:tc>
        <w:tc>
          <w:tcPr>
            <w:tcW w:w="104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Maximum</w:t>
            </w:r>
          </w:p>
        </w:tc>
        <w:tc>
          <w:tcPr>
            <w:tcW w:w="100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(#)(2)</w:t>
            </w:r>
          </w:p>
        </w:tc>
        <w:tc>
          <w:tcPr>
            <w:tcW w:w="100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71"/>
        </w:trPr>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74"/>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7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rPr>
              <w:t>(4)</w:t>
            </w:r>
          </w:p>
        </w:tc>
        <w:tc>
          <w:tcPr>
            <w:tcW w:w="11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8/1/2008</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rPr>
              <w:t>7/22/2008</w:t>
            </w: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1,947,115</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321,945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67,421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160" w:type="dxa"/>
            <w:vAlign w:val="bottom"/>
          </w:tcPr>
          <w:p>
            <w:pPr>
              <w:spacing w:after="0"/>
              <w:rPr>
                <w:sz w:val="17"/>
                <w:szCs w:val="17"/>
                <w:color w:val="auto"/>
              </w:rPr>
            </w:pPr>
          </w:p>
        </w:tc>
        <w:tc>
          <w:tcPr>
            <w:tcW w:w="10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8/1/2008</w:t>
            </w:r>
          </w:p>
        </w:tc>
        <w:tc>
          <w:tcPr>
            <w:tcW w:w="1300" w:type="dxa"/>
            <w:vAlign w:val="bottom"/>
            <w:gridSpan w:val="2"/>
          </w:tcPr>
          <w:p>
            <w:pPr>
              <w:jc w:val="right"/>
              <w:ind w:right="86"/>
              <w:spacing w:after="0" w:line="201" w:lineRule="exact"/>
              <w:rPr>
                <w:sz w:val="20"/>
                <w:szCs w:val="20"/>
                <w:color w:val="auto"/>
              </w:rPr>
            </w:pPr>
            <w:r>
              <w:rPr>
                <w:rFonts w:ascii="Arial" w:cs="Arial" w:eastAsia="Arial" w:hAnsi="Arial"/>
                <w:sz w:val="18"/>
                <w:szCs w:val="18"/>
                <w:color w:val="auto"/>
              </w:rPr>
              <w:t>7/22/2008</w:t>
            </w:r>
          </w:p>
        </w:tc>
        <w:tc>
          <w:tcPr>
            <w:tcW w:w="180" w:type="dxa"/>
            <w:vAlign w:val="bottom"/>
          </w:tcPr>
          <w:p>
            <w:pPr>
              <w:spacing w:after="0"/>
              <w:rPr>
                <w:sz w:val="17"/>
                <w:szCs w:val="17"/>
                <w:color w:val="auto"/>
              </w:rPr>
            </w:pPr>
          </w:p>
        </w:tc>
        <w:tc>
          <w:tcPr>
            <w:tcW w:w="740" w:type="dxa"/>
            <w:vAlign w:val="bottom"/>
          </w:tcPr>
          <w:p>
            <w:pPr>
              <w:ind w:left="2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227,788</w:t>
            </w:r>
          </w:p>
        </w:tc>
        <w:tc>
          <w:tcPr>
            <w:tcW w:w="120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826,923</w:t>
            </w:r>
          </w:p>
        </w:tc>
        <w:tc>
          <w:tcPr>
            <w:tcW w:w="160" w:type="dxa"/>
            <w:vAlign w:val="bottom"/>
          </w:tcPr>
          <w:p>
            <w:pPr>
              <w:spacing w:after="0"/>
              <w:rPr>
                <w:sz w:val="17"/>
                <w:szCs w:val="17"/>
                <w:color w:val="auto"/>
              </w:rPr>
            </w:pPr>
          </w:p>
        </w:tc>
        <w:tc>
          <w:tcPr>
            <w:tcW w:w="840" w:type="dxa"/>
            <w:vAlign w:val="bottom"/>
          </w:tcPr>
          <w:p>
            <w:pPr>
              <w:jc w:val="right"/>
              <w:ind w:right="119"/>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22,474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8/1/2008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7/22/2008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227,997</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814,275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Pr>
          <w:p>
            <w:pPr>
              <w:spacing w:after="0" w:line="201" w:lineRule="exact"/>
              <w:rPr>
                <w:sz w:val="20"/>
                <w:szCs w:val="20"/>
                <w:color w:val="auto"/>
              </w:rPr>
            </w:pPr>
            <w:r>
              <w:rPr>
                <w:rFonts w:ascii="Arial" w:cs="Arial" w:eastAsia="Arial" w:hAnsi="Arial"/>
                <w:sz w:val="18"/>
                <w:szCs w:val="18"/>
                <w:color w:val="auto"/>
              </w:rPr>
              <w:t>M.O. Williamson</w:t>
            </w:r>
          </w:p>
        </w:tc>
        <w:tc>
          <w:tcPr>
            <w:tcW w:w="160" w:type="dxa"/>
            <w:vAlign w:val="bottom"/>
          </w:tcPr>
          <w:p>
            <w:pPr>
              <w:spacing w:after="0"/>
              <w:rPr>
                <w:sz w:val="17"/>
                <w:szCs w:val="17"/>
                <w:color w:val="auto"/>
              </w:rPr>
            </w:pPr>
          </w:p>
        </w:tc>
        <w:tc>
          <w:tcPr>
            <w:tcW w:w="1040" w:type="dxa"/>
            <w:vAlign w:val="bottom"/>
          </w:tcPr>
          <w:p>
            <w:pPr>
              <w:jc w:val="right"/>
              <w:ind w:right="74"/>
              <w:spacing w:after="0" w:line="201" w:lineRule="exact"/>
              <w:rPr>
                <w:sz w:val="20"/>
                <w:szCs w:val="20"/>
                <w:color w:val="auto"/>
              </w:rPr>
            </w:pPr>
            <w:r>
              <w:rPr>
                <w:rFonts w:ascii="Arial" w:cs="Arial" w:eastAsia="Arial" w:hAnsi="Arial"/>
                <w:sz w:val="18"/>
                <w:szCs w:val="18"/>
                <w:color w:val="auto"/>
              </w:rPr>
              <w:t>8/1/2008</w:t>
            </w:r>
          </w:p>
        </w:tc>
        <w:tc>
          <w:tcPr>
            <w:tcW w:w="1300" w:type="dxa"/>
            <w:vAlign w:val="bottom"/>
            <w:gridSpan w:val="2"/>
          </w:tcPr>
          <w:p>
            <w:pPr>
              <w:jc w:val="right"/>
              <w:ind w:right="86"/>
              <w:spacing w:after="0" w:line="201" w:lineRule="exact"/>
              <w:rPr>
                <w:sz w:val="20"/>
                <w:szCs w:val="20"/>
                <w:color w:val="auto"/>
              </w:rPr>
            </w:pPr>
            <w:r>
              <w:rPr>
                <w:rFonts w:ascii="Arial" w:cs="Arial" w:eastAsia="Arial" w:hAnsi="Arial"/>
                <w:sz w:val="18"/>
                <w:szCs w:val="18"/>
                <w:color w:val="auto"/>
              </w:rPr>
              <w:t>7/22/2008</w:t>
            </w:r>
          </w:p>
        </w:tc>
        <w:tc>
          <w:tcPr>
            <w:tcW w:w="180" w:type="dxa"/>
            <w:vAlign w:val="bottom"/>
          </w:tcPr>
          <w:p>
            <w:pPr>
              <w:spacing w:after="0"/>
              <w:rPr>
                <w:sz w:val="17"/>
                <w:szCs w:val="17"/>
                <w:color w:val="auto"/>
              </w:rPr>
            </w:pPr>
          </w:p>
        </w:tc>
        <w:tc>
          <w:tcPr>
            <w:tcW w:w="740" w:type="dxa"/>
            <w:vAlign w:val="bottom"/>
          </w:tcPr>
          <w:p>
            <w:pPr>
              <w:ind w:left="2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228,790</w:t>
            </w:r>
          </w:p>
        </w:tc>
        <w:tc>
          <w:tcPr>
            <w:tcW w:w="1200" w:type="dxa"/>
            <w:vAlign w:val="bottom"/>
            <w:gridSpan w:val="2"/>
          </w:tcPr>
          <w:p>
            <w:pPr>
              <w:jc w:val="right"/>
              <w:ind w:right="93"/>
              <w:spacing w:after="0" w:line="201" w:lineRule="exact"/>
              <w:rPr>
                <w:sz w:val="20"/>
                <w:szCs w:val="20"/>
                <w:color w:val="auto"/>
              </w:rPr>
            </w:pPr>
            <w:r>
              <w:rPr>
                <w:rFonts w:ascii="Arial" w:cs="Arial" w:eastAsia="Arial" w:hAnsi="Arial"/>
                <w:sz w:val="18"/>
                <w:szCs w:val="18"/>
                <w:color w:val="auto"/>
              </w:rPr>
              <w:t>849,308</w:t>
            </w:r>
          </w:p>
        </w:tc>
        <w:tc>
          <w:tcPr>
            <w:tcW w:w="160" w:type="dxa"/>
            <w:vAlign w:val="bottom"/>
          </w:tcPr>
          <w:p>
            <w:pPr>
              <w:spacing w:after="0"/>
              <w:rPr>
                <w:sz w:val="17"/>
                <w:szCs w:val="17"/>
                <w:color w:val="auto"/>
              </w:rPr>
            </w:pPr>
          </w:p>
        </w:tc>
        <w:tc>
          <w:tcPr>
            <w:tcW w:w="840" w:type="dxa"/>
            <w:vAlign w:val="bottom"/>
          </w:tcPr>
          <w:p>
            <w:pPr>
              <w:jc w:val="right"/>
              <w:ind w:right="119"/>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2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8/1/2008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7/22/2008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203,000</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752,885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12/4/2008</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11/20/2008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20.9500</w:t>
            </w: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160,973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8/2/2004</w:t>
            </w:r>
          </w:p>
        </w:tc>
        <w:tc>
          <w:tcPr>
            <w:tcW w:w="130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3/4/2009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awards were made under the Company’s annual cash incentive plan. The structure of the plan is described in Compensation Discussion and Analysis above. Award levels are set prior to the beginning of the fiscal year and payouts can range from 0% to 250% of the target. The impact of the extended global economic downturn significantly impacted the income and revenue performance of the Company. As a result, no bonuses under the cash incentive plan were awarded to any of the named executive officers.</w:t>
      </w:r>
    </w:p>
    <w:p>
      <w:pPr>
        <w:spacing w:after="0" w:line="38" w:lineRule="exact"/>
        <w:rPr>
          <w:rFonts w:ascii="Arial" w:cs="Arial" w:eastAsia="Arial" w:hAnsi="Arial"/>
          <w:sz w:val="18"/>
          <w:szCs w:val="18"/>
          <w:color w:val="auto"/>
        </w:rPr>
      </w:pPr>
    </w:p>
    <w:p>
      <w:pPr>
        <w:ind w:left="460" w:right="60" w:hanging="452"/>
        <w:spacing w:after="0" w:line="297"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Effective March 4, 2009, the Compensation Committee of the Board of Directors of the Company approved an amendment to the granting agreement under which the Company issued performance-based stock options on August 2, 2004. Pursuant to the amendment, the exercise period for the performance-based stock options was extended to ten years from five years. Also, the amendment provided that during the extension period, executives may exercise the performance-based stock options following a termination only if the termination is as a result of the executive’s death or disability or qualifies as a retirement. The modification value is the FAS 123R incremental fair value as of the modification date.</w:t>
      </w:r>
    </w:p>
    <w:p>
      <w:pPr>
        <w:spacing w:after="0" w:line="9" w:lineRule="exact"/>
        <w:rPr>
          <w:rFonts w:ascii="Arial" w:cs="Arial" w:eastAsia="Arial" w:hAnsi="Arial"/>
          <w:sz w:val="16"/>
          <w:szCs w:val="16"/>
          <w:color w:val="auto"/>
        </w:rPr>
      </w:pPr>
    </w:p>
    <w:p>
      <w:pPr>
        <w:ind w:left="460" w:right="20" w:hanging="452"/>
        <w:spacing w:after="0" w:line="32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options granted become exercisable as follows: one-third of the shares on December 4, 2009, one-third of the shares on December 4, 2010 and one-third of the shares on December 4, 2011. These options have a term of ten years and were calculated using FAS 123R grant date fair value.</w:t>
      </w:r>
    </w:p>
    <w:p>
      <w:pPr>
        <w:spacing w:after="0" w:line="1" w:lineRule="exact"/>
        <w:rPr>
          <w:rFonts w:ascii="Arial" w:cs="Arial" w:eastAsia="Arial" w:hAnsi="Arial"/>
          <w:sz w:val="16"/>
          <w:szCs w:val="16"/>
          <w:color w:val="auto"/>
        </w:rPr>
      </w:pPr>
    </w:p>
    <w:p>
      <w:pPr>
        <w:ind w:left="460" w:right="24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exercise price is the average of the high and low sale prices of the Company’s Class A Common Stock as reported by the New York Stock Exchange on the date of the grant. The closing prices of the Company’s Class A Common Stock as reported by the New York Stock Exchange on the dates of the grants was $20.81 per share on December 4,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2009 Fiscal Year End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Option Awards (1)</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3"/>
          </w:tcPr>
          <w:p>
            <w:pPr>
              <w:ind w:left="11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Unearned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580" w:type="dxa"/>
            <w:vAlign w:val="bottom"/>
            <w:gridSpan w:val="2"/>
            <w:vMerge w:val="continue"/>
          </w:tcPr>
          <w:p>
            <w:pPr>
              <w:spacing w:after="0"/>
              <w:rPr>
                <w:sz w:val="14"/>
                <w:szCs w:val="14"/>
                <w:color w:val="auto"/>
              </w:rPr>
            </w:pPr>
          </w:p>
        </w:tc>
        <w:tc>
          <w:tcPr>
            <w:tcW w:w="138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Options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Expiration 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76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1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33.8900</w:t>
            </w:r>
          </w:p>
        </w:tc>
        <w:tc>
          <w:tcPr>
            <w:tcW w:w="16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8/1/2010</w:t>
            </w:r>
          </w:p>
        </w:tc>
        <w:tc>
          <w:tcPr>
            <w:tcW w:w="16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14.1575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10/24/2010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26,000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16.0000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10/16/2011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16.3875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11/14/2012</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13.3100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2/24/2013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72,000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33,334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16,666(2)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16,667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33,333(3)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50,000(5)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8"/>
                <w:szCs w:val="18"/>
                <w:color w:val="auto"/>
              </w:rPr>
              <w:t>50,000(4)</w:t>
            </w:r>
          </w:p>
        </w:tc>
        <w:tc>
          <w:tcPr>
            <w:tcW w:w="1760" w:type="dxa"/>
            <w:vAlign w:val="bottom"/>
            <w:gridSpan w:val="2"/>
            <w:vMerge w:val="restart"/>
            <w:shd w:val="clear" w:color="auto" w:fill="CCEEFF"/>
          </w:tcPr>
          <w:p>
            <w:pPr>
              <w:jc w:val="center"/>
              <w:ind w:left="74"/>
              <w:spacing w:after="0"/>
              <w:rPr>
                <w:sz w:val="20"/>
                <w:szCs w:val="20"/>
                <w:color w:val="auto"/>
              </w:rPr>
            </w:pPr>
            <w:r>
              <w:rPr>
                <w:rFonts w:ascii="Arial" w:cs="Arial" w:eastAsia="Arial" w:hAnsi="Arial"/>
                <w:sz w:val="18"/>
                <w:szCs w:val="18"/>
                <w:color w:val="auto"/>
                <w:w w:val="89"/>
              </w:rPr>
              <w:t>1,470,500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T.J. Felmer</w:t>
            </w:r>
          </w:p>
        </w:tc>
        <w:tc>
          <w:tcPr>
            <w:tcW w:w="160" w:type="dxa"/>
            <w:vAlign w:val="bottom"/>
          </w:tcPr>
          <w:p>
            <w:pPr>
              <w:spacing w:after="0"/>
              <w:rPr>
                <w:sz w:val="17"/>
                <w:szCs w:val="17"/>
                <w:color w:val="auto"/>
              </w:rPr>
            </w:pPr>
          </w:p>
        </w:tc>
        <w:tc>
          <w:tcPr>
            <w:tcW w:w="1220" w:type="dxa"/>
            <w:vAlign w:val="bottom"/>
          </w:tcPr>
          <w:p>
            <w:pPr>
              <w:jc w:val="right"/>
              <w:ind w:right="234"/>
              <w:spacing w:after="0" w:line="201" w:lineRule="exact"/>
              <w:rPr>
                <w:sz w:val="20"/>
                <w:szCs w:val="20"/>
                <w:color w:val="auto"/>
              </w:rPr>
            </w:pPr>
            <w:r>
              <w:rPr>
                <w:rFonts w:ascii="Arial" w:cs="Arial" w:eastAsia="Arial" w:hAnsi="Arial"/>
                <w:sz w:val="18"/>
                <w:szCs w:val="18"/>
                <w:color w:val="auto"/>
              </w:rPr>
              <w:t>30,000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9"/>
              </w:rPr>
              <w:t>33.8900</w:t>
            </w:r>
          </w:p>
        </w:tc>
        <w:tc>
          <w:tcPr>
            <w:tcW w:w="1820" w:type="dxa"/>
            <w:vAlign w:val="bottom"/>
            <w:gridSpan w:val="2"/>
          </w:tcPr>
          <w:p>
            <w:pPr>
              <w:jc w:val="right"/>
              <w:ind w:right="342"/>
              <w:spacing w:after="0" w:line="201" w:lineRule="exact"/>
              <w:rPr>
                <w:sz w:val="20"/>
                <w:szCs w:val="20"/>
                <w:color w:val="auto"/>
              </w:rPr>
            </w:pPr>
            <w:r>
              <w:rPr>
                <w:rFonts w:ascii="Arial" w:cs="Arial" w:eastAsia="Arial" w:hAnsi="Arial"/>
                <w:sz w:val="18"/>
                <w:szCs w:val="18"/>
                <w:color w:val="auto"/>
              </w:rPr>
              <w:t>8/1/2010</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14.1575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10/24/2010</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16.0000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10/16/2011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16.3875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11/14/2012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16,667</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8,333(2)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8,334</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16,666(3)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25,000(5)</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tcPr>
          <w:p>
            <w:pPr>
              <w:spacing w:after="0"/>
              <w:rPr>
                <w:sz w:val="20"/>
                <w:szCs w:val="20"/>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8"/>
                <w:szCs w:val="18"/>
                <w:color w:val="auto"/>
              </w:rPr>
              <w:t>35,000(4)</w:t>
            </w:r>
          </w:p>
        </w:tc>
        <w:tc>
          <w:tcPr>
            <w:tcW w:w="1760" w:type="dxa"/>
            <w:vAlign w:val="bottom"/>
            <w:gridSpan w:val="2"/>
            <w:vMerge w:val="restart"/>
          </w:tcPr>
          <w:p>
            <w:pPr>
              <w:jc w:val="center"/>
              <w:ind w:left="74"/>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380" w:type="dxa"/>
            <w:vAlign w:val="bottom"/>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33.8900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8/1/2010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14,000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16,667</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8,333(2)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8,334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16,666(3)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25,000(5)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03"/>
              <w:spacing w:after="0"/>
              <w:rPr>
                <w:sz w:val="20"/>
                <w:szCs w:val="20"/>
                <w:color w:val="auto"/>
              </w:rPr>
            </w:pPr>
            <w:r>
              <w:rPr>
                <w:rFonts w:ascii="Arial" w:cs="Arial" w:eastAsia="Arial" w:hAnsi="Arial"/>
                <w:sz w:val="18"/>
                <w:szCs w:val="18"/>
                <w:color w:val="auto"/>
              </w:rPr>
              <w:t>35,000(4)</w:t>
            </w:r>
          </w:p>
        </w:tc>
        <w:tc>
          <w:tcPr>
            <w:tcW w:w="1760" w:type="dxa"/>
            <w:vAlign w:val="bottom"/>
            <w:gridSpan w:val="2"/>
            <w:vMerge w:val="restart"/>
            <w:shd w:val="clear" w:color="auto" w:fill="CCEEFF"/>
          </w:tcPr>
          <w:p>
            <w:pPr>
              <w:jc w:val="center"/>
              <w:ind w:left="74"/>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M.O. Williamson</w:t>
            </w:r>
          </w:p>
        </w:tc>
        <w:tc>
          <w:tcPr>
            <w:tcW w:w="160" w:type="dxa"/>
            <w:vAlign w:val="bottom"/>
          </w:tcPr>
          <w:p>
            <w:pPr>
              <w:spacing w:after="0"/>
              <w:rPr>
                <w:sz w:val="17"/>
                <w:szCs w:val="17"/>
                <w:color w:val="auto"/>
              </w:rPr>
            </w:pPr>
          </w:p>
        </w:tc>
        <w:tc>
          <w:tcPr>
            <w:tcW w:w="1220" w:type="dxa"/>
            <w:vAlign w:val="bottom"/>
          </w:tcPr>
          <w:p>
            <w:pPr>
              <w:jc w:val="right"/>
              <w:ind w:right="234"/>
              <w:spacing w:after="0" w:line="201" w:lineRule="exact"/>
              <w:rPr>
                <w:sz w:val="20"/>
                <w:szCs w:val="20"/>
                <w:color w:val="auto"/>
              </w:rPr>
            </w:pPr>
            <w:r>
              <w:rPr>
                <w:rFonts w:ascii="Arial" w:cs="Arial" w:eastAsia="Arial" w:hAnsi="Arial"/>
                <w:sz w:val="18"/>
                <w:szCs w:val="18"/>
                <w:color w:val="auto"/>
              </w:rPr>
              <w:t>30,000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89"/>
              </w:rPr>
              <w:t>33.8900</w:t>
            </w:r>
          </w:p>
        </w:tc>
        <w:tc>
          <w:tcPr>
            <w:tcW w:w="1820" w:type="dxa"/>
            <w:vAlign w:val="bottom"/>
            <w:gridSpan w:val="2"/>
          </w:tcPr>
          <w:p>
            <w:pPr>
              <w:jc w:val="right"/>
              <w:ind w:right="342"/>
              <w:spacing w:after="0" w:line="201" w:lineRule="exact"/>
              <w:rPr>
                <w:sz w:val="20"/>
                <w:szCs w:val="20"/>
                <w:color w:val="auto"/>
              </w:rPr>
            </w:pPr>
            <w:r>
              <w:rPr>
                <w:rFonts w:ascii="Arial" w:cs="Arial" w:eastAsia="Arial" w:hAnsi="Arial"/>
                <w:sz w:val="18"/>
                <w:szCs w:val="18"/>
                <w:color w:val="auto"/>
              </w:rPr>
              <w:t>8/1/2010</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5,500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16.0000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10/16/2011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16.3875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11/14/2012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17.3250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11/20/2013</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22.6325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8/2/2014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28.8425</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11/18/2014</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37.8300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16,667</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8,333(2)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38.1900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11/30/2016</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80" w:type="dxa"/>
            <w:vAlign w:val="bottom"/>
            <w:gridSpan w:val="2"/>
          </w:tcPr>
          <w:p>
            <w:pPr>
              <w:jc w:val="right"/>
              <w:ind w:right="234"/>
              <w:spacing w:after="0"/>
              <w:rPr>
                <w:sz w:val="20"/>
                <w:szCs w:val="20"/>
                <w:color w:val="auto"/>
              </w:rPr>
            </w:pPr>
            <w:r>
              <w:rPr>
                <w:rFonts w:ascii="Arial" w:cs="Arial" w:eastAsia="Arial" w:hAnsi="Arial"/>
                <w:sz w:val="18"/>
                <w:szCs w:val="18"/>
                <w:color w:val="auto"/>
              </w:rPr>
              <w:t>8,334</w:t>
            </w: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16,666(3)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38.3100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25,000(5)</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20.9500</w:t>
            </w:r>
          </w:p>
        </w:tc>
        <w:tc>
          <w:tcPr>
            <w:tcW w:w="1820" w:type="dxa"/>
            <w:vAlign w:val="bottom"/>
            <w:gridSpan w:val="2"/>
          </w:tcPr>
          <w:p>
            <w:pPr>
              <w:jc w:val="right"/>
              <w:ind w:right="342"/>
              <w:spacing w:after="0"/>
              <w:rPr>
                <w:sz w:val="20"/>
                <w:szCs w:val="20"/>
                <w:color w:val="auto"/>
              </w:rPr>
            </w:pPr>
            <w:r>
              <w:rPr>
                <w:rFonts w:ascii="Arial" w:cs="Arial" w:eastAsia="Arial" w:hAnsi="Arial"/>
                <w:sz w:val="18"/>
                <w:szCs w:val="18"/>
                <w:color w:val="auto"/>
              </w:rPr>
              <w:t>12/4/2018</w:t>
            </w:r>
          </w:p>
        </w:tc>
        <w:tc>
          <w:tcPr>
            <w:tcW w:w="160" w:type="dxa"/>
            <w:vAlign w:val="bottom"/>
          </w:tcPr>
          <w:p>
            <w:pPr>
              <w:spacing w:after="0"/>
              <w:rPr>
                <w:sz w:val="20"/>
                <w:szCs w:val="20"/>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8"/>
                <w:szCs w:val="18"/>
                <w:color w:val="auto"/>
              </w:rPr>
              <w:t>35,000(4)</w:t>
            </w:r>
          </w:p>
        </w:tc>
        <w:tc>
          <w:tcPr>
            <w:tcW w:w="1760" w:type="dxa"/>
            <w:vAlign w:val="bottom"/>
            <w:gridSpan w:val="2"/>
            <w:vMerge w:val="restart"/>
          </w:tcPr>
          <w:p>
            <w:pPr>
              <w:jc w:val="center"/>
              <w:ind w:left="74"/>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12"/>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-5627370</wp:posOffset>
            </wp:positionV>
            <wp:extent cx="548640" cy="823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640" cy="82359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-2197100</wp:posOffset>
            </wp:positionV>
            <wp:extent cx="31750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7500" cy="27432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4"/>
          </w:tcPr>
          <w:p>
            <w:pPr>
              <w:ind w:left="220"/>
              <w:spacing w:after="0"/>
              <w:rPr>
                <w:sz w:val="20"/>
                <w:szCs w:val="20"/>
                <w:color w:val="auto"/>
              </w:rPr>
            </w:pPr>
            <w:r>
              <w:rPr>
                <w:rFonts w:ascii="Arial" w:cs="Arial" w:eastAsia="Arial" w:hAnsi="Arial"/>
                <w:sz w:val="14"/>
                <w:szCs w:val="14"/>
                <w:b w:val="1"/>
                <w:bCs w:val="1"/>
                <w:color w:val="auto"/>
              </w:rPr>
              <w:t>Option Awards (1)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3"/>
          </w:tcPr>
          <w:p>
            <w:pPr>
              <w:ind w:left="11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1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Unexercisable</w:t>
            </w:r>
          </w:p>
        </w:tc>
        <w:tc>
          <w:tcPr>
            <w:tcW w:w="1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32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14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Options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Expiration Date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78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J. Klotsche</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rPr>
              <w:t>5,400</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10/24/2010</w:t>
            </w:r>
          </w:p>
        </w:tc>
        <w:tc>
          <w:tcPr>
            <w:tcW w:w="2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33.8900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8/1/2010</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5,400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16.0000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10/16/2011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16.3875</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11/14/2012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17.3250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11/20/2013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22.6325</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8/2/2014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28.8425</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11/18/2014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37.8300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11/30/2015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8,333(2)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38.1900</w:t>
            </w:r>
          </w:p>
        </w:tc>
        <w:tc>
          <w:tcPr>
            <w:tcW w:w="1840" w:type="dxa"/>
            <w:vAlign w:val="bottom"/>
            <w:gridSpan w:val="2"/>
          </w:tcPr>
          <w:p>
            <w:pPr>
              <w:jc w:val="right"/>
              <w:ind w:right="342"/>
              <w:spacing w:after="0"/>
              <w:rPr>
                <w:sz w:val="20"/>
                <w:szCs w:val="20"/>
                <w:color w:val="auto"/>
              </w:rPr>
            </w:pPr>
            <w:r>
              <w:rPr>
                <w:rFonts w:ascii="Arial" w:cs="Arial" w:eastAsia="Arial" w:hAnsi="Arial"/>
                <w:sz w:val="18"/>
                <w:szCs w:val="18"/>
                <w:color w:val="auto"/>
              </w:rPr>
              <w:t>11/30/2016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8,334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w w:val="90"/>
              </w:rPr>
              <w:t>16,666(3)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38.3100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w w:val="90"/>
              </w:rPr>
              <w:t>25,000(5)</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20.9500</w:t>
            </w:r>
          </w:p>
        </w:tc>
        <w:tc>
          <w:tcPr>
            <w:tcW w:w="18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12/4/2018</w:t>
            </w: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07"/>
              <w:spacing w:after="0"/>
              <w:rPr>
                <w:sz w:val="20"/>
                <w:szCs w:val="20"/>
                <w:color w:val="auto"/>
              </w:rPr>
            </w:pPr>
            <w:r>
              <w:rPr>
                <w:rFonts w:ascii="Arial" w:cs="Arial" w:eastAsia="Arial" w:hAnsi="Arial"/>
                <w:sz w:val="18"/>
                <w:szCs w:val="18"/>
                <w:color w:val="auto"/>
              </w:rPr>
              <w:t>35,000(4)</w:t>
            </w:r>
          </w:p>
        </w:tc>
        <w:tc>
          <w:tcPr>
            <w:tcW w:w="1780" w:type="dxa"/>
            <w:vAlign w:val="bottom"/>
            <w:gridSpan w:val="2"/>
            <w:vMerge w:val="restart"/>
            <w:shd w:val="clear" w:color="auto" w:fill="CCEEFF"/>
          </w:tcPr>
          <w:p>
            <w:pPr>
              <w:jc w:val="center"/>
              <w:ind w:left="99"/>
              <w:spacing w:after="0"/>
              <w:rPr>
                <w:sz w:val="20"/>
                <w:szCs w:val="20"/>
                <w:color w:val="auto"/>
              </w:rPr>
            </w:pPr>
            <w:r>
              <w:rPr>
                <w:rFonts w:ascii="Arial" w:cs="Arial" w:eastAsia="Arial" w:hAnsi="Arial"/>
                <w:sz w:val="18"/>
                <w:szCs w:val="18"/>
                <w:color w:val="auto"/>
                <w:w w:val="89"/>
              </w:rPr>
              <w:t>1,029,350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-685165</wp:posOffset>
            </wp:positionV>
            <wp:extent cx="5162550" cy="685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62550" cy="68580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vest on November 30, 2009.</w:t>
      </w:r>
    </w:p>
    <w:p>
      <w:pPr>
        <w:spacing w:after="0" w:line="76" w:lineRule="exact"/>
        <w:rPr>
          <w:rFonts w:ascii="Arial" w:cs="Arial" w:eastAsia="Arial" w:hAnsi="Arial"/>
          <w:sz w:val="18"/>
          <w:szCs w:val="18"/>
          <w:color w:val="auto"/>
        </w:rPr>
      </w:pPr>
    </w:p>
    <w:p>
      <w:pPr>
        <w:ind w:left="460" w:right="8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One-third of the options vested on December 4, 2008, one-third of the options vest on December 4, 2009 and one-third of the options vest on December 4, 2010.</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vest on January 8, 2013, subject to meeting performance criteria.</w:t>
      </w:r>
    </w:p>
    <w:p>
      <w:pPr>
        <w:spacing w:after="0" w:line="76" w:lineRule="exact"/>
        <w:rPr>
          <w:rFonts w:ascii="Arial" w:cs="Arial" w:eastAsia="Arial" w:hAnsi="Arial"/>
          <w:sz w:val="18"/>
          <w:szCs w:val="18"/>
          <w:color w:val="auto"/>
        </w:rPr>
      </w:pPr>
    </w:p>
    <w:p>
      <w:pPr>
        <w:ind w:left="460" w:right="8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One-third of the options vested on December 4, 2009, one-third of the options vest on December 4, 2010 and one-third of the options vest on December 4,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option exercises completed during fiscal 2009 to the named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5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5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360" w:type="dxa"/>
            <w:vAlign w:val="bottom"/>
            <w:gridSpan w:val="3"/>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on Exercise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5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22,200</w:t>
            </w:r>
          </w:p>
        </w:tc>
        <w:tc>
          <w:tcPr>
            <w:tcW w:w="5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306,063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190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226,425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 Sephton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None</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M.O. Williamson</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5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34,734</w:t>
            </w:r>
          </w:p>
        </w:tc>
        <w:tc>
          <w:tcPr>
            <w:tcW w:w="190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616,156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2009</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2009 for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3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3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3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Earnings in</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Withdrawals/</w:t>
            </w:r>
          </w:p>
        </w:tc>
        <w:tc>
          <w:tcPr>
            <w:tcW w:w="3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3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3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3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3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76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182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ind w:left="7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End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34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554,586</w:t>
            </w:r>
          </w:p>
        </w:tc>
        <w:tc>
          <w:tcPr>
            <w:tcW w:w="3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rPr>
              <w:t>97,284</w:t>
            </w:r>
          </w:p>
        </w:tc>
        <w:tc>
          <w:tcPr>
            <w:tcW w:w="34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8"/>
                <w:szCs w:val="18"/>
                <w:color w:val="auto"/>
              </w:rPr>
              <w:t>(517,541)</w:t>
            </w:r>
          </w:p>
        </w:tc>
        <w:tc>
          <w:tcPr>
            <w:tcW w:w="3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rPr>
              <w:t>3,030,405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T.J. Felmer</w:t>
            </w:r>
          </w:p>
        </w:tc>
        <w:tc>
          <w:tcPr>
            <w:tcW w:w="1760" w:type="dxa"/>
            <w:vAlign w:val="bottom"/>
            <w:gridSpan w:val="2"/>
          </w:tcPr>
          <w:p>
            <w:pPr>
              <w:jc w:val="right"/>
              <w:ind w:right="341"/>
              <w:spacing w:after="0"/>
              <w:rPr>
                <w:sz w:val="20"/>
                <w:szCs w:val="20"/>
                <w:color w:val="auto"/>
              </w:rPr>
            </w:pPr>
            <w:r>
              <w:rPr>
                <w:rFonts w:ascii="Arial" w:cs="Arial" w:eastAsia="Arial" w:hAnsi="Arial"/>
                <w:sz w:val="18"/>
                <w:szCs w:val="18"/>
                <w:color w:val="auto"/>
              </w:rPr>
              <w:t>122,909</w:t>
            </w:r>
          </w:p>
        </w:tc>
        <w:tc>
          <w:tcPr>
            <w:tcW w:w="1700" w:type="dxa"/>
            <w:vAlign w:val="bottom"/>
            <w:gridSpan w:val="2"/>
          </w:tcPr>
          <w:p>
            <w:pPr>
              <w:jc w:val="right"/>
              <w:ind w:right="341"/>
              <w:spacing w:after="0"/>
              <w:rPr>
                <w:sz w:val="20"/>
                <w:szCs w:val="20"/>
                <w:color w:val="auto"/>
              </w:rPr>
            </w:pPr>
            <w:r>
              <w:rPr>
                <w:rFonts w:ascii="Arial" w:cs="Arial" w:eastAsia="Arial" w:hAnsi="Arial"/>
                <w:sz w:val="18"/>
                <w:szCs w:val="18"/>
                <w:color w:val="auto"/>
              </w:rPr>
              <w:t>13,758</w:t>
            </w:r>
          </w:p>
        </w:tc>
        <w:tc>
          <w:tcPr>
            <w:tcW w:w="1820" w:type="dxa"/>
            <w:vAlign w:val="bottom"/>
            <w:gridSpan w:val="2"/>
          </w:tcPr>
          <w:p>
            <w:pPr>
              <w:jc w:val="right"/>
              <w:ind w:right="281"/>
              <w:spacing w:after="0"/>
              <w:rPr>
                <w:sz w:val="20"/>
                <w:szCs w:val="20"/>
                <w:color w:val="auto"/>
              </w:rPr>
            </w:pPr>
            <w:r>
              <w:rPr>
                <w:rFonts w:ascii="Arial" w:cs="Arial" w:eastAsia="Arial" w:hAnsi="Arial"/>
                <w:sz w:val="18"/>
                <w:szCs w:val="18"/>
                <w:color w:val="auto"/>
              </w:rPr>
              <w:t>(177,097)</w:t>
            </w:r>
          </w:p>
        </w:tc>
        <w:tc>
          <w:tcPr>
            <w:tcW w:w="36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42"/>
              <w:spacing w:after="0"/>
              <w:rPr>
                <w:sz w:val="20"/>
                <w:szCs w:val="20"/>
                <w:color w:val="auto"/>
              </w:rPr>
            </w:pPr>
            <w:r>
              <w:rPr>
                <w:rFonts w:ascii="Arial" w:cs="Arial" w:eastAsia="Arial" w:hAnsi="Arial"/>
                <w:sz w:val="18"/>
                <w:szCs w:val="18"/>
                <w:color w:val="auto"/>
              </w:rPr>
              <w:t>717,582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 Williamson</w:t>
            </w:r>
          </w:p>
        </w:tc>
        <w:tc>
          <w:tcPr>
            <w:tcW w:w="1760" w:type="dxa"/>
            <w:vAlign w:val="bottom"/>
            <w:gridSpan w:val="2"/>
          </w:tcPr>
          <w:p>
            <w:pPr>
              <w:jc w:val="right"/>
              <w:ind w:right="341"/>
              <w:spacing w:after="0"/>
              <w:rPr>
                <w:sz w:val="20"/>
                <w:szCs w:val="20"/>
                <w:color w:val="auto"/>
              </w:rPr>
            </w:pPr>
            <w:r>
              <w:rPr>
                <w:rFonts w:ascii="Arial" w:cs="Arial" w:eastAsia="Arial" w:hAnsi="Arial"/>
                <w:sz w:val="18"/>
                <w:szCs w:val="18"/>
                <w:color w:val="auto"/>
              </w:rPr>
              <w:t>56,373</w:t>
            </w:r>
          </w:p>
        </w:tc>
        <w:tc>
          <w:tcPr>
            <w:tcW w:w="1700" w:type="dxa"/>
            <w:vAlign w:val="bottom"/>
            <w:gridSpan w:val="2"/>
          </w:tcPr>
          <w:p>
            <w:pPr>
              <w:jc w:val="right"/>
              <w:ind w:right="341"/>
              <w:spacing w:after="0"/>
              <w:rPr>
                <w:sz w:val="20"/>
                <w:szCs w:val="20"/>
                <w:color w:val="auto"/>
              </w:rPr>
            </w:pPr>
            <w:r>
              <w:rPr>
                <w:rFonts w:ascii="Arial" w:cs="Arial" w:eastAsia="Arial" w:hAnsi="Arial"/>
                <w:sz w:val="18"/>
                <w:szCs w:val="18"/>
                <w:color w:val="auto"/>
              </w:rPr>
              <w:t>21,041</w:t>
            </w:r>
          </w:p>
        </w:tc>
        <w:tc>
          <w:tcPr>
            <w:tcW w:w="1820" w:type="dxa"/>
            <w:vAlign w:val="bottom"/>
            <w:gridSpan w:val="2"/>
          </w:tcPr>
          <w:p>
            <w:pPr>
              <w:jc w:val="right"/>
              <w:ind w:right="281"/>
              <w:spacing w:after="0"/>
              <w:rPr>
                <w:sz w:val="20"/>
                <w:szCs w:val="20"/>
                <w:color w:val="auto"/>
              </w:rPr>
            </w:pPr>
            <w:r>
              <w:rPr>
                <w:rFonts w:ascii="Arial" w:cs="Arial" w:eastAsia="Arial" w:hAnsi="Arial"/>
                <w:sz w:val="18"/>
                <w:szCs w:val="18"/>
                <w:color w:val="auto"/>
              </w:rPr>
              <w:t>(112,313)</w:t>
            </w:r>
          </w:p>
        </w:tc>
        <w:tc>
          <w:tcPr>
            <w:tcW w:w="36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42"/>
              <w:spacing w:after="0"/>
              <w:rPr>
                <w:sz w:val="20"/>
                <w:szCs w:val="20"/>
                <w:color w:val="auto"/>
              </w:rPr>
            </w:pPr>
            <w:r>
              <w:rPr>
                <w:rFonts w:ascii="Arial" w:cs="Arial" w:eastAsia="Arial" w:hAnsi="Arial"/>
                <w:sz w:val="18"/>
                <w:szCs w:val="18"/>
                <w:color w:val="auto"/>
              </w:rPr>
              <w:t>575,622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7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8,636</w:t>
            </w:r>
          </w:p>
        </w:tc>
        <w:tc>
          <w:tcPr>
            <w:tcW w:w="17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15,073</w:t>
            </w:r>
          </w:p>
        </w:tc>
        <w:tc>
          <w:tcPr>
            <w:tcW w:w="18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(70,083)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326,767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See discussion of the Company’s nonqualified deferred compensation plan in the Compensation Discussion and Analysis. The executive contribution amounts reported here are reported in the salary and non-equity incentive plan compensation columns of the Summary Compensation Table. The registrant contribution amounts reported here are reported in the all other compensation columns of the Summary Compensation Table.</w:t>
      </w:r>
    </w:p>
    <w:p>
      <w:pPr>
        <w:sectPr>
          <w:pgSz w:w="11900" w:h="16838" w:orient="portrait"/>
          <w:cols w:equalWidth="0" w:num="1">
            <w:col w:w="11420"/>
          </w:cols>
          <w:pgMar w:left="240" w:top="41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right="60" w:firstLine="215"/>
        <w:spacing w:after="0" w:line="270" w:lineRule="auto"/>
        <w:rPr>
          <w:sz w:val="20"/>
          <w:szCs w:val="20"/>
          <w:color w:val="auto"/>
        </w:rPr>
      </w:pPr>
      <w:r>
        <w:rPr>
          <w:rFonts w:ascii="Arial" w:cs="Arial" w:eastAsia="Arial" w:hAnsi="Arial"/>
          <w:sz w:val="17"/>
          <w:szCs w:val="17"/>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74"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Following termination due to a change in control, the executive shall be paid a multiplier of his annual base salary in effect immediately prior to the date the change of control occurs, plus a multiplier of his average bonus payment received over either a two or three-year period, depending on the terms of the agreement,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64"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Assumptions and General Principles. </w:t>
      </w:r>
      <w:r>
        <w:rPr>
          <w:rFonts w:ascii="Arial" w:cs="Arial" w:eastAsia="Arial" w:hAnsi="Arial"/>
          <w:sz w:val="17"/>
          <w:szCs w:val="17"/>
          <w:color w:val="auto"/>
        </w:rPr>
        <w:t>The following assumptions and general principles apply with respect to the tables that follow in this section.</w:t>
      </w:r>
    </w:p>
    <w:p>
      <w:pPr>
        <w:spacing w:after="0" w:line="129" w:lineRule="exact"/>
        <w:rPr>
          <w:sz w:val="20"/>
          <w:szCs w:val="20"/>
          <w:color w:val="auto"/>
        </w:rPr>
      </w:pPr>
    </w:p>
    <w:p>
      <w:pPr>
        <w:ind w:left="660" w:right="40" w:hanging="436"/>
        <w:spacing w:after="0" w:line="312"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The amounts shown in the tables assume that each named executive officer terminated employment on July 31, 2009. Accordingly, the tables reflect amounts earned as of July 31, 2009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52" w:lineRule="exact"/>
        <w:rPr>
          <w:rFonts w:ascii="Arial" w:cs="Arial" w:eastAsia="Arial" w:hAnsi="Arial"/>
          <w:sz w:val="16"/>
          <w:szCs w:val="16"/>
          <w:b w:val="1"/>
          <w:bCs w:val="1"/>
          <w:color w:val="auto"/>
        </w:rPr>
      </w:pPr>
    </w:p>
    <w:p>
      <w:pPr>
        <w:ind w:left="660" w:hanging="436"/>
        <w:spacing w:after="0" w:line="264"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86"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9"/>
              </w:rPr>
              <w:t>Legal Fee</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Award</w:t>
            </w: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2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5"/>
              </w:rPr>
              <w:t>Bonus ($)</w:t>
            </w:r>
          </w:p>
        </w:tc>
        <w:tc>
          <w:tcPr>
            <w:tcW w:w="2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w:t>
            </w:r>
          </w:p>
        </w:tc>
        <w:tc>
          <w:tcPr>
            <w:tcW w:w="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156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w w:val="93"/>
              </w:rPr>
              <w:t>($)</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7"/>
        </w:trPr>
        <w:tc>
          <w:tcPr>
            <w:tcW w:w="2000" w:type="dxa"/>
            <w:vAlign w:val="bottom"/>
          </w:tcPr>
          <w:p>
            <w:pPr>
              <w:jc w:val="center"/>
              <w:spacing w:after="0"/>
              <w:rPr>
                <w:sz w:val="20"/>
                <w:szCs w:val="20"/>
                <w:color w:val="auto"/>
              </w:rPr>
            </w:pPr>
            <w:r>
              <w:rPr>
                <w:rFonts w:ascii="Arial" w:cs="Arial" w:eastAsia="Arial" w:hAnsi="Arial"/>
                <w:sz w:val="14"/>
                <w:szCs w:val="14"/>
                <w:color w:val="auto"/>
                <w:w w:val="91"/>
              </w:rPr>
              <w:t>Base Salary ($)(1)</w:t>
            </w:r>
          </w:p>
        </w:tc>
        <w:tc>
          <w:tcPr>
            <w:tcW w:w="1380" w:type="dxa"/>
            <w:vAlign w:val="bottom"/>
            <w:gridSpan w:val="2"/>
          </w:tcPr>
          <w:p>
            <w:pPr>
              <w:jc w:val="center"/>
              <w:ind w:left="208"/>
              <w:spacing w:after="0"/>
              <w:rPr>
                <w:sz w:val="20"/>
                <w:szCs w:val="20"/>
                <w:color w:val="auto"/>
              </w:rPr>
            </w:pPr>
            <w:r>
              <w:rPr>
                <w:rFonts w:ascii="Arial" w:cs="Arial" w:eastAsia="Arial" w:hAnsi="Arial"/>
                <w:sz w:val="14"/>
                <w:szCs w:val="14"/>
                <w:color w:val="auto"/>
              </w:rPr>
              <w:t>(2)</w:t>
            </w:r>
          </w:p>
        </w:tc>
        <w:tc>
          <w:tcPr>
            <w:tcW w:w="1900" w:type="dxa"/>
            <w:vAlign w:val="bottom"/>
            <w:gridSpan w:val="2"/>
          </w:tcPr>
          <w:p>
            <w:pPr>
              <w:jc w:val="center"/>
              <w:ind w:left="228"/>
              <w:spacing w:after="0"/>
              <w:rPr>
                <w:sz w:val="20"/>
                <w:szCs w:val="20"/>
                <w:color w:val="auto"/>
              </w:rPr>
            </w:pPr>
            <w:r>
              <w:rPr>
                <w:rFonts w:ascii="Arial" w:cs="Arial" w:eastAsia="Arial" w:hAnsi="Arial"/>
                <w:sz w:val="14"/>
                <w:szCs w:val="14"/>
                <w:color w:val="auto"/>
                <w:w w:val="97"/>
              </w:rPr>
              <w:t>$ (3)</w:t>
            </w:r>
          </w:p>
        </w:tc>
        <w:tc>
          <w:tcPr>
            <w:tcW w:w="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Gain $ (4)</w:t>
            </w:r>
          </w:p>
        </w:tc>
        <w:tc>
          <w:tcPr>
            <w:tcW w:w="1660" w:type="dxa"/>
            <w:vAlign w:val="bottom"/>
            <w:gridSpan w:val="2"/>
          </w:tcPr>
          <w:p>
            <w:pPr>
              <w:jc w:val="center"/>
              <w:ind w:left="20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left="208"/>
              <w:spacing w:after="0"/>
              <w:rPr>
                <w:sz w:val="20"/>
                <w:szCs w:val="20"/>
                <w:color w:val="auto"/>
              </w:rPr>
            </w:pPr>
            <w:r>
              <w:rPr>
                <w:rFonts w:ascii="Arial" w:cs="Arial" w:eastAsia="Arial" w:hAnsi="Arial"/>
                <w:sz w:val="14"/>
                <w:szCs w:val="14"/>
                <w:color w:val="auto"/>
                <w:w w:val="93"/>
              </w:rPr>
              <w:t>(5)</w:t>
            </w:r>
          </w:p>
        </w:tc>
        <w:tc>
          <w:tcPr>
            <w:tcW w:w="2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2000" w:type="dxa"/>
            <w:vAlign w:val="bottom"/>
            <w:tcBorders>
              <w:top w:val="single" w:sz="8" w:color="auto"/>
            </w:tcBorders>
          </w:tcPr>
          <w:p>
            <w:pPr>
              <w:jc w:val="right"/>
              <w:ind w:right="559"/>
              <w:spacing w:after="0"/>
              <w:rPr>
                <w:sz w:val="20"/>
                <w:szCs w:val="20"/>
                <w:color w:val="auto"/>
              </w:rPr>
            </w:pPr>
            <w:r>
              <w:rPr>
                <w:rFonts w:ascii="Arial" w:cs="Arial" w:eastAsia="Arial" w:hAnsi="Arial"/>
                <w:sz w:val="18"/>
                <w:szCs w:val="18"/>
                <w:color w:val="auto"/>
              </w:rPr>
              <w:t>2,250,000</w:t>
            </w:r>
          </w:p>
        </w:tc>
        <w:tc>
          <w:tcPr>
            <w:tcW w:w="2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1,996,539</w:t>
            </w:r>
          </w:p>
        </w:tc>
        <w:tc>
          <w:tcPr>
            <w:tcW w:w="28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1,470,500</w:t>
            </w:r>
          </w:p>
        </w:tc>
        <w:tc>
          <w:tcPr>
            <w:tcW w:w="3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423,000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949,997</w:t>
            </w:r>
          </w:p>
        </w:tc>
        <w:tc>
          <w:tcPr>
            <w:tcW w:w="28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19"/>
                <w:szCs w:val="19"/>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7,115,036</w:t>
            </w:r>
          </w:p>
        </w:tc>
      </w:tr>
    </w:tbl>
    <w:p>
      <w:pPr>
        <w:spacing w:after="0" w:line="14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closing market price of $29.41 on 50,000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50,000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Thomas J. Felmer</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154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1940" w:type="dxa"/>
            <w:vAlign w:val="bottom"/>
          </w:tcPr>
          <w:p>
            <w:pPr>
              <w:jc w:val="center"/>
              <w:spacing w:after="0"/>
              <w:rPr>
                <w:sz w:val="20"/>
                <w:szCs w:val="20"/>
                <w:color w:val="auto"/>
              </w:rPr>
            </w:pPr>
            <w:r>
              <w:rPr>
                <w:rFonts w:ascii="Arial" w:cs="Arial" w:eastAsia="Arial" w:hAnsi="Arial"/>
                <w:sz w:val="14"/>
                <w:szCs w:val="14"/>
                <w:color w:val="auto"/>
                <w:w w:val="93"/>
              </w:rPr>
              <w:t>Base Salary ($)(1)</w:t>
            </w: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1880" w:type="dxa"/>
            <w:vAlign w:val="bottom"/>
            <w:gridSpan w:val="2"/>
          </w:tcPr>
          <w:p>
            <w:pPr>
              <w:jc w:val="center"/>
              <w:ind w:left="208"/>
              <w:spacing w:after="0"/>
              <w:rPr>
                <w:sz w:val="20"/>
                <w:szCs w:val="20"/>
                <w:color w:val="auto"/>
              </w:rPr>
            </w:pPr>
            <w:r>
              <w:rPr>
                <w:rFonts w:ascii="Arial" w:cs="Arial" w:eastAsia="Arial" w:hAnsi="Arial"/>
                <w:sz w:val="14"/>
                <w:szCs w:val="14"/>
                <w:color w:val="auto"/>
                <w:w w:val="97"/>
              </w:rPr>
              <w:t>$ (3)</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Gain $ (4)</w:t>
            </w:r>
          </w:p>
        </w:tc>
        <w:tc>
          <w:tcPr>
            <w:tcW w:w="1660" w:type="dxa"/>
            <w:vAlign w:val="bottom"/>
            <w:gridSpan w:val="2"/>
          </w:tcPr>
          <w:p>
            <w:pPr>
              <w:jc w:val="center"/>
              <w:ind w:left="2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left="20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Total ($)</w:t>
            </w:r>
          </w:p>
        </w:tc>
      </w:tr>
      <w:tr>
        <w:trPr>
          <w:trHeight w:val="224"/>
        </w:trPr>
        <w:tc>
          <w:tcPr>
            <w:tcW w:w="19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650,000</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374,606</w:t>
            </w:r>
          </w:p>
        </w:tc>
        <w:tc>
          <w:tcPr>
            <w:tcW w:w="2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211,500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377,563</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19"/>
                <w:szCs w:val="19"/>
                <w:color w:val="auto"/>
              </w:rPr>
            </w:pP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2,668,019</w:t>
            </w:r>
          </w:p>
        </w:tc>
      </w:tr>
    </w:tbl>
    <w:p>
      <w:pPr>
        <w:spacing w:after="0" w:line="14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Peter C. Sephton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0"/>
              </w:rPr>
              <w:t>Excise Tax</w:t>
            </w: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w:t>
            </w:r>
          </w:p>
        </w:tc>
        <w:tc>
          <w:tcPr>
            <w:tcW w:w="2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2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1"/>
              </w:rPr>
              <w:t>Reimbursement</w:t>
            </w:r>
          </w:p>
        </w:tc>
        <w:tc>
          <w:tcPr>
            <w:tcW w:w="154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1940" w:type="dxa"/>
            <w:vAlign w:val="bottom"/>
          </w:tcPr>
          <w:p>
            <w:pPr>
              <w:jc w:val="center"/>
              <w:spacing w:after="0"/>
              <w:rPr>
                <w:sz w:val="20"/>
                <w:szCs w:val="20"/>
                <w:color w:val="auto"/>
              </w:rPr>
            </w:pPr>
            <w:r>
              <w:rPr>
                <w:rFonts w:ascii="Arial" w:cs="Arial" w:eastAsia="Arial" w:hAnsi="Arial"/>
                <w:sz w:val="14"/>
                <w:szCs w:val="14"/>
                <w:color w:val="auto"/>
                <w:w w:val="93"/>
              </w:rPr>
              <w:t>Base Salary ($)(1)</w:t>
            </w:r>
          </w:p>
        </w:tc>
        <w:tc>
          <w:tcPr>
            <w:tcW w:w="2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Bonus ($) (2)</w:t>
            </w:r>
          </w:p>
        </w:tc>
        <w:tc>
          <w:tcPr>
            <w:tcW w:w="1880" w:type="dxa"/>
            <w:vAlign w:val="bottom"/>
            <w:gridSpan w:val="2"/>
          </w:tcPr>
          <w:p>
            <w:pPr>
              <w:jc w:val="center"/>
              <w:ind w:left="208"/>
              <w:spacing w:after="0"/>
              <w:rPr>
                <w:sz w:val="20"/>
                <w:szCs w:val="20"/>
                <w:color w:val="auto"/>
              </w:rPr>
            </w:pPr>
            <w:r>
              <w:rPr>
                <w:rFonts w:ascii="Arial" w:cs="Arial" w:eastAsia="Arial" w:hAnsi="Arial"/>
                <w:sz w:val="14"/>
                <w:szCs w:val="14"/>
                <w:color w:val="auto"/>
                <w:w w:val="97"/>
              </w:rPr>
              <w:t>$ (3)</w:t>
            </w:r>
          </w:p>
        </w:tc>
        <w:tc>
          <w:tcPr>
            <w:tcW w:w="2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Gain $ (4)</w:t>
            </w:r>
          </w:p>
        </w:tc>
        <w:tc>
          <w:tcPr>
            <w:tcW w:w="1660" w:type="dxa"/>
            <w:vAlign w:val="bottom"/>
            <w:gridSpan w:val="2"/>
          </w:tcPr>
          <w:p>
            <w:pPr>
              <w:jc w:val="center"/>
              <w:ind w:left="2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left="20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Total ($)</w:t>
            </w:r>
          </w:p>
        </w:tc>
      </w:tr>
      <w:tr>
        <w:trPr>
          <w:trHeight w:val="224"/>
        </w:trPr>
        <w:tc>
          <w:tcPr>
            <w:tcW w:w="194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rPr>
              <w:t>684,905</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585,023</w:t>
            </w:r>
          </w:p>
        </w:tc>
        <w:tc>
          <w:tcPr>
            <w:tcW w:w="2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211,500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387,721</w:t>
            </w:r>
          </w:p>
        </w:tc>
        <w:tc>
          <w:tcPr>
            <w:tcW w:w="260" w:type="dxa"/>
            <w:vAlign w:val="bottom"/>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25,000</w:t>
            </w:r>
          </w:p>
        </w:tc>
        <w:tc>
          <w:tcPr>
            <w:tcW w:w="280" w:type="dxa"/>
            <w:vAlign w:val="bottom"/>
          </w:tcPr>
          <w:p>
            <w:pPr>
              <w:spacing w:after="0"/>
              <w:rPr>
                <w:sz w:val="19"/>
                <w:szCs w:val="19"/>
                <w:color w:val="auto"/>
              </w:rPr>
            </w:pPr>
          </w:p>
        </w:tc>
        <w:tc>
          <w:tcPr>
            <w:tcW w:w="10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2,923,499</w:t>
            </w:r>
          </w:p>
        </w:tc>
      </w:tr>
    </w:tbl>
    <w:p>
      <w:pPr>
        <w:spacing w:after="0" w:line="147" w:lineRule="exact"/>
        <w:rPr>
          <w:sz w:val="20"/>
          <w:szCs w:val="20"/>
          <w:color w:val="auto"/>
        </w:rPr>
      </w:pPr>
    </w:p>
    <w:p>
      <w:pPr>
        <w:ind w:left="460" w:right="20" w:hanging="452"/>
        <w:spacing w:after="0" w:line="306"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two times the base salary in effect at July 31, 2009. As Mr. Sephton works and lives in the United Kingdom, his base salary is paid to him in British Pounds. The amount shown in U.S. dollars was converted from British Pounds at the July month-end exchange rate: $1 = £0.5986.</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580" w:type="dxa"/>
            <w:vAlign w:val="bottom"/>
          </w:tcPr>
          <w:p>
            <w:pPr>
              <w:ind w:left="360"/>
              <w:spacing w:after="0" w:line="149" w:lineRule="exact"/>
              <w:rPr>
                <w:sz w:val="20"/>
                <w:szCs w:val="20"/>
                <w:color w:val="auto"/>
              </w:rPr>
            </w:pPr>
            <w:r>
              <w:rPr>
                <w:rFonts w:ascii="Arial" w:cs="Arial" w:eastAsia="Arial" w:hAnsi="Arial"/>
                <w:sz w:val="14"/>
                <w:szCs w:val="14"/>
                <w:color w:val="auto"/>
              </w:rPr>
              <w:t>Base Salary ($)</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6"/>
              </w:rPr>
              <w:t>Award Acceleration</w:t>
            </w:r>
          </w:p>
        </w:tc>
        <w:tc>
          <w:tcPr>
            <w:tcW w:w="2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Excise Tax</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 ($)</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7"/>
        </w:trPr>
        <w:tc>
          <w:tcPr>
            <w:tcW w:w="1580" w:type="dxa"/>
            <w:vAlign w:val="bottom"/>
          </w:tcPr>
          <w:p>
            <w:pPr>
              <w:jc w:val="right"/>
              <w:ind w:right="622"/>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Bonus ($) (2)</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Gain $ (3)</w:t>
            </w:r>
          </w:p>
        </w:tc>
        <w:tc>
          <w:tcPr>
            <w:tcW w:w="1760" w:type="dxa"/>
            <w:vAlign w:val="bottom"/>
            <w:gridSpan w:val="2"/>
          </w:tcPr>
          <w:p>
            <w:pPr>
              <w:jc w:val="right"/>
              <w:ind w:right="622"/>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Reimbursement ($)</w:t>
            </w:r>
          </w:p>
        </w:tc>
        <w:tc>
          <w:tcPr>
            <w:tcW w:w="1660" w:type="dxa"/>
            <w:vAlign w:val="bottom"/>
            <w:gridSpan w:val="2"/>
          </w:tcPr>
          <w:p>
            <w:pPr>
              <w:jc w:val="right"/>
              <w:ind w:right="562"/>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58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669,780</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458,581</w:t>
            </w:r>
          </w:p>
        </w:tc>
        <w:tc>
          <w:tcPr>
            <w:tcW w:w="2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211,500</w:t>
            </w:r>
          </w:p>
        </w:tc>
        <w:tc>
          <w:tcPr>
            <w:tcW w:w="22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407,326</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2,801,537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Allan J. Klotsche</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2009 and the named executive officer had to legally enforce the terms of the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4"/>
              </w:rPr>
              <w:t>Restricted Stock</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4"/>
              </w:rPr>
              <w:t>Stock Option</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Legal Fee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580" w:type="dxa"/>
            <w:vAlign w:val="bottom"/>
          </w:tcPr>
          <w:p>
            <w:pPr>
              <w:ind w:left="360"/>
              <w:spacing w:after="0" w:line="149" w:lineRule="exact"/>
              <w:rPr>
                <w:sz w:val="20"/>
                <w:szCs w:val="20"/>
                <w:color w:val="auto"/>
              </w:rPr>
            </w:pPr>
            <w:r>
              <w:rPr>
                <w:rFonts w:ascii="Arial" w:cs="Arial" w:eastAsia="Arial" w:hAnsi="Arial"/>
                <w:sz w:val="14"/>
                <w:szCs w:val="14"/>
                <w:color w:val="auto"/>
              </w:rPr>
              <w:t>Base Salary ($)</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6"/>
              </w:rPr>
              <w:t>Award Acceleration</w:t>
            </w:r>
          </w:p>
        </w:tc>
        <w:tc>
          <w:tcPr>
            <w:tcW w:w="2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Acceleration Gain $</w:t>
            </w: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3"/>
              </w:rPr>
              <w:t>Excise Tax</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3"/>
              </w:rPr>
              <w:t>Reimbursement ($)</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7"/>
        </w:trPr>
        <w:tc>
          <w:tcPr>
            <w:tcW w:w="1580" w:type="dxa"/>
            <w:vAlign w:val="bottom"/>
          </w:tcPr>
          <w:p>
            <w:pPr>
              <w:jc w:val="right"/>
              <w:ind w:right="622"/>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Bonus ($) (2)</w:t>
            </w:r>
          </w:p>
        </w:tc>
        <w:tc>
          <w:tcPr>
            <w:tcW w:w="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Gain $ (3)</w:t>
            </w:r>
          </w:p>
        </w:tc>
        <w:tc>
          <w:tcPr>
            <w:tcW w:w="1760" w:type="dxa"/>
            <w:vAlign w:val="bottom"/>
            <w:gridSpan w:val="2"/>
          </w:tcPr>
          <w:p>
            <w:pPr>
              <w:jc w:val="right"/>
              <w:ind w:right="622"/>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93"/>
              </w:rPr>
              <w:t>Reimbursement ($)</w:t>
            </w:r>
          </w:p>
        </w:tc>
        <w:tc>
          <w:tcPr>
            <w:tcW w:w="1660" w:type="dxa"/>
            <w:vAlign w:val="bottom"/>
            <w:gridSpan w:val="2"/>
          </w:tcPr>
          <w:p>
            <w:pPr>
              <w:jc w:val="right"/>
              <w:ind w:right="562"/>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Total ($)</w:t>
            </w:r>
          </w:p>
        </w:tc>
      </w:tr>
      <w:tr>
        <w:trPr>
          <w:trHeight w:val="224"/>
        </w:trPr>
        <w:tc>
          <w:tcPr>
            <w:tcW w:w="158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580,000</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277,848</w:t>
            </w:r>
          </w:p>
        </w:tc>
        <w:tc>
          <w:tcPr>
            <w:tcW w:w="2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1,029,350</w:t>
            </w:r>
          </w:p>
        </w:tc>
        <w:tc>
          <w:tcPr>
            <w:tcW w:w="200" w:type="dxa"/>
            <w:vAlign w:val="bottom"/>
          </w:tcPr>
          <w:p>
            <w:pPr>
              <w:spacing w:after="0"/>
              <w:rPr>
                <w:sz w:val="19"/>
                <w:szCs w:val="19"/>
                <w:color w:val="auto"/>
              </w:rPr>
            </w:pPr>
          </w:p>
        </w:tc>
        <w:tc>
          <w:tcPr>
            <w:tcW w:w="156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211,500</w:t>
            </w:r>
          </w:p>
        </w:tc>
        <w:tc>
          <w:tcPr>
            <w:tcW w:w="22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391,443</w:t>
            </w:r>
          </w:p>
        </w:tc>
        <w:tc>
          <w:tcPr>
            <w:tcW w:w="220" w:type="dxa"/>
            <w:vAlign w:val="bottom"/>
          </w:tcPr>
          <w:p>
            <w:pPr>
              <w:spacing w:after="0"/>
              <w:rPr>
                <w:sz w:val="19"/>
                <w:szCs w:val="19"/>
                <w:color w:val="auto"/>
              </w:rPr>
            </w:pPr>
          </w:p>
        </w:tc>
        <w:tc>
          <w:tcPr>
            <w:tcW w:w="144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2,515,141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closing market price of $29.41 on 35,000 unvested awards that would vest due to the change in control.</w:t>
      </w:r>
    </w:p>
    <w:p>
      <w:pPr>
        <w:spacing w:after="0" w:line="76"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25,000 unvested stock options in-the-money that would vest due to the change in control.</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Unvested Shares</w:t>
            </w:r>
          </w:p>
        </w:tc>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Unvested Stock</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of Restricted</w:t>
            </w:r>
          </w:p>
        </w:tc>
        <w:tc>
          <w:tcPr>
            <w:tcW w:w="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4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Restricted Stock</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In-the</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Stock Option</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4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 Acceleration</w:t>
            </w:r>
          </w:p>
        </w:tc>
        <w:tc>
          <w:tcPr>
            <w:tcW w:w="4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Money as of</w:t>
            </w:r>
          </w:p>
        </w:tc>
        <w:tc>
          <w:tcPr>
            <w:tcW w:w="4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6"/>
              </w:rPr>
              <w:t>Acceleration</w:t>
            </w:r>
          </w:p>
        </w:tc>
        <w:tc>
          <w:tcPr>
            <w:tcW w:w="0" w:type="dxa"/>
            <w:vAlign w:val="bottom"/>
          </w:tcPr>
          <w:p>
            <w:pPr>
              <w:spacing w:after="0"/>
              <w:rPr>
                <w:sz w:val="1"/>
                <w:szCs w:val="1"/>
                <w:color w:val="auto"/>
              </w:rPr>
            </w:pPr>
          </w:p>
        </w:tc>
      </w:tr>
      <w:tr>
        <w:trPr>
          <w:trHeight w:val="167"/>
        </w:trPr>
        <w:tc>
          <w:tcPr>
            <w:tcW w:w="44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July 31, 2009</w:t>
            </w:r>
          </w:p>
        </w:tc>
        <w:tc>
          <w:tcPr>
            <w:tcW w:w="4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Gain $ (1)</w:t>
            </w: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July 31, 2009</w:t>
            </w:r>
          </w:p>
        </w:tc>
        <w:tc>
          <w:tcPr>
            <w:tcW w:w="4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Gain $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 Jaehnert</w:t>
            </w:r>
          </w:p>
        </w:tc>
        <w:tc>
          <w:tcPr>
            <w:tcW w:w="4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4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1,470,500</w:t>
            </w:r>
          </w:p>
        </w:tc>
        <w:tc>
          <w:tcPr>
            <w:tcW w:w="4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4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T.J. Felmer</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M.O. Williamson</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A.J. Klotsche</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35,000</w:t>
            </w:r>
          </w:p>
        </w:tc>
        <w:tc>
          <w:tcPr>
            <w:tcW w:w="21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1,029,350</w:t>
            </w:r>
          </w:p>
        </w:tc>
        <w:tc>
          <w:tcPr>
            <w:tcW w:w="160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0"/>
              </w:rPr>
              <w:t>25,000</w:t>
            </w:r>
          </w:p>
        </w:tc>
        <w:tc>
          <w:tcPr>
            <w:tcW w:w="168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89"/>
              </w:rPr>
              <w:t>211,500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closing market price of $29.41 on unvested shares that would vest due to the change in control.</w:t>
      </w:r>
    </w:p>
    <w:p>
      <w:pPr>
        <w:spacing w:after="0" w:line="7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$29.41 and the exercise price on unvested stock options in-the-money that would vest due to death or disability.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in making recommendations to the Board of Directors regarding director compensation. Directors who are employees of the Company receive no additional compensation for service on the Board or on any committee of the Board. Directors who were not also employees of the Company received an annual retainer of $35,000 plus $6,000 for each committee they chair ($10,000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for which they are not a member and $500 for each telephonic committee meeting they attend of any committee for which they are not a member. Effective with the annual Board of Directors meeting to be held on November 19, 2009, the annual cash retainer paid to each non-management Director will increase from $35,000 to $45,000.</w:t>
      </w:r>
    </w:p>
    <w:p>
      <w:pPr>
        <w:spacing w:after="0" w:line="58"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Directors have historically been granted 6,000 time-based stock options in November/December of each year while they are serving on the Board. Upon election to the Board, a director is granted 10,000 time-based stock options. The grant price is the fair market value of the stock on the grant date and is calculated by taking the average of the high and low stock price on that date. The options vest one-third each year for the first three years and have a ten year life. Effective in fiscal 2010, the annual grant of stock options has been increased from 6,000 shares to 8,400 shares and will occur in late September to coincide with the annual grant of time-based stock options to employees of the Company.</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80"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500" w:type="dxa"/>
            <w:vAlign w:val="bottom"/>
          </w:tcPr>
          <w:p>
            <w:pPr>
              <w:spacing w:after="0"/>
              <w:rPr>
                <w:sz w:val="14"/>
                <w:szCs w:val="14"/>
                <w:color w:val="auto"/>
              </w:rPr>
            </w:pPr>
          </w:p>
        </w:tc>
        <w:tc>
          <w:tcPr>
            <w:tcW w:w="130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5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500" w:type="dxa"/>
            <w:vAlign w:val="bottom"/>
          </w:tcPr>
          <w:p>
            <w:pPr>
              <w:spacing w:after="0"/>
              <w:rPr>
                <w:sz w:val="14"/>
                <w:szCs w:val="14"/>
                <w:color w:val="auto"/>
              </w:rPr>
            </w:pPr>
          </w:p>
        </w:tc>
        <w:tc>
          <w:tcPr>
            <w:tcW w:w="1300" w:type="dxa"/>
            <w:vAlign w:val="bottom"/>
          </w:tcPr>
          <w:p>
            <w:pPr>
              <w:jc w:val="right"/>
              <w:ind w:right="142"/>
              <w:spacing w:after="0"/>
              <w:rPr>
                <w:sz w:val="20"/>
                <w:szCs w:val="20"/>
                <w:color w:val="auto"/>
              </w:rPr>
            </w:pPr>
            <w:r>
              <w:rPr>
                <w:rFonts w:ascii="Arial" w:cs="Arial" w:eastAsia="Arial" w:hAnsi="Arial"/>
                <w:sz w:val="14"/>
                <w:szCs w:val="14"/>
                <w:b w:val="1"/>
                <w:bCs w:val="1"/>
                <w:color w:val="auto"/>
              </w:rPr>
              <w:t>Awards ($) (1)</w:t>
            </w:r>
          </w:p>
        </w:tc>
        <w:tc>
          <w:tcPr>
            <w:tcW w:w="5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Elizabeth Pungello</w:t>
            </w:r>
          </w:p>
        </w:tc>
        <w:tc>
          <w:tcPr>
            <w:tcW w:w="2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65,000</w:t>
            </w:r>
          </w:p>
        </w:tc>
        <w:tc>
          <w:tcPr>
            <w:tcW w:w="5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38,822</w:t>
            </w:r>
          </w:p>
        </w:tc>
        <w:tc>
          <w:tcPr>
            <w:tcW w:w="5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Robert C. Buchanan</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79,500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118,322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Richard A. Bemis</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69,000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107,822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Frank W. Harris</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63,500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102,322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Gary E. Nei</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68,000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106,822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Frank R. Jarc</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76,500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38,822</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115,322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74,500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114,548</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189,048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Patrick W. Allender</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76,000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84,159</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160,159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4300" w:type="dxa"/>
            <w:vAlign w:val="bottom"/>
            <w:gridSpan w:val="3"/>
            <w:shd w:val="clear" w:color="auto" w:fill="CCEEFF"/>
          </w:tcPr>
          <w:p>
            <w:pPr>
              <w:jc w:val="center"/>
              <w:ind w:left="3070"/>
              <w:spacing w:after="0"/>
              <w:rPr>
                <w:sz w:val="20"/>
                <w:szCs w:val="20"/>
                <w:color w:val="auto"/>
              </w:rPr>
            </w:pPr>
            <w:r>
              <w:rPr>
                <w:rFonts w:ascii="Arial" w:cs="Arial" w:eastAsia="Arial" w:hAnsi="Arial"/>
                <w:sz w:val="18"/>
                <w:szCs w:val="18"/>
                <w:color w:val="auto"/>
                <w:w w:val="90"/>
              </w:rPr>
              <w:t>82,500</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84,159</w:t>
            </w:r>
          </w:p>
        </w:tc>
        <w:tc>
          <w:tcPr>
            <w:tcW w:w="168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166,659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Bradley C. Richardson</w:t>
            </w:r>
          </w:p>
        </w:tc>
        <w:tc>
          <w:tcPr>
            <w:tcW w:w="4300" w:type="dxa"/>
            <w:vAlign w:val="bottom"/>
            <w:gridSpan w:val="3"/>
          </w:tcPr>
          <w:p>
            <w:pPr>
              <w:jc w:val="center"/>
              <w:ind w:left="3070"/>
              <w:spacing w:after="0"/>
              <w:rPr>
                <w:sz w:val="20"/>
                <w:szCs w:val="20"/>
                <w:color w:val="auto"/>
              </w:rPr>
            </w:pPr>
            <w:r>
              <w:rPr>
                <w:rFonts w:ascii="Arial" w:cs="Arial" w:eastAsia="Arial" w:hAnsi="Arial"/>
                <w:sz w:val="18"/>
                <w:szCs w:val="18"/>
                <w:color w:val="auto"/>
                <w:w w:val="90"/>
              </w:rPr>
              <w:t>81,000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56,860</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137,860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40" w:type="dxa"/>
            <w:vAlign w:val="bottom"/>
          </w:tcPr>
          <w:p>
            <w:pPr>
              <w:jc w:val="right"/>
              <w:ind w:right="390"/>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460" w:hanging="452"/>
        <w:spacing w:after="0" w:line="290"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amounts expensed in fiscal 2009 relating to grants of stock options. The Company accounts for stock-based compensation in accordance with SFAS No. 123(R), which requires it to recognize compensation expense for stock options granted to employees and directors based on the estimated fair value of the awards at the time of grant.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2009. The grant date fair value of options granted in fiscal 2009 for each director was $38,820 for Ms. Pungello, Mr. Buchanan, Mr. Bemis, Mr. Harris, Mr. Nei, Mr. Jarc, Mr. Galbato, Mr. Allender, Mr. Goodkind, and for Mr. Richardson.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8" w:lineRule="exact"/>
        <w:rPr>
          <w:sz w:val="20"/>
          <w:szCs w:val="20"/>
          <w:color w:val="auto"/>
        </w:rPr>
      </w:pPr>
    </w:p>
    <w:p>
      <w:pPr>
        <w:ind w:left="460" w:right="240" w:hanging="452"/>
        <w:spacing w:after="0" w:line="286"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Outstanding option awards at July 31, 2009 for each individual serving as a director on that date include the following: Ms. Pungello, 36,000 shares; Mr. Buchanan, 24,000 shares; Mr. Bemis, 45,000 shares; Mr. Harris, 45,000 shares; Mr. Nei, 39,000 shares; Mr. Jarc, 48,000 shares; Mr. Galbato, 22,000 shares; Mr. Allender, 22,000 shares; Mr. Richardson, 16,000 shares; and Mr. Goodkind, 22,000 shares.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15, 2009. As of that date, nearly all of the voting stock of the Company was held by two trusts controlled by direct descendants of the Company’s founder, William H. Brady,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Amount of</w:t>
            </w:r>
          </w:p>
        </w:tc>
        <w:tc>
          <w:tcPr>
            <w:tcW w:w="66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540" w:type="dxa"/>
            <w:vAlign w:val="bottom"/>
          </w:tcPr>
          <w:p>
            <w:pPr>
              <w:spacing w:after="0"/>
              <w:rPr>
                <w:sz w:val="12"/>
                <w:szCs w:val="12"/>
                <w:color w:val="auto"/>
              </w:rPr>
            </w:pPr>
          </w:p>
        </w:tc>
        <w:tc>
          <w:tcPr>
            <w:tcW w:w="52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Name and Address of Beneficial Owner</w:t>
            </w:r>
          </w:p>
        </w:tc>
        <w:tc>
          <w:tcPr>
            <w:tcW w:w="540" w:type="dxa"/>
            <w:vAlign w:val="bottom"/>
          </w:tcPr>
          <w:p>
            <w:pPr>
              <w:spacing w:after="0"/>
              <w:rPr>
                <w:sz w:val="12"/>
                <w:szCs w:val="12"/>
                <w:color w:val="auto"/>
              </w:rPr>
            </w:pPr>
          </w:p>
        </w:tc>
        <w:tc>
          <w:tcPr>
            <w:tcW w:w="8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Beneficial</w:t>
            </w:r>
          </w:p>
        </w:tc>
        <w:tc>
          <w:tcPr>
            <w:tcW w:w="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2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Ownership</w:t>
            </w:r>
          </w:p>
        </w:tc>
        <w:tc>
          <w:tcPr>
            <w:tcW w:w="6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Ownership(2)</w:t>
            </w: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620" w:type="dxa"/>
            <w:vAlign w:val="bottom"/>
          </w:tcPr>
          <w:p>
            <w:pPr>
              <w:spacing w:after="0" w:line="195" w:lineRule="exact"/>
              <w:rPr>
                <w:sz w:val="20"/>
                <w:szCs w:val="20"/>
                <w:color w:val="auto"/>
              </w:rPr>
            </w:pPr>
            <w:r>
              <w:rPr>
                <w:rFonts w:ascii="Arial" w:cs="Arial" w:eastAsia="Arial" w:hAnsi="Arial"/>
                <w:sz w:val="18"/>
                <w:szCs w:val="18"/>
                <w:color w:val="auto"/>
              </w:rPr>
              <w:t>Class B Common Stock</w:t>
            </w:r>
          </w:p>
        </w:tc>
        <w:tc>
          <w:tcPr>
            <w:tcW w:w="540" w:type="dxa"/>
            <w:vAlign w:val="bottom"/>
            <w:vMerge w:val="continue"/>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Brady Corporation Class B Common Stock Trust(1)</w:t>
            </w:r>
          </w:p>
        </w:tc>
        <w:tc>
          <w:tcPr>
            <w:tcW w:w="540" w:type="dxa"/>
            <w:vAlign w:val="bottom"/>
            <w:vMerge w:val="continue"/>
          </w:tcPr>
          <w:p>
            <w:pPr>
              <w:spacing w:after="0"/>
              <w:rPr>
                <w:sz w:val="16"/>
                <w:szCs w:val="16"/>
                <w:color w:val="auto"/>
              </w:rPr>
            </w:pPr>
          </w:p>
        </w:tc>
        <w:tc>
          <w:tcPr>
            <w:tcW w:w="840" w:type="dxa"/>
            <w:vAlign w:val="bottom"/>
          </w:tcPr>
          <w:p>
            <w:pPr>
              <w:ind w:left="120"/>
              <w:spacing w:after="0" w:line="195" w:lineRule="exact"/>
              <w:rPr>
                <w:sz w:val="20"/>
                <w:szCs w:val="20"/>
                <w:color w:val="auto"/>
              </w:rPr>
            </w:pPr>
            <w:r>
              <w:rPr>
                <w:rFonts w:ascii="Arial" w:cs="Arial" w:eastAsia="Arial" w:hAnsi="Arial"/>
                <w:sz w:val="18"/>
                <w:szCs w:val="18"/>
                <w:color w:val="auto"/>
                <w:w w:val="87"/>
              </w:rPr>
              <w:t>1,769,304</w:t>
            </w:r>
          </w:p>
        </w:tc>
        <w:tc>
          <w:tcPr>
            <w:tcW w:w="660" w:type="dxa"/>
            <w:vAlign w:val="bottom"/>
            <w:vMerge w:val="continue"/>
          </w:tcPr>
          <w:p>
            <w:pPr>
              <w:spacing w:after="0"/>
              <w:rPr>
                <w:sz w:val="16"/>
                <w:szCs w:val="16"/>
                <w:color w:val="auto"/>
              </w:rPr>
            </w:pPr>
          </w:p>
        </w:tc>
        <w:tc>
          <w:tcPr>
            <w:tcW w:w="9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c/o Elizabeth P. Pungello</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2002 S. Hawick Ct.</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Chapel Hill, NC 27516</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William H. Brady III Revocable Trust of 2003(3)</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w w:val="87"/>
              </w:rPr>
              <w:t>1,769,304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c/o William H. Brady III</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249 Rosemont Ave.</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5760" w:type="dxa"/>
            <w:vAlign w:val="bottom"/>
            <w:gridSpan w:val="2"/>
          </w:tcPr>
          <w:p>
            <w:pPr>
              <w:ind w:left="540"/>
              <w:spacing w:after="0"/>
              <w:rPr>
                <w:sz w:val="20"/>
                <w:szCs w:val="20"/>
                <w:color w:val="auto"/>
              </w:rPr>
            </w:pPr>
            <w:r>
              <w:rPr>
                <w:rFonts w:ascii="Arial" w:cs="Arial" w:eastAsia="Arial" w:hAnsi="Arial"/>
                <w:sz w:val="18"/>
                <w:szCs w:val="18"/>
                <w:color w:val="auto"/>
              </w:rPr>
              <w:t>Pasadena, CA 91103</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7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pacing w:after="0" w:line="17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The following table sets forth the current beneficial ownership of each class of equity securities of the Company by each Director or Nominee and by all Directors and Officers of the Company as a group as of July 31, 2009. Unless otherwise noted, the address for each of the listed persons is c/o Brady Corporation, 6555 West Good Hope Road, Milwaukee, Wisconsin 53223. Except as otherwise indicated, all shares are owned directly.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320" w:type="dxa"/>
            <w:vAlign w:val="bottom"/>
          </w:tcPr>
          <w:p>
            <w:pPr>
              <w:spacing w:after="0"/>
              <w:rPr>
                <w:sz w:val="14"/>
                <w:szCs w:val="14"/>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340" w:type="dxa"/>
            <w:vAlign w:val="bottom"/>
          </w:tcPr>
          <w:p>
            <w:pPr>
              <w:spacing w:after="0"/>
              <w:rPr>
                <w:sz w:val="12"/>
                <w:szCs w:val="12"/>
                <w:color w:val="auto"/>
              </w:rPr>
            </w:pPr>
          </w:p>
        </w:tc>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&amp; Nature of Beneficial Ownership</w:t>
            </w: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3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Ownership(6)</w:t>
            </w:r>
          </w:p>
        </w:tc>
        <w:tc>
          <w:tcPr>
            <w:tcW w:w="3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Elizabeth P. Pungello(1)</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1,348,387</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Frank M. Jaehnert(2)</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753,844</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Allan J. Klotsche</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188,803</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Thomas J. Felmer</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197,670</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Matthew O. Williamson</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191,582</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Peter C. Sephton</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189,401</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Richard A. Bemis</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99,652</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Robert C. Buchanan(3)</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85,031</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Frank W. Harris</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72,578</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Gary E. Nei(4)</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63,545</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Conrad G. Goodkind</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62,226</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Frank R. Jarc</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49,188</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 W. Galbato</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8,667</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Patrick W. Allender</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13,745</w:t>
            </w:r>
          </w:p>
        </w:tc>
        <w:tc>
          <w:tcPr>
            <w:tcW w:w="13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Bradley C. Richardson</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4,531</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1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All Officers and Directors as a Group (20 persons)</w:t>
            </w: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(5)</w:t>
            </w:r>
          </w:p>
        </w:tc>
        <w:tc>
          <w:tcPr>
            <w:tcW w:w="1780" w:type="dxa"/>
            <w:vAlign w:val="bottom"/>
            <w:gridSpan w:val="2"/>
          </w:tcPr>
          <w:p>
            <w:pPr>
              <w:jc w:val="right"/>
              <w:ind w:right="288"/>
              <w:spacing w:after="0"/>
              <w:rPr>
                <w:sz w:val="20"/>
                <w:szCs w:val="20"/>
                <w:color w:val="auto"/>
              </w:rPr>
            </w:pPr>
            <w:r>
              <w:rPr>
                <w:rFonts w:ascii="Arial" w:cs="Arial" w:eastAsia="Arial" w:hAnsi="Arial"/>
                <w:sz w:val="18"/>
                <w:szCs w:val="18"/>
                <w:color w:val="auto"/>
              </w:rPr>
              <w:t>3,497,019</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Elizabeth P. Pungello(1)</w:t>
            </w:r>
          </w:p>
        </w:tc>
        <w:tc>
          <w:tcPr>
            <w:tcW w:w="17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1,769,304</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445,506 shares held jointly with her spouse and 876,826 shares owned by trusts for which she is a trustee and has either sole or joint dispositive and voting authority. Ms. Pungello’s holdings of Class B Common Stock include 1,769,304 shares owned by a trust over which she has sole dispositive and voting authority.</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amount reported, Mr. Buchanan owns 14,534 shares as co-trustee of three separate trusts.</w:t>
      </w:r>
    </w:p>
    <w:p>
      <w:pPr>
        <w:spacing w:after="0" w:line="7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Of the amount reported, Mr. Nei owns 14,085 shares of Class A Common Stock directly (with respect to which he shares voting and investment power with his spouse).</w:t>
      </w:r>
    </w:p>
    <w:p>
      <w:pPr>
        <w:spacing w:after="0" w:line="21" w:lineRule="exact"/>
        <w:rPr>
          <w:rFonts w:ascii="Arial" w:cs="Arial" w:eastAsia="Arial" w:hAnsi="Arial"/>
          <w:sz w:val="18"/>
          <w:szCs w:val="18"/>
          <w:color w:val="auto"/>
        </w:rPr>
      </w:pPr>
    </w:p>
    <w:p>
      <w:pPr>
        <w:ind w:left="460" w:right="40" w:hanging="452"/>
        <w:spacing w:after="0" w:line="272"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(20 persons) includes options to acquire a total of 1,673,310 shares of Class A Common Stock, which are currently exercisable or will be exercisable within 60 days of July 31, 2009, including the following: Ms. Pungello, 24,000 shares; Mr. Jaehnert, 644,668 shares; Mr. Klotsche, 179,135 shares; Mr. Felmer, 174,335 shares; Mr. Williamson, 177,835 shares; Mr. Sephton, 154,001 shares; Mr. Bemis, 33,000 shares; Mr. Buchanan, 12,000 shares; Mr. Harris, 33,000 shares; Mr. Nei, 27,000 shares; Mr. Goodkind, 8,667 shares; Mr. Jarc, 36,000 shares; Ms. Bolens, 31,000 shares; Mr. Tatterson, 25,001 shares; Ms. Johnson, 47,000 shares; Mr. Curran, 46,000; Mr. Galbato, 8,667 shares; Mr. Allender, 8,667 shares; Mr. Richardson, 3,334 shares. It does not include other options for Class A Common Stock which have been granted at later dates and are not exercisable within 60 days of July 31, 2009.</w:t>
      </w:r>
    </w:p>
    <w:p>
      <w:pPr>
        <w:spacing w:after="0" w:line="29" w:lineRule="exact"/>
        <w:rPr>
          <w:rFonts w:ascii="Arial" w:cs="Arial" w:eastAsia="Arial" w:hAnsi="Arial"/>
          <w:sz w:val="17"/>
          <w:szCs w:val="17"/>
          <w:color w:val="auto"/>
        </w:rPr>
      </w:pPr>
    </w:p>
    <w:p>
      <w:pPr>
        <w:ind w:left="460" w:right="240" w:hanging="452"/>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(20 persons) includes Class A Common Stock owned in deferred compensation plans totaling 274,934 shares of Class A Common Stock, including the following: Ms. Pungello, 2,055 shares; Mr. Jaehnert, 79,858 shares; Mr. Klotsche, 7,316 shares; Mr. Felmer, 10,087 shares; Mr. Williamson, 13,747 shares; Mr. Sephton, 0 shares; Mr. Bemis, 48,652 shares; Mr. Buchanan, 56,798 shares; Mr. Harris, 80 shares; Mr. Nei, 22,460 shares; Mr. Goodkind, 6,022 shares; Mr. Jarc, 13,188 shares; Ms. Bolens, 2,752 shares; Mr. Tatterson, 0 shares; Ms. Johnson, 5,540; Mr. Curran, 99 shares; Mr. Galbato, 0 shares; Mr. Allender, 5,078 shares; Mr. Richardson, 1,197 shares.</w:t>
      </w:r>
    </w:p>
    <w:p>
      <w:pPr>
        <w:spacing w:after="0" w:line="193"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225" w:lineRule="exact"/>
        <w:rPr>
          <w:rFonts w:ascii="Arial" w:cs="Arial" w:eastAsia="Arial" w:hAnsi="Arial"/>
          <w:sz w:val="18"/>
          <w:szCs w:val="18"/>
          <w:b w:val="1"/>
          <w:bCs w:val="1"/>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800" w:type="dxa"/>
            <w:vAlign w:val="bottom"/>
            <w:gridSpan w:val="3"/>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4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6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(b)</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None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None</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27.96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Company’s Nonqualified Stock Option Plans allow the granting of stock options to various officers, directors and other employees of the Company at prices equal to fair market value at the date of grant. The Company has reserved 300,000 and 2,000,000 shares of Class A Nonvoting Common Stock for issuance under the 2005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2006 Plans, respectively. Generally, options will not be exercisable until one year after the date of grant, and will be exercisable thereafter, to the extent of one-third per year and have a maximum term of ten years. In August 2003, 2004, 2005, 2006, and 2007, certain executives and key management employees were issued stock options that vest upon meeting certain financial performance conditions in addition to the vesting schedule described above. Performance-based options granted in fiscal 2006 expire five years from the grant date. All other performance-based options expire 10 years from the date of grant. All grants under the Option Plans are at market price on the date of the grant. The Company granted 210,000 performance-based restricted shares during fiscal 2008, with a grant price and fair value of $32.83. As of July 31, 2009, 210,000 performance-based restricted shares were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2009 and 2008. Other than as set forth below, no professional services were rendered or fees billed by Deloitte &amp; Touche LLP or Deloitte Tax LLP during the years ended July 31, 2009 and 2008.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7"/>
          </w:tcPr>
          <w:p>
            <w:pPr>
              <w:ind w:left="20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Audit, audit-related and tax compliance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Audit fees(1)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Audit-related fees(2)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Tax fees — compliance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842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i w:val="1"/>
                <w:iCs w:val="1"/>
                <w:color w:val="auto"/>
              </w:rPr>
              <w:t>Non-audit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fees — planning and advice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Other fees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Subtotal non-audit related fees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0" w:hanging="452"/>
        <w:spacing w:after="0" w:line="27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Audit-related fees include fees related to due diligence and employee benefit plan audits.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vMerge w:val="restart"/>
          </w:tcPr>
          <w:p>
            <w:pPr>
              <w:spacing w:after="0"/>
              <w:rPr>
                <w:sz w:val="20"/>
                <w:szCs w:val="20"/>
                <w:color w:val="auto"/>
              </w:rPr>
            </w:pPr>
            <w:r>
              <w:rPr>
                <w:rFonts w:ascii="Arial" w:cs="Arial" w:eastAsia="Arial" w:hAnsi="Arial"/>
                <w:sz w:val="18"/>
                <w:szCs w:val="18"/>
                <w:color w:val="auto"/>
              </w:rPr>
              <w:t>Ratio of Tax Planning and Advice Fees and All Other Fees to Audit Fees, Audit-Related Fees and Tax</w:t>
            </w:r>
          </w:p>
        </w:tc>
        <w:tc>
          <w:tcPr>
            <w:tcW w:w="1120" w:type="dxa"/>
            <w:vAlign w:val="bottom"/>
          </w:tcPr>
          <w:p>
            <w:pPr>
              <w:jc w:val="right"/>
              <w:ind w:right="339"/>
              <w:spacing w:after="0"/>
              <w:rPr>
                <w:sz w:val="20"/>
                <w:szCs w:val="20"/>
                <w:color w:val="auto"/>
              </w:rPr>
            </w:pPr>
            <w:r>
              <w:rPr>
                <w:rFonts w:ascii="Arial" w:cs="Arial" w:eastAsia="Arial" w:hAnsi="Arial"/>
                <w:sz w:val="14"/>
                <w:szCs w:val="14"/>
                <w:b w:val="1"/>
                <w:bCs w:val="1"/>
                <w:color w:val="auto"/>
              </w:rPr>
              <w:t>2009</w:t>
            </w:r>
          </w:p>
        </w:tc>
        <w:tc>
          <w:tcPr>
            <w:tcW w:w="16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5"/>
        </w:trPr>
        <w:tc>
          <w:tcPr>
            <w:tcW w:w="866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220"/>
              <w:spacing w:after="0"/>
              <w:rPr>
                <w:sz w:val="20"/>
                <w:szCs w:val="20"/>
                <w:color w:val="auto"/>
              </w:rPr>
            </w:pPr>
            <w:r>
              <w:rPr>
                <w:rFonts w:ascii="Arial" w:cs="Arial" w:eastAsia="Arial" w:hAnsi="Arial"/>
                <w:sz w:val="18"/>
                <w:szCs w:val="18"/>
                <w:color w:val="auto"/>
              </w:rPr>
              <w:t>Compliance Fees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.6 to 1</w:t>
            </w:r>
          </w:p>
        </w:tc>
        <w:tc>
          <w:tcPr>
            <w:tcW w:w="5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.6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Pre-Approval Policy </w:t>
      </w:r>
      <w:r>
        <w:rPr>
          <w:rFonts w:ascii="Arial" w:cs="Arial" w:eastAsia="Arial" w:hAnsi="Arial"/>
          <w:sz w:val="18"/>
          <w:szCs w:val="18"/>
          <w:color w:val="auto"/>
        </w:rPr>
        <w:t>— The services performed by the Independent Registered Public Accounting Firm (“Independent Auditors”) in fiscal 2008 and 2009</w:t>
      </w:r>
      <w:r>
        <w:rPr>
          <w:rFonts w:ascii="Arial" w:cs="Arial" w:eastAsia="Arial" w:hAnsi="Arial"/>
          <w:sz w:val="18"/>
          <w:szCs w:val="18"/>
          <w:i w:val="1"/>
          <w:iCs w:val="1"/>
          <w:color w:val="auto"/>
        </w:rPr>
        <w:t xml:space="preserve"> </w:t>
      </w:r>
      <w:r>
        <w:rPr>
          <w:rFonts w:ascii="Arial" w:cs="Arial" w:eastAsia="Arial" w:hAnsi="Arial"/>
          <w:sz w:val="18"/>
          <w:szCs w:val="18"/>
          <w:color w:val="auto"/>
        </w:rPr>
        <w:t>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&amp; 2) Consolidated Financial Statement Schedule —</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Schedule II Valuation and Qualifying Accounts</w:t>
      </w:r>
    </w:p>
    <w:p>
      <w:pPr>
        <w:spacing w:after="0" w:line="11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Exhibits — See Exhibit Index at page IV-2 of this Form 10-K.</w:t>
      </w:r>
    </w:p>
    <w:p>
      <w:pPr>
        <w:spacing w:after="0" w:line="19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19" w:right="7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jc w:val="center"/>
              <w:ind w:right="159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jc w:val="right"/>
              <w:ind w:right="251"/>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720" w:type="dxa"/>
            <w:vAlign w:val="bottom"/>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Restated Articles of Incorporation of Brady Corporation (1)</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By-laws of Brady Corporation, as amended (2)</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Form of Change of Control Agreement, amended as of December 23, 2008, entered into with Thomas J. Felmer, Allan J. Klotsche,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Peter C. Sephton, Robert L. Tatterson, and Matthew O. Williamson (12)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BradyGold Plan, as amended (2)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Executive Additional Compensation Plan, as amended (2)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Executive Deferred Compensation Plan, as amended (16)</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Directors’ Deferred Compensation Plan, as amended (16)</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Forms of Non-Qualified Employee Stock Option Agreement, Director Stock Option Agreement, and Employee Performance Stock</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Option Agreement under 2006 Omnibus Incentive Stock Plan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2004 Omnibus Incentive Stock Plan, as amended (17)</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Brady Corporation 2004 Nonqualified Stock Option Agreement under the 2004 Omnibus Incentive Stock Plan, as amended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Automatic Dividend Reinvestment Plan (4)</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2005 Nonqualified Plan for Non-employee Directors, as amended (3)</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7"/>
              </w:rPr>
              <w:t>Forms of Nonqualified Stock Option Agreements under 2005 Non-qualified Plan for Non-employee Directors, as amended (8)</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1997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1997 Nonqualified Stock Option Plan for Non-Employee Directors,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Revolving Credit Facility Credit Agreement (14)</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2006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Corporate Officers (15)</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First Amendment to Revolving Credit Facility Credit Agreement (6)</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Form of Amendment, dated March 4, 2009, to granting agreement for performance-based stock options issued on August 2, 2004 to</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Frank M. Jaehnert, Thomas J. Felmer, Peter C. Sephton, Matthew O. Williamson, and Allan J. Klotsche (12)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*10.19</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9"/>
              </w:rPr>
              <w:t>Form of Performance-based Restricted Stock Agreement under Brady Corporation 2006 Omnibus Incentive Stock Plan (7)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*10.20</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Change of Control Agreement, amended as of December 23, 2008, entered into with Frank M. Jaehnert (12)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Restated Brady Corporation Restoration Plan (5)</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2001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2003 Omnibus Incentive Stock Plan, as amended (17)</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10.24</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Note Purchase Agreement dated June 28, 2004 (11)</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10.25</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First Supplement to Note Purchase Agreement, dated February 14, 2006 (9)</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10.26</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Second Supplement to Note Purchase Agreement, dated March 23, 2007 (5)</w:t>
            </w:r>
          </w:p>
        </w:tc>
        <w:tc>
          <w:tcPr>
            <w:tcW w:w="0" w:type="dxa"/>
            <w:vAlign w:val="bottom"/>
          </w:tcPr>
          <w:p>
            <w:pPr>
              <w:spacing w:after="0"/>
              <w:rPr>
                <w:sz w:val="1"/>
                <w:szCs w:val="1"/>
                <w:color w:val="auto"/>
              </w:rPr>
            </w:pPr>
          </w:p>
        </w:tc>
      </w:tr>
      <w:tr>
        <w:trPr>
          <w:trHeight w:val="418"/>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*10.27</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Change of Control Agreement, amended as of December 23, 2008, entered into with Patrick S. Ference and Kathleen Johnson</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1"/>
              <w:spacing w:after="0"/>
              <w:rPr>
                <w:sz w:val="20"/>
                <w:szCs w:val="20"/>
                <w:color w:val="auto"/>
              </w:rPr>
            </w:pPr>
            <w:r>
              <w:rPr>
                <w:rFonts w:ascii="Arial" w:cs="Arial" w:eastAsia="Arial" w:hAnsi="Arial"/>
                <w:sz w:val="18"/>
                <w:szCs w:val="18"/>
                <w:color w:val="auto"/>
              </w:rPr>
              <w:t>*10.28</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2010 Omnibus Incentive Stock Plan</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10260" w:type="dxa"/>
            <w:vAlign w:val="bottom"/>
            <w:gridSpan w:val="2"/>
          </w:tcPr>
          <w:p>
            <w:pPr>
              <w:jc w:val="right"/>
              <w:ind w:right="553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73"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720" w:type="dxa"/>
            <w:vAlign w:val="bottom"/>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*10.29</w:t>
            </w: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Brady Corporation 2010 Nonqualified Stock Option Plan for Non-employee Directors</w:t>
            </w:r>
          </w:p>
        </w:tc>
        <w:tc>
          <w:tcPr>
            <w:tcW w:w="0" w:type="dxa"/>
            <w:vAlign w:val="bottom"/>
          </w:tcPr>
          <w:p>
            <w:pPr>
              <w:spacing w:after="0"/>
              <w:rPr>
                <w:sz w:val="1"/>
                <w:szCs w:val="1"/>
                <w:color w:val="auto"/>
              </w:rPr>
            </w:pPr>
          </w:p>
        </w:tc>
      </w:tr>
      <w:tr>
        <w:trPr>
          <w:trHeight w:val="404"/>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*10.30</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Form of Non-Qualified Employee Stock Option Agreement and Employee Performance Stock Option Agreement under 2010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Omnibus Incentive Stock Plan</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*10.31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Director Stock Option Agreement under 2010 Nonqualified Stock Option Plan for Non-employee Directors</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Subsidiaries of Brady Corporation</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Rule 13a-14(a)/15d-14(a) Certification of Frank M. Jaehnert</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Rule 13a-14(a)/15d-14(a) Certification of Thomas J. Felmer</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1350 Certification of Frank M. Jaehnert</w:t>
            </w:r>
          </w:p>
        </w:tc>
        <w:tc>
          <w:tcPr>
            <w:tcW w:w="0" w:type="dxa"/>
            <w:vAlign w:val="bottom"/>
          </w:tcPr>
          <w:p>
            <w:pPr>
              <w:spacing w:after="0"/>
              <w:rPr>
                <w:sz w:val="1"/>
                <w:szCs w:val="1"/>
                <w:color w:val="auto"/>
              </w:rPr>
            </w:pPr>
          </w:p>
        </w:tc>
      </w:tr>
      <w:tr>
        <w:trPr>
          <w:trHeight w:val="432"/>
        </w:trPr>
        <w:tc>
          <w:tcPr>
            <w:tcW w:w="1160" w:type="dxa"/>
            <w:vAlign w:val="bottom"/>
          </w:tcPr>
          <w:p>
            <w:pPr>
              <w:jc w:val="right"/>
              <w:ind w:right="233"/>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1350 Certification of Thomas J. Felmer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7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20,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17,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July 31,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Valuation accounts deducted in balance sheet from assets to which they apply —</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receivable — allowance for losses: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Additions — Charged to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acquired businesses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Deductions — Bad debts written off, net of recoveries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10,059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Inventory — reserve for slow-moving inventory:</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Balances at beginning of period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18,073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charged to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3,822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acquired businesses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22,288</w:t>
            </w:r>
          </w:p>
        </w:tc>
        <w:tc>
          <w:tcPr>
            <w:tcW w:w="4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22,148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1430"/>
              <w:spacing w:after="0"/>
              <w:rPr>
                <w:sz w:val="20"/>
                <w:szCs w:val="20"/>
                <w:color w:val="auto"/>
              </w:rPr>
            </w:pPr>
            <w:r>
              <w:rPr>
                <w:rFonts w:ascii="Arial" w:cs="Arial" w:eastAsia="Arial" w:hAnsi="Arial"/>
                <w:sz w:val="18"/>
                <w:szCs w:val="18"/>
                <w:color w:val="auto"/>
              </w:rPr>
              <w:t>94</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6th day of October 2009.</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HOMAS</w:t>
      </w:r>
      <w:r>
        <w:rPr>
          <w:rFonts w:ascii="Arial" w:cs="Arial" w:eastAsia="Arial" w:hAnsi="Arial"/>
          <w:sz w:val="18"/>
          <w:szCs w:val="18"/>
          <w:color w:val="auto"/>
        </w:rPr>
        <w:t xml:space="preserve"> J. F</w:t>
      </w:r>
      <w:r>
        <w:rPr>
          <w:rFonts w:ascii="Arial" w:cs="Arial" w:eastAsia="Arial" w:hAnsi="Arial"/>
          <w:sz w:val="12"/>
          <w:szCs w:val="12"/>
          <w:color w:val="auto"/>
        </w:rPr>
        <w:t>ELMER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25901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Financial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19"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10.28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OMNIBUS INCENTIVE STOCK PLAN</w:t>
      </w:r>
    </w:p>
    <w:p>
      <w:pPr>
        <w:spacing w:after="0" w:line="9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2010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July 21, 2009,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Plans</w:t>
      </w:r>
      <w:r>
        <w:rPr>
          <w:rFonts w:ascii="Arial" w:cs="Arial" w:eastAsia="Arial" w:hAnsi="Arial"/>
          <w:sz w:val="18"/>
          <w:szCs w:val="18"/>
          <w:color w:val="auto"/>
        </w:rPr>
        <w:t>. After December 31, 2009, no further awards or grants will be made under the Brady Corporation 2006 Omnibus Incentive Stock Plans.</w:t>
      </w:r>
    </w:p>
    <w:p>
      <w:pPr>
        <w:spacing w:after="0" w:line="5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PLAN 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17"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30" w:lineRule="exact"/>
        <w:rPr>
          <w:rFonts w:ascii="Arial" w:cs="Arial" w:eastAsia="Arial" w:hAnsi="Arial"/>
          <w:sz w:val="18"/>
          <w:szCs w:val="18"/>
          <w:color w:val="auto"/>
        </w:rPr>
      </w:pPr>
    </w:p>
    <w:p>
      <w:pPr>
        <w:ind w:left="446" w:right="360" w:hanging="446"/>
        <w:spacing w:after="0" w:line="277"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30" w:lineRule="exact"/>
        <w:rPr>
          <w:rFonts w:ascii="Arial" w:cs="Arial" w:eastAsia="Arial" w:hAnsi="Arial"/>
          <w:sz w:val="18"/>
          <w:szCs w:val="18"/>
          <w:color w:val="auto"/>
        </w:rPr>
      </w:pPr>
    </w:p>
    <w:p>
      <w:pPr>
        <w:ind w:left="446" w:right="60" w:hanging="446"/>
        <w:spacing w:after="0" w:line="255"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98"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30" w:lineRule="exact"/>
        <w:rPr>
          <w:rFonts w:ascii="Arial" w:cs="Arial" w:eastAsia="Arial" w:hAnsi="Arial"/>
          <w:sz w:val="18"/>
          <w:szCs w:val="18"/>
          <w:color w:val="auto"/>
        </w:rPr>
      </w:pPr>
    </w:p>
    <w:p>
      <w:pPr>
        <w:ind w:left="446" w:hanging="446"/>
        <w:spacing w:after="0" w:line="271" w:lineRule="auto"/>
        <w:tabs>
          <w:tab w:leader="none" w:pos="446"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15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01" w:name="page102"/>
    <w:bookmarkEnd w:id="101"/>
    <w:p>
      <w:pPr>
        <w:ind w:left="900" w:right="160" w:hanging="446"/>
        <w:spacing w:after="0" w:line="27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the Brady Corporation 2010 Omnibus Incentive Stock Plan, as set forth herein, as it may be amended from time to time.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option to purchase a stated number of shares of Corporation Stock at the price set forth in an Agreement. A Stock Option may be either a Nonqualified Stock Option or an Incentive Stock Option.</w:t>
      </w:r>
    </w:p>
    <w:p>
      <w:pPr>
        <w:spacing w:after="0" w:line="58"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AWARD</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Available Shares</w:t>
      </w:r>
      <w:r>
        <w:rPr>
          <w:rFonts w:ascii="Arial" w:cs="Arial" w:eastAsia="Arial" w:hAnsi="Arial"/>
          <w:sz w:val="18"/>
          <w:szCs w:val="18"/>
          <w:color w:val="auto"/>
        </w:rPr>
        <w:t>. Subject to adjustments under Section 3.02, the total number of shares of Corporation Stock authorized for issuance shall not exceed three million (3,000,000) shares, provided that no individual Eligible Employee may be granted an Award or Awards under the Plan covering more than two hundred thousand (200,000)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85"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u w:val="single" w:color="auto"/>
          <w:color w:val="auto"/>
        </w:rPr>
        <w:t>Changes in Corporation Stock</w:t>
      </w:r>
      <w:r>
        <w:rPr>
          <w:rFonts w:ascii="Arial" w:cs="Arial" w:eastAsia="Arial" w:hAnsi="Arial"/>
          <w:sz w:val="17"/>
          <w:szCs w:val="17"/>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 (b) in the case of previously-granted Stock Options, the option price and the number and kind of shares subject to the Stock Options, without any change in the aggregate purchase price to be paid for the Stock Options.</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ADMINISTRATION</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2" w:name="page103"/>
    <w:bookmarkEnd w:id="102"/>
    <w:p>
      <w:pPr>
        <w:ind w:firstLine="225"/>
        <w:spacing w:after="0" w:line="297"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Committee Powers</w:t>
      </w:r>
      <w:r>
        <w:rPr>
          <w:rFonts w:ascii="Arial" w:cs="Arial" w:eastAsia="Arial" w:hAnsi="Arial"/>
          <w:sz w:val="16"/>
          <w:szCs w:val="16"/>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17"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30" w:lineRule="exact"/>
        <w:rPr>
          <w:rFonts w:ascii="Arial" w:cs="Arial" w:eastAsia="Arial" w:hAnsi="Arial"/>
          <w:sz w:val="18"/>
          <w:szCs w:val="18"/>
          <w:color w:val="auto"/>
        </w:rPr>
      </w:pPr>
    </w:p>
    <w:p>
      <w:pPr>
        <w:ind w:left="900" w:right="120" w:hanging="446"/>
        <w:spacing w:after="0" w:line="27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3" w:name="page104"/>
    <w:bookmarkEnd w:id="103"/>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63" w:lineRule="exact"/>
        <w:rPr>
          <w:sz w:val="20"/>
          <w:szCs w:val="20"/>
          <w:color w:val="auto"/>
        </w:rPr>
      </w:pPr>
    </w:p>
    <w:p>
      <w:pPr>
        <w:jc w:val="both"/>
        <w:ind w:right="420" w:firstLine="225"/>
        <w:spacing w:after="0" w:line="342"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No Employment Rights</w:t>
      </w:r>
      <w:r>
        <w:rPr>
          <w:rFonts w:ascii="Arial" w:cs="Arial" w:eastAsia="Arial" w:hAnsi="Arial"/>
          <w:sz w:val="16"/>
          <w:szCs w:val="16"/>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tab/>
        <w:t>STOCK OPTIONS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8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u w:val="single" w:color="auto"/>
          <w:color w:val="auto"/>
        </w:rPr>
        <w:t>Option Price</w:t>
      </w:r>
      <w:r>
        <w:rPr>
          <w:rFonts w:ascii="Arial" w:cs="Arial" w:eastAsia="Arial" w:hAnsi="Arial"/>
          <w:sz w:val="16"/>
          <w:szCs w:val="16"/>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Date Stock Option Granted</w:t>
      </w:r>
      <w:r>
        <w:rPr>
          <w:rFonts w:ascii="Arial" w:cs="Arial" w:eastAsia="Arial" w:hAnsi="Arial"/>
          <w:sz w:val="16"/>
          <w:szCs w:val="16"/>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3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Committee shall have the power to set the time or times within which each Option shall be exercisable, and to accelerate the time or times of exercise; provided, however, that 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104" w:name="page105"/>
    <w:bookmarkEnd w:id="104"/>
    <w:p>
      <w:pPr>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7"/>
        </w:trPr>
        <w:tc>
          <w:tcPr>
            <w:tcW w:w="938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540" w:type="dxa"/>
            <w:vAlign w:val="bottom"/>
          </w:tcPr>
          <w:p>
            <w:pPr>
              <w:spacing w:after="0"/>
              <w:rPr>
                <w:sz w:val="14"/>
                <w:szCs w:val="14"/>
                <w:color w:val="auto"/>
              </w:rPr>
            </w:pPr>
          </w:p>
        </w:tc>
        <w:tc>
          <w:tcPr>
            <w:tcW w:w="1500" w:type="dxa"/>
            <w:vAlign w:val="bottom"/>
          </w:tcPr>
          <w:p>
            <w:pPr>
              <w:jc w:val="right"/>
              <w:ind w:right="59"/>
              <w:spacing w:after="0"/>
              <w:rPr>
                <w:sz w:val="20"/>
                <w:szCs w:val="20"/>
                <w:color w:val="auto"/>
              </w:rPr>
            </w:pPr>
            <w:r>
              <w:rPr>
                <w:rFonts w:ascii="Arial" w:cs="Arial" w:eastAsia="Arial" w:hAnsi="Arial"/>
                <w:sz w:val="14"/>
                <w:szCs w:val="14"/>
                <w:color w:val="auto"/>
                <w:w w:val="98"/>
              </w:rPr>
              <w:t>Percentage of Shares</w:t>
            </w:r>
          </w:p>
        </w:tc>
      </w:tr>
      <w:tr>
        <w:trPr>
          <w:trHeight w:val="210"/>
        </w:trPr>
        <w:tc>
          <w:tcPr>
            <w:tcW w:w="20" w:type="dxa"/>
            <w:vAlign w:val="bottom"/>
          </w:tcPr>
          <w:p>
            <w:pPr>
              <w:spacing w:after="0"/>
              <w:rPr>
                <w:sz w:val="18"/>
                <w:szCs w:val="18"/>
                <w:color w:val="auto"/>
              </w:rPr>
            </w:pPr>
          </w:p>
        </w:tc>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1 but less than 2</w:t>
            </w:r>
          </w:p>
        </w:tc>
        <w:tc>
          <w:tcPr>
            <w:tcW w:w="2040" w:type="dxa"/>
            <w:vAlign w:val="bottom"/>
            <w:gridSpan w:val="2"/>
          </w:tcPr>
          <w:p>
            <w:pPr>
              <w:jc w:val="right"/>
              <w:ind w:right="279"/>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66-2/3%</w:t>
            </w:r>
          </w:p>
        </w:tc>
      </w:tr>
      <w:tr>
        <w:trPr>
          <w:trHeight w:val="230"/>
        </w:trPr>
        <w:tc>
          <w:tcPr>
            <w:tcW w:w="20" w:type="dxa"/>
            <w:vAlign w:val="bottom"/>
          </w:tcPr>
          <w:p>
            <w:pPr>
              <w:spacing w:after="0"/>
              <w:rPr>
                <w:sz w:val="20"/>
                <w:szCs w:val="20"/>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3 or more</w:t>
            </w:r>
          </w:p>
        </w:tc>
        <w:tc>
          <w:tcPr>
            <w:tcW w:w="2040" w:type="dxa"/>
            <w:vAlign w:val="bottom"/>
            <w:gridSpan w:val="2"/>
          </w:tcPr>
          <w:p>
            <w:pPr>
              <w:jc w:val="right"/>
              <w:ind w:right="279"/>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w:t>
      </w:r>
    </w:p>
    <w:p>
      <w:pPr>
        <w:ind w:right="320" w:firstLine="8"/>
        <w:spacing w:after="0" w:line="281"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4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17" w:lineRule="exact"/>
        <w:rPr>
          <w:sz w:val="20"/>
          <w:szCs w:val="20"/>
          <w:color w:val="auto"/>
        </w:rPr>
      </w:pPr>
    </w:p>
    <w:p>
      <w:pPr>
        <w:ind w:left="900" w:right="100" w:hanging="446"/>
        <w:spacing w:after="0" w:line="31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52" w:lineRule="exact"/>
        <w:rPr>
          <w:rFonts w:ascii="Arial" w:cs="Arial" w:eastAsia="Arial" w:hAnsi="Arial"/>
          <w:sz w:val="16"/>
          <w:szCs w:val="16"/>
          <w:color w:val="auto"/>
        </w:rPr>
      </w:pPr>
    </w:p>
    <w:p>
      <w:pPr>
        <w:ind w:left="900" w:hanging="446"/>
        <w:spacing w:after="0" w:line="34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ind w:left="900" w:right="40"/>
        <w:spacing w:after="0" w:line="277" w:lineRule="auto"/>
        <w:rPr>
          <w:sz w:val="20"/>
          <w:szCs w:val="20"/>
          <w:color w:val="auto"/>
        </w:rPr>
      </w:pPr>
      <w:r>
        <w:rPr>
          <w:rFonts w:ascii="Arial" w:cs="Arial" w:eastAsia="Arial" w:hAnsi="Arial"/>
          <w:sz w:val="18"/>
          <w:szCs w:val="18"/>
          <w:color w:val="auto"/>
        </w:rPr>
        <w:t>under such option is at least 110% of the Fair Market Value of the stock subject to the option and such option by its terms is not exercisable after the expiration of five (5) years from the date such option is granted</w:t>
      </w:r>
    </w:p>
    <w:p>
      <w:pPr>
        <w:spacing w:after="0" w:line="76" w:lineRule="exact"/>
        <w:rPr>
          <w:sz w:val="20"/>
          <w:szCs w:val="20"/>
          <w:color w:val="auto"/>
        </w:rPr>
      </w:pPr>
    </w:p>
    <w:p>
      <w:pPr>
        <w:ind w:left="900" w:right="120" w:hanging="446"/>
        <w:spacing w:after="0" w:line="259"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w:t>
      </w:r>
      <w:r>
        <w:rPr>
          <w:rFonts w:ascii="Arial" w:cs="Arial" w:eastAsia="Arial" w:hAnsi="Arial"/>
          <w:sz w:val="18"/>
          <w:szCs w:val="18"/>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85"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2010 Omnibus Incentive Stock Plan and a Restricted Stock Agreement. Copies of such Plan and Agreement are on file at the offices of the Brady Corporation.”</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6" w:name="page107"/>
    <w:bookmarkEnd w:id="106"/>
    <w:p>
      <w:pPr>
        <w:ind w:left="24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17" w:lineRule="exact"/>
        <w:rPr>
          <w:sz w:val="20"/>
          <w:szCs w:val="20"/>
          <w:color w:val="auto"/>
        </w:rPr>
      </w:pPr>
    </w:p>
    <w:p>
      <w:pPr>
        <w:ind w:left="900" w:right="1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75"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75"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21"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u w:val="single" w:color="auto"/>
          <w:color w:val="auto"/>
        </w:rPr>
        <w:t>Administration</w:t>
      </w:r>
      <w:r>
        <w:rPr>
          <w:rFonts w:ascii="Arial" w:cs="Arial" w:eastAsia="Arial" w:hAnsi="Arial"/>
          <w:sz w:val="16"/>
          <w:szCs w:val="16"/>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5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Form and Timing of Payment of Restricted Stock Units</w:t>
      </w:r>
      <w:r>
        <w:rPr>
          <w:rFonts w:ascii="Arial" w:cs="Arial" w:eastAsia="Arial" w:hAnsi="Arial"/>
          <w:sz w:val="17"/>
          <w:szCs w:val="17"/>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7" w:name="page108"/>
    <w:bookmarkEnd w:id="107"/>
    <w:p>
      <w:pPr>
        <w:spacing w:after="0"/>
        <w:tabs>
          <w:tab w:leader="none" w:pos="440" w:val="left"/>
        </w:tabs>
        <w:rPr>
          <w:sz w:val="20"/>
          <w:szCs w:val="20"/>
          <w:color w:val="auto"/>
        </w:rPr>
      </w:pPr>
      <w:r>
        <w:rPr>
          <w:rFonts w:ascii="Arial" w:cs="Arial" w:eastAsia="Arial" w:hAnsi="Arial"/>
          <w:sz w:val="18"/>
          <w:szCs w:val="18"/>
          <w:b w:val="1"/>
          <w:bCs w:val="1"/>
          <w:color w:val="auto"/>
        </w:rPr>
        <w:t>IX.</w:t>
        <w:tab/>
        <w:t>WITHHOLDING TAXES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74"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69"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7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8" w:name="page109"/>
    <w:bookmarkEnd w:id="108"/>
    <w:p>
      <w:pPr>
        <w:ind w:right="140" w:firstLine="225"/>
        <w:spacing w:after="0" w:line="264"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73" w:lineRule="exact"/>
        <w:rPr>
          <w:sz w:val="20"/>
          <w:szCs w:val="20"/>
          <w:color w:val="auto"/>
        </w:rPr>
      </w:pPr>
    </w:p>
    <w:p>
      <w:pPr>
        <w:ind w:left="900" w:right="2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59" w:lineRule="exact"/>
        <w:rPr>
          <w:rFonts w:ascii="Arial" w:cs="Arial" w:eastAsia="Arial" w:hAnsi="Arial"/>
          <w:sz w:val="16"/>
          <w:szCs w:val="16"/>
          <w:color w:val="auto"/>
        </w:rPr>
      </w:pPr>
    </w:p>
    <w:p>
      <w:pPr>
        <w:ind w:left="900" w:right="40" w:hanging="446"/>
        <w:spacing w:after="0" w:line="30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59"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shall continue to vest as provided in Section 6.05 hereof and any Stock Option that is or becomes vested may be exercised in whole or in part prior to the expiration date of such Stock Option; and</w:t>
      </w:r>
    </w:p>
    <w:p>
      <w:pPr>
        <w:spacing w:after="0" w:line="92" w:lineRule="exact"/>
        <w:rPr>
          <w:rFonts w:ascii="Arial" w:cs="Arial" w:eastAsia="Arial" w:hAnsi="Arial"/>
          <w:sz w:val="18"/>
          <w:szCs w:val="18"/>
          <w:color w:val="auto"/>
        </w:rPr>
      </w:pPr>
    </w:p>
    <w:p>
      <w:pPr>
        <w:ind w:left="900" w:right="340" w:hanging="446"/>
        <w:spacing w:after="0" w:line="31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jc w:val="both"/>
        <w:ind w:right="520"/>
        <w:spacing w:after="0" w:line="264" w:lineRule="auto"/>
        <w:rPr>
          <w:sz w:val="20"/>
          <w:szCs w:val="20"/>
          <w:color w:val="auto"/>
        </w:rPr>
      </w:pPr>
      <w:r>
        <w:rPr>
          <w:rFonts w:ascii="Arial" w:cs="Arial" w:eastAsia="Arial" w:hAnsi="Arial"/>
          <w:sz w:val="18"/>
          <w:szCs w:val="18"/>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73"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and Restricted Stock Units shall terminate (such that any Restricted Stock shall become fully transferable) immediately prior to any such merger or consolidation in which the Corporation is not the surviving corporation. The Committee may elect to cancel any then-unexercised Stock Options.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74"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w:t>
      </w:r>
    </w:p>
    <w:p>
      <w:pPr>
        <w:spacing w:after="0" w:line="35" w:lineRule="exact"/>
        <w:rPr>
          <w:sz w:val="20"/>
          <w:szCs w:val="20"/>
          <w:color w:val="auto"/>
        </w:rPr>
      </w:pPr>
    </w:p>
    <w:p>
      <w:pPr>
        <w:jc w:val="both"/>
        <w:ind w:firstLine="8"/>
        <w:spacing w:after="0" w:line="255" w:lineRule="auto"/>
        <w:tabs>
          <w:tab w:leader="none" w:pos="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82"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62"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79"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 xml:space="preserve">10.09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ind w:right="200" w:firstLine="225"/>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To the extent applicable, it is intended that the Plan and all Awards hereunder comply with the requirements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and the Plan and all Agreements shall be interpreted and applied by the Committee in a manner consistent with this intent in order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avoid the imposition of any additional tax under Section 409A of the Code. In the event that any provision of the Plan or an Agreement is determined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to not comply with the applicable requirements of Section 409A of the Code, the Committee shall have the authority to take such actions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make such changes to the Plan or an Agreement as the Committee deems necessary to comply with such requirements, provided that no such action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any outstanding Award without the consent of the affected Participant.</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935"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u w:val="single" w:color="auto"/>
          <w:color w:val="auto"/>
        </w:rPr>
        <w:t>Exhibit 10.29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NONQUALIFIED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NON-EMPLOYEE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2010 Stock Option Plan for Non-Employee Directors (the “Plan) is intended to attract and retain the services of experienced and knowledgeable non-employee directors of Brady Corporation (the “Corporation”) for the benefit of the Corporation and its shareholders and to provide additional incentive for such directors to continue to work for the best interest of the Corporation and its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Subject to the Plan.</w:t>
      </w:r>
    </w:p>
    <w:p>
      <w:pPr>
        <w:spacing w:after="0" w:line="121"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There are reserved for issuance upon the exercise of options granted under the Plan 200,000 Class A Non-Voting Common Shares $.01 par value, of the Corporation (the “Stock”). Such Stock may be authorized and unissued Stock or previously outstanding Stock then held in the Corporation’s treasury. If any option granted under the Plan shall expire or terminate for any reason without having been exercised in full, the Stock subject to the unexercised portion thereof shall again be available for the purposes of issuance upon the exercise of options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Plan shall be administered by the Board of Directors of the Corporation (the “Board”), which may delegate any or all of its authority to a Committee of the Board. Subject to the express provisions of the Plan, the Board shall have authority to interpret the Plan, to prescribe, amend and rescind rules and regulations relating to it, to determine the terms and provisions of the option grants and agreements (which shall comply with and be subject to the terms and conditions of the Plan) and to make all other determinations necessary or advisable for the administration of the Plan. The Board’s determination of the matters referred to in this Paragraph 3 shall be conclusive.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purposes of the Plan, “Non-Employee Director” means a member of the Board who is not an employee of the Corporation or a subsidiary of the Corporation. After the effective date of the Plan, each Non-Employee Director who first becomes a Director on an annual meeting date after July 21, 2009 shall automatically be granted an option to purchase 10,000 shares of Stock on a date that is 14 days after the annual meeting date, or if such person first becomes a Director on a date other than the annual meeting date, the option shall automatically be granted on a date that is 14 days after first becoming a Director. Subsequently, each Non-Employee Director shall automatically be granted an option to purchase 8,400 shares of Stock on a date that is 14 days after the Corporation’s release of its fiscal fourth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ind w:left="240"/>
        <w:spacing w:after="0"/>
        <w:rPr>
          <w:sz w:val="20"/>
          <w:szCs w:val="20"/>
          <w:color w:val="auto"/>
        </w:rPr>
      </w:pPr>
      <w:r>
        <w:rPr>
          <w:rFonts w:ascii="Arial" w:cs="Arial" w:eastAsia="Arial" w:hAnsi="Arial"/>
          <w:sz w:val="18"/>
          <w:szCs w:val="18"/>
          <w:color w:val="auto"/>
        </w:rPr>
        <w:t>Only non-statutory stock options shall be granted under the Plan.</w:t>
      </w:r>
    </w:p>
    <w:p>
      <w:pPr>
        <w:spacing w:after="0" w:line="22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w:t>
      </w:r>
    </w:p>
    <w:p>
      <w:pPr>
        <w:spacing w:after="0" w:line="121" w:lineRule="exact"/>
        <w:rPr>
          <w:rFonts w:ascii="Arial" w:cs="Arial" w:eastAsia="Arial" w:hAnsi="Arial"/>
          <w:sz w:val="18"/>
          <w:szCs w:val="18"/>
          <w:b w:val="1"/>
          <w:bCs w:val="1"/>
          <w:color w:val="auto"/>
        </w:rPr>
      </w:pPr>
    </w:p>
    <w:p>
      <w:pPr>
        <w:ind w:right="20" w:firstLine="233"/>
        <w:spacing w:after="0" w:line="293" w:lineRule="auto"/>
        <w:tabs>
          <w:tab w:leader="none" w:pos="467"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purchase price of the Stock under each option granted under the Plan shall be 100% of the Fair Market Value of the Stock on the date such option is granted. For purposes of the Plan “Fair Market Value” on any date shall mean, with respect to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the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Stock on the relevant date.</w:t>
      </w:r>
    </w:p>
    <w:p>
      <w:pPr>
        <w:spacing w:after="0" w:line="56" w:lineRule="exact"/>
        <w:rPr>
          <w:rFonts w:ascii="Arial" w:cs="Arial" w:eastAsia="Arial" w:hAnsi="Arial"/>
          <w:sz w:val="16"/>
          <w:szCs w:val="16"/>
          <w:color w:val="auto"/>
        </w:rPr>
      </w:pPr>
    </w:p>
    <w:p>
      <w:pPr>
        <w:ind w:left="480" w:hanging="247"/>
        <w:spacing w:after="0"/>
        <w:tabs>
          <w:tab w:leader="none" w:pos="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options shall be exercisable in accordance with the following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2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60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Percentage of Shares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2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1 but less than 2</w:t>
            </w:r>
          </w:p>
        </w:tc>
        <w:tc>
          <w:tcPr>
            <w:tcW w:w="2160" w:type="dxa"/>
            <w:vAlign w:val="bottom"/>
            <w:gridSpan w:val="2"/>
          </w:tcPr>
          <w:p>
            <w:pPr>
              <w:jc w:val="right"/>
              <w:ind w:right="328"/>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1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3 or more</w:t>
            </w:r>
          </w:p>
        </w:tc>
        <w:tc>
          <w:tcPr>
            <w:tcW w:w="2160" w:type="dxa"/>
            <w:vAlign w:val="bottom"/>
            <w:gridSpan w:val="2"/>
          </w:tcPr>
          <w:p>
            <w:pPr>
              <w:jc w:val="right"/>
              <w:ind w:right="32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term of each option shall be ten years from the date of grant, or such shorter period as is prescribed in Paragraphs 5(c) and 5(d). Except as provided in Paragraphs 5(c) and 5(d), no option may be exercised at any time unless the holder is then a director of the Corporation.</w:t>
      </w:r>
    </w:p>
    <w:p>
      <w:pPr>
        <w:spacing w:after="0" w:line="62"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Each option may be exercised in whole or in part from time to time as specified in the agreements provided, however, that each holder may exercise an option in whole or in part by giving written notice of the exercise to the Corporation, specifying the number of shares to be purchased by payment in full of the purchase price therefor. The purchase price may be paid (a) in cash, (b) by check, (c) with the approval of the Board, or if the applicable agreement so provides, by delivering shares of Stock (“Delivered Stock”), (d) by surrendering to the Corporation shares of Stock otherwise receivable upon exercise of the option (a “Net Exercise”), or (e) any combination of the foregoing. For purposes of the foregoing, Delivered Stock shall be valued at its Fair Market Value determined as of the business day immediately preceding the date of exercise of the option and shares of Stock used in a Net Exercise shall be valued at their Fair Market Value determined as of the date of exercise of the option. No holder shall be under any obligation to exercise any option hereunder.</w:t>
      </w:r>
    </w:p>
    <w:p>
      <w:pPr>
        <w:spacing w:after="0" w:line="5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Upon exercise, the option price is to be paid in full in cash or, at the discretion of the Board, in Stock owned by the optionee having a Fair Market Value on the date of exercise equal to the aggregate option price or, at the discretion of the Board, in a combination of cash and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ind w:firstLine="233"/>
        <w:spacing w:after="0" w:line="269"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rights under any option shall terminate on the date such Participant ceases to be a Director of the Corporation, except that (a) if the Directorship is terminated by the death of the Director, any unexercised, unexpired Stock Options granted hereunder to the Director shall be 100% vested and fully exercisable, in whole or in part, at any time within one year after the date of death, by the Director’s personal representative or by the person to whom the options are transferred under the Director’s last will and testament or the applicable laws of descent and distribution; (b) if the Directorship is terminated as a result of the disability of the Director (a disability means that the Director is disabled as a result of sickness or injury, such that he or she is unable satisfactorily to perform the Director duties, as determined by the Board of Directors, on the basis of medical evidence satisfactory to it), any unexercised, unexpired options granted hereunder to the Director shall become 100% vested and fully exercisable, in whole or in part, at any time within one year after the date of disability; (c) if the Directorship is terminated and the Director has been a member of the Board of Directors for at least three years, any unexercised, unexpired options granted hereunder to the Director shall continue to vest as provided in Paragraph 5(b) and any option that is or becomes vested may be exercised within the term of such option; and (d) if the Directorship is terminated for any reason other than (a), (b) or (c) above, any unexercised, unexpired options granted hereunder and exercisable as of the date of such termination shall be exercisable in whole or in part at any time within 90 days after such date of termination.</w:t>
      </w:r>
    </w:p>
    <w:p>
      <w:pPr>
        <w:spacing w:after="0" w:line="71" w:lineRule="exact"/>
        <w:rPr>
          <w:rFonts w:ascii="Arial" w:cs="Arial" w:eastAsia="Arial" w:hAnsi="Arial"/>
          <w:sz w:val="17"/>
          <w:szCs w:val="17"/>
          <w:color w:val="auto"/>
        </w:rPr>
      </w:pPr>
    </w:p>
    <w:p>
      <w:pPr>
        <w:ind w:right="40" w:firstLine="233"/>
        <w:spacing w:after="0" w:line="257" w:lineRule="auto"/>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of (a) a merger, consolidation, or reorganization with another corporation in which the Corporation is not the surviving corporation or a merger, consolidation or reorganization with another corporation in which the Corporation is the surviving corporation, but the Stock ceases to be publicly traded, (b) the adoption of any plan for the dissolution of the Corporation, or (c) the sale or exchange of all or substantially all the assets of the Corporation for cash or for shares of stock or other securities of another corporation, all then-unexercised options shall become fully exercisable immediately prior to any such event.</w:t>
      </w:r>
    </w:p>
    <w:p>
      <w:pPr>
        <w:spacing w:after="0" w:line="80" w:lineRule="exact"/>
        <w:rPr>
          <w:rFonts w:ascii="Arial" w:cs="Arial" w:eastAsia="Arial" w:hAnsi="Arial"/>
          <w:sz w:val="18"/>
          <w:szCs w:val="18"/>
          <w:color w:val="auto"/>
        </w:rPr>
      </w:pPr>
    </w:p>
    <w:p>
      <w:pPr>
        <w:ind w:left="480" w:hanging="247"/>
        <w:spacing w:after="0"/>
        <w:tabs>
          <w:tab w:leader="none" w:pos="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Nothing in the Plan or in any option granted pursuant to the Plan shall confer on any individual any right to continue as a director of the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Transferability and Shareholder Rights of Holders of Options.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No options granted under the Plan shall be transferable otherwise than by will or by the laws of descent and distribution, and an option may be exercised, during the lifetime of an optionee, only by the optionee or optionee’s guardian or legal representative. An optionee shall have none of the rights of a shareholder of the Corporation until the option has been exercised and the Stock subject to the option has been registered in the name of the optionee on the transfer books of the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Adjustments upon Changes in Capitalization.</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Notwithstanding any other provisions of the Plan, the number and class of shares subject to the options and the option prices of options covered thereby shall be proportionately adjusted in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14" w:name="page115"/>
    <w:bookmarkEnd w:id="114"/>
    <w:p>
      <w:pPr>
        <w:ind w:right="60"/>
        <w:spacing w:after="0" w:line="259" w:lineRule="auto"/>
        <w:rPr>
          <w:sz w:val="20"/>
          <w:szCs w:val="20"/>
          <w:color w:val="auto"/>
        </w:rPr>
      </w:pPr>
      <w:r>
        <w:rPr>
          <w:rFonts w:ascii="Arial" w:cs="Arial" w:eastAsia="Arial" w:hAnsi="Arial"/>
          <w:sz w:val="18"/>
          <w:szCs w:val="18"/>
          <w:color w:val="auto"/>
        </w:rPr>
        <w:t>event of changes in the outstanding Stock by reason of stock dividends, stock splits, recapitalizations, mergers, consolidations, combinations or exchanges of shares, split-ups, split-offs, spin-offs, liquidations or other similar changes in capitalization, or any distribution to common shareholders other than cash dividends and, in the event of any such change in the outstanding Stock, the aggregate number and class of shares available under the Plan and the number of shares as to which options may be granted shall be appropriately adjusted by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Amendment and Termination.</w:t>
      </w:r>
    </w:p>
    <w:p>
      <w:pPr>
        <w:spacing w:after="0" w:line="121"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Unless the Plan shall theretofore have been terminated as hereinafter provided, the Plan shall terminate on, and no awards of options shall be made after, the tenth anniversary of the effective date of the Plan; provided, however, that such termination shall have no effect on options granted prior thereto. The Plan may be terminated, modified or amended by the shareholders of the Corporation. The Board may also terminate the Plan or modify or amend the Plan in such respects as it shall deem advisable in order to conform to any change in any law or regulation applicable thereto, or in other respects which shall not change</w:t>
      </w:r>
    </w:p>
    <w:p>
      <w:pPr>
        <w:spacing w:after="0" w:line="2" w:lineRule="exact"/>
        <w:rPr>
          <w:sz w:val="20"/>
          <w:szCs w:val="20"/>
          <w:color w:val="auto"/>
        </w:rPr>
      </w:pPr>
    </w:p>
    <w:p>
      <w:pPr>
        <w:ind w:right="100" w:firstLine="8"/>
        <w:spacing w:after="0" w:line="255" w:lineRule="auto"/>
        <w:tabs>
          <w:tab w:leader="none" w:pos="2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total number of shares of Stock as to which options may be granted, (ii) the class of persons eligible to receive options under the Plan, (iii) the manner of determining the option prices, (iv) the period during which options may be granted or exercised or (v) the provisions relating to the administration of the Plan by the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Withholding.</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Upon the issuance of Stock as a result of the exercise of an option, the Corporation shall have the right to retain or sell without notice sufficient Stock to cover the amount of any tax required by any government to be withheld or otherwise deducted and paid with respect to such Stock being issued, remitting any balance to the optionee; provided, however, that the optionee shall have the right to provide the Corporation with the funds to enable it to pay such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Effectiveness of the Plan.</w:t>
      </w:r>
    </w:p>
    <w:p>
      <w:pPr>
        <w:spacing w:after="0" w:line="12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Plan shall become effective on the day following the date the Plan is approved by the vote of the holders of a majority of the outstanding shares of the Corporation’s Class B Voting Common Stock. The Board may in its discretion authorize the granting of options which shall be expressly subject to the conditions that (i) the Stock reserved for issue under the Plan shall have been duly listed, upon official notice of issuance, upon each stock exchange in the United States upon which the Stock is traded and (ii) a registration statement under the Securities Act of 1933 with respect to such shares shall have become effective.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936"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u w:val="single" w:color="auto"/>
          <w:color w:val="auto"/>
        </w:rPr>
        <w:t>Exhibit 10.30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Upon management’s recommendation, the Compensation Committee (the “Committee”) of the Brady Corporation Board of Directors has awarded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 (“Employee”) a non-qualified stock option (the “Option”) effective _________, ___, pursuant to the terms of the Brady Corporation</w:t>
      </w:r>
    </w:p>
    <w:p>
      <w:pPr>
        <w:spacing w:after="0" w:line="3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2010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7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Corporation grants to the Employee the right and option to purchase, on the terms and conditions hereof, all or any part of an aggregate of</w:t>
      </w:r>
    </w:p>
    <w:p>
      <w:pPr>
        <w:spacing w:after="0" w:line="34" w:lineRule="exact"/>
        <w:rPr>
          <w:rFonts w:ascii="Arial" w:cs="Arial" w:eastAsia="Arial" w:hAnsi="Arial"/>
          <w:sz w:val="18"/>
          <w:szCs w:val="18"/>
          <w:b w:val="1"/>
          <w:bCs w:val="1"/>
          <w:color w:val="auto"/>
        </w:rPr>
      </w:pPr>
    </w:p>
    <w:p>
      <w:pPr>
        <w:ind w:left="46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____________(___) shares of the presently authorized Class A Common Stock of the Corporation, $.01 par value, whether unissued or issued and reacquired by the Corporation, at the price of $___.___ per share (the “Option Price”).</w:t>
      </w:r>
    </w:p>
    <w:p>
      <w:pPr>
        <w:spacing w:after="0" w:line="85" w:lineRule="exact"/>
        <w:rPr>
          <w:rFonts w:ascii="Arial" w:cs="Arial" w:eastAsia="Arial" w:hAnsi="Arial"/>
          <w:sz w:val="18"/>
          <w:szCs w:val="18"/>
          <w:b w:val="1"/>
          <w:bCs w:val="1"/>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4" w:lineRule="exact"/>
        <w:rPr>
          <w:rFonts w:ascii="Arial" w:cs="Arial" w:eastAsia="Arial" w:hAnsi="Arial"/>
          <w:sz w:val="18"/>
          <w:szCs w:val="18"/>
          <w:b w:val="1"/>
          <w:bCs w:val="1"/>
          <w:color w:val="auto"/>
        </w:rPr>
      </w:pPr>
    </w:p>
    <w:p>
      <w:pPr>
        <w:ind w:left="4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of Shares For</w:t>
            </w:r>
          </w:p>
        </w:tc>
        <w:tc>
          <w:tcPr>
            <w:tcW w:w="0" w:type="dxa"/>
            <w:vAlign w:val="bottom"/>
          </w:tcPr>
          <w:p>
            <w:pPr>
              <w:spacing w:after="0"/>
              <w:rPr>
                <w:sz w:val="1"/>
                <w:szCs w:val="1"/>
                <w:color w:val="auto"/>
              </w:rPr>
            </w:pPr>
          </w:p>
        </w:tc>
      </w:tr>
      <w:tr>
        <w:trPr>
          <w:trHeight w:val="149"/>
        </w:trPr>
        <w:tc>
          <w:tcPr>
            <w:tcW w:w="960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 After</w:t>
            </w: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7"/>
              </w:rPr>
              <w:t>Which Option is</w:t>
            </w:r>
          </w:p>
        </w:tc>
        <w:tc>
          <w:tcPr>
            <w:tcW w:w="0" w:type="dxa"/>
            <w:vAlign w:val="bottom"/>
          </w:tcPr>
          <w:p>
            <w:pPr>
              <w:spacing w:after="0"/>
              <w:rPr>
                <w:sz w:val="1"/>
                <w:szCs w:val="1"/>
                <w:color w:val="auto"/>
              </w:rPr>
            </w:pPr>
          </w:p>
        </w:tc>
      </w:tr>
      <w:tr>
        <w:trPr>
          <w:trHeight w:val="167"/>
        </w:trPr>
        <w:tc>
          <w:tcPr>
            <w:tcW w:w="9600" w:type="dxa"/>
            <w:vAlign w:val="bottom"/>
            <w:gridSpan w:val="2"/>
          </w:tcPr>
          <w:p>
            <w:pPr>
              <w:spacing w:after="0"/>
              <w:rPr>
                <w:sz w:val="20"/>
                <w:szCs w:val="20"/>
                <w:color w:val="auto"/>
              </w:rPr>
            </w:pPr>
            <w:r>
              <w:rPr>
                <w:rFonts w:ascii="Arial" w:cs="Arial" w:eastAsia="Arial" w:hAnsi="Arial"/>
                <w:sz w:val="14"/>
                <w:szCs w:val="14"/>
                <w:color w:val="auto"/>
              </w:rPr>
              <w:t>Date of Grant of this Option</w:t>
            </w: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Exercisable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Zero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1820" w:type="dxa"/>
            <w:vAlign w:val="bottom"/>
            <w:gridSpan w:val="2"/>
          </w:tcPr>
          <w:p>
            <w:pPr>
              <w:jc w:val="right"/>
              <w:ind w:right="185"/>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18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At least 3</w:t>
            </w:r>
          </w:p>
        </w:tc>
        <w:tc>
          <w:tcPr>
            <w:tcW w:w="182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ind w:left="452" w:right="180"/>
        <w:spacing w:after="0" w:line="264" w:lineRule="auto"/>
        <w:rPr>
          <w:sz w:val="20"/>
          <w:szCs w:val="20"/>
          <w:color w:val="auto"/>
        </w:rPr>
      </w:pPr>
      <w:r>
        <w:rPr>
          <w:rFonts w:ascii="Arial" w:cs="Arial" w:eastAsia="Arial" w:hAnsi="Arial"/>
          <w:sz w:val="18"/>
          <w:szCs w:val="18"/>
          <w:color w:val="auto"/>
        </w:rPr>
        <w:t>which the Committee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69" w:lineRule="exact"/>
        <w:rPr>
          <w:sz w:val="20"/>
          <w:szCs w:val="20"/>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if the Employee:</w:t>
      </w:r>
    </w:p>
    <w:p>
      <w:pPr>
        <w:spacing w:after="0" w:line="117" w:lineRule="exact"/>
        <w:rPr>
          <w:rFonts w:ascii="Arial" w:cs="Arial" w:eastAsia="Arial" w:hAnsi="Arial"/>
          <w:sz w:val="18"/>
          <w:szCs w:val="18"/>
          <w:b w:val="1"/>
          <w:bCs w:val="1"/>
          <w:color w:val="auto"/>
        </w:rPr>
      </w:pPr>
    </w:p>
    <w:p>
      <w:pPr>
        <w:ind w:left="892" w:right="20" w:hanging="446"/>
        <w:spacing w:after="0" w:line="312" w:lineRule="auto"/>
        <w:tabs>
          <w:tab w:leader="none" w:pos="892" w:val="left"/>
        </w:tabs>
        <w:numPr>
          <w:ilvl w:val="1"/>
          <w:numId w:val="80"/>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892" w:right="60" w:hanging="446"/>
        <w:spacing w:after="0" w:line="279" w:lineRule="auto"/>
        <w:tabs>
          <w:tab w:leader="none" w:pos="892"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892" w:hanging="446"/>
        <w:spacing w:after="0" w:line="279" w:lineRule="auto"/>
        <w:tabs>
          <w:tab w:leader="none" w:pos="892" w:val="left"/>
        </w:tabs>
        <w:numPr>
          <w:ilvl w:val="1"/>
          <w:numId w:val="80"/>
        </w:numPr>
        <w:rPr>
          <w:rFonts w:ascii="Arial" w:cs="Arial" w:eastAsia="Arial" w:hAnsi="Arial"/>
          <w:sz w:val="17"/>
          <w:szCs w:val="17"/>
          <w:color w:val="auto"/>
        </w:rPr>
      </w:pPr>
      <w:r>
        <w:rPr>
          <w:rFonts w:ascii="Arial" w:cs="Arial" w:eastAsia="Arial" w:hAnsi="Arial"/>
          <w:sz w:val="17"/>
          <w:szCs w:val="17"/>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76" w:lineRule="exact"/>
        <w:rPr>
          <w:rFonts w:ascii="Arial" w:cs="Arial" w:eastAsia="Arial" w:hAnsi="Arial"/>
          <w:sz w:val="17"/>
          <w:szCs w:val="17"/>
          <w:color w:val="auto"/>
        </w:rPr>
      </w:pPr>
    </w:p>
    <w:p>
      <w:pPr>
        <w:ind w:left="892" w:right="40" w:hanging="446"/>
        <w:spacing w:after="0" w:line="312" w:lineRule="auto"/>
        <w:tabs>
          <w:tab w:leader="none" w:pos="892" w:val="left"/>
        </w:tabs>
        <w:numPr>
          <w:ilvl w:val="1"/>
          <w:numId w:val="80"/>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34" w:lineRule="exact"/>
        <w:rPr>
          <w:rFonts w:ascii="Arial" w:cs="Arial" w:eastAsia="Arial" w:hAnsi="Arial"/>
          <w:sz w:val="16"/>
          <w:szCs w:val="16"/>
          <w:color w:val="auto"/>
        </w:rPr>
      </w:pPr>
    </w:p>
    <w:p>
      <w:pPr>
        <w:ind w:left="452" w:hanging="452"/>
        <w:spacing w:after="0"/>
        <w:tabs>
          <w:tab w:leader="none" w:pos="4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17" w:name="page118"/>
    <w:bookmarkEnd w:id="117"/>
    <w:p>
      <w:pPr>
        <w:ind w:left="452"/>
        <w:spacing w:after="0"/>
        <w:rPr>
          <w:sz w:val="20"/>
          <w:szCs w:val="20"/>
          <w:color w:val="auto"/>
        </w:rPr>
      </w:pPr>
      <w:r>
        <w:rPr>
          <w:rFonts w:ascii="Arial" w:cs="Arial" w:eastAsia="Arial" w:hAnsi="Arial"/>
          <w:sz w:val="18"/>
          <w:szCs w:val="18"/>
          <w:color w:val="auto"/>
        </w:rPr>
        <w:t>may require that such exercise be deferred until the Corporation has taken appropriate action to avoid any such violation.</w:t>
      </w:r>
    </w:p>
    <w:p>
      <w:pPr>
        <w:spacing w:after="0" w:line="23" w:lineRule="exact"/>
        <w:rPr>
          <w:sz w:val="20"/>
          <w:szCs w:val="20"/>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16" w:lineRule="exact"/>
        <w:rPr>
          <w:rFonts w:ascii="Arial" w:cs="Arial" w:eastAsia="Arial" w:hAnsi="Arial"/>
          <w:sz w:val="18"/>
          <w:szCs w:val="18"/>
          <w:b w:val="1"/>
          <w:bCs w:val="1"/>
          <w:color w:val="auto"/>
        </w:rPr>
      </w:pPr>
    </w:p>
    <w:p>
      <w:pPr>
        <w:ind w:left="452"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3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18" w:name="page119"/>
    <w:bookmarkEnd w:id="118"/>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72" w:lineRule="exact"/>
        <w:rPr>
          <w:rFonts w:ascii="Arial" w:cs="Arial" w:eastAsia="Arial" w:hAnsi="Arial"/>
          <w:sz w:val="18"/>
          <w:szCs w:val="18"/>
          <w:b w:val="1"/>
          <w:bCs w:val="1"/>
          <w:color w:val="auto"/>
        </w:rPr>
      </w:pPr>
    </w:p>
    <w:p>
      <w:pPr>
        <w:ind w:left="452" w:hanging="452"/>
        <w:spacing w:after="0"/>
        <w:tabs>
          <w:tab w:leader="none" w:pos="4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19" w:name="page120"/>
    <w:bookmarkEnd w:id="119"/>
    <w:p>
      <w:pPr>
        <w:ind w:left="452" w:right="20"/>
        <w:spacing w:after="0" w:line="297" w:lineRule="auto"/>
        <w:rPr>
          <w:sz w:val="20"/>
          <w:szCs w:val="20"/>
          <w:color w:val="auto"/>
        </w:rPr>
      </w:pPr>
      <w:r>
        <w:rPr>
          <w:rFonts w:ascii="Arial" w:cs="Arial" w:eastAsia="Arial" w:hAnsi="Arial"/>
          <w:sz w:val="16"/>
          <w:szCs w:val="16"/>
          <w:color w:val="auto"/>
        </w:rPr>
        <w:t>Employee has retired or died, Employee’s right to surrender all or any unexercised portion of this Option under this paragraph shall be available only to the extent that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0" w:lineRule="exact"/>
        <w:rPr>
          <w:sz w:val="20"/>
          <w:szCs w:val="20"/>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55"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134" w:lineRule="exact"/>
        <w:rPr>
          <w:rFonts w:ascii="Arial" w:cs="Arial" w:eastAsia="Arial" w:hAnsi="Arial"/>
          <w:sz w:val="18"/>
          <w:szCs w:val="18"/>
          <w:b w:val="1"/>
          <w:bCs w:val="1"/>
          <w:color w:val="auto"/>
        </w:rPr>
      </w:pPr>
    </w:p>
    <w:p>
      <w:pPr>
        <w:ind w:left="4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88" w:lineRule="exact"/>
        <w:rPr>
          <w:rFonts w:ascii="Arial" w:cs="Arial" w:eastAsia="Arial" w:hAnsi="Arial"/>
          <w:sz w:val="18"/>
          <w:szCs w:val="18"/>
          <w:b w:val="1"/>
          <w:bCs w:val="1"/>
          <w:color w:val="auto"/>
        </w:rPr>
      </w:pPr>
    </w:p>
    <w:p>
      <w:pPr>
        <w:ind w:left="452" w:hanging="452"/>
        <w:spacing w:after="0"/>
        <w:tabs>
          <w:tab w:leader="none" w:pos="4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OPTION</w:t>
      </w:r>
    </w:p>
    <w:p>
      <w:pPr>
        <w:spacing w:after="0" w:line="103" w:lineRule="exact"/>
        <w:rPr>
          <w:sz w:val="20"/>
          <w:szCs w:val="20"/>
          <w:color w:val="auto"/>
        </w:rPr>
      </w:pPr>
    </w:p>
    <w:p>
      <w:pPr>
        <w:ind w:right="80" w:firstLine="675"/>
        <w:spacing w:after="0" w:line="291" w:lineRule="auto"/>
        <w:rPr>
          <w:sz w:val="20"/>
          <w:szCs w:val="20"/>
          <w:color w:val="auto"/>
        </w:rPr>
      </w:pPr>
      <w:r>
        <w:rPr>
          <w:rFonts w:ascii="Arial" w:cs="Arial" w:eastAsia="Arial" w:hAnsi="Arial"/>
          <w:sz w:val="16"/>
          <w:szCs w:val="16"/>
          <w:color w:val="auto"/>
        </w:rPr>
        <w:t>Upon management’s recommendation, the Compensation Committee (the “Committee”) of the Brady Corporation Board of Directors has awarded to ________________________(“Employee”) a non-qualified performance stock option (the “Option”) effective _______________, ______, pursuant to the</w:t>
      </w:r>
    </w:p>
    <w:p>
      <w:pPr>
        <w:ind w:right="20"/>
        <w:spacing w:after="0" w:line="261" w:lineRule="auto"/>
        <w:rPr>
          <w:sz w:val="20"/>
          <w:szCs w:val="20"/>
          <w:color w:val="auto"/>
        </w:rPr>
      </w:pPr>
      <w:r>
        <w:rPr>
          <w:rFonts w:ascii="Arial" w:cs="Arial" w:eastAsia="Arial" w:hAnsi="Arial"/>
          <w:sz w:val="18"/>
          <w:szCs w:val="18"/>
          <w:color w:val="auto"/>
        </w:rPr>
        <w:t>terms of the Brady Corporation 2010 Omnibus Incentive Stock Plan (the “Plan”), including the condition that this Option is subject to shareholder approval of the Plan.</w:t>
      </w:r>
    </w:p>
    <w:p>
      <w:pPr>
        <w:spacing w:after="0" w:line="7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Corporation grants to the Employee the right and option to purchase, on the terms and conditions hereof, all or any part of an aggregate of</w:t>
      </w:r>
    </w:p>
    <w:p>
      <w:pPr>
        <w:spacing w:after="0" w:line="34" w:lineRule="exact"/>
        <w:rPr>
          <w:rFonts w:ascii="Arial" w:cs="Arial" w:eastAsia="Arial" w:hAnsi="Arial"/>
          <w:sz w:val="18"/>
          <w:szCs w:val="18"/>
          <w:b w:val="1"/>
          <w:bCs w:val="1"/>
          <w:color w:val="auto"/>
        </w:rPr>
      </w:pPr>
    </w:p>
    <w:p>
      <w:pPr>
        <w:ind w:left="46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_________ thousand (______) shares of the presently authorized Class A Common Stock of the Corporation, $.01 par value, whether unissued or issued and reacquired by the Corporation, at the price of $______ per share (the “Option Price”). The Option shall consist of two components. The “Part A Option Shares” shall represent two-thirds of the total shares covered by this Option, or ______ shares. Vesting of the Part A Option Shares shall be based upon the Company’s annual year-over-year growth in earnings per share (“EPS”) for fiscal 2010, 2011 and 2012 as compared to the baseline reported EPS for 2009. The “Part B Option Shares” shall represent one-third of the total shares covered by this Option, or ______ shares. Vesting of the Part B Option Shares shall be based upon the percentile rank of the Corporation’s earnings per share growth compared to other companies in the S&amp;P 600 Index using 2008 as the baseline.</w:t>
      </w:r>
    </w:p>
    <w:p>
      <w:pPr>
        <w:spacing w:after="0" w:line="94" w:lineRule="exact"/>
        <w:rPr>
          <w:rFonts w:ascii="Arial" w:cs="Arial" w:eastAsia="Arial" w:hAnsi="Arial"/>
          <w:sz w:val="18"/>
          <w:szCs w:val="18"/>
          <w:b w:val="1"/>
          <w:bCs w:val="1"/>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5"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the performance conditions provided below have been met; provided, however, that in no event shall this Option be exercisable for any shares after the expiration date provided in paragraph 7.</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A Option Shares</w:t>
      </w:r>
    </w:p>
    <w:p>
      <w:pPr>
        <w:spacing w:after="0" w:line="135"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color w:val="auto"/>
        </w:rPr>
        <w:t>Vesting of the Part A Option Shares shall be determined in accordance with the following schedule, with the vesting date for each plan year being the date the Audit Committee accepts the results of the fiscal year audit. Earnings per share will be computed by dividing the Corporation’s net income for the year by an assumed 53 million shares of diluted outstanding Common Stock and assuming no issuance of additional shares of Common Stock other than pursuant to the Corporation’s Omnibus Incentive Stock Plans. In the event of any other stock issuance, the Compensation Committee will make an equitable adjustment of the earnings per share amounts.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Plan Year 1</w:t>
            </w:r>
          </w:p>
        </w:tc>
        <w:tc>
          <w:tcPr>
            <w:tcW w:w="120" w:type="dxa"/>
            <w:vAlign w:val="bottom"/>
          </w:tcPr>
          <w:p>
            <w:pPr>
              <w:spacing w:after="0"/>
              <w:rPr>
                <w:sz w:val="14"/>
                <w:szCs w:val="14"/>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Plan Year 2</w:t>
            </w:r>
          </w:p>
        </w:tc>
        <w:tc>
          <w:tcPr>
            <w:tcW w:w="140" w:type="dxa"/>
            <w:vAlign w:val="bottom"/>
          </w:tcPr>
          <w:p>
            <w:pPr>
              <w:spacing w:after="0"/>
              <w:rPr>
                <w:sz w:val="14"/>
                <w:szCs w:val="14"/>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Plan Year 3</w:t>
            </w:r>
          </w:p>
        </w:tc>
      </w:tr>
      <w:tr>
        <w:trPr>
          <w:trHeight w:val="167"/>
        </w:trPr>
        <w:tc>
          <w:tcPr>
            <w:tcW w:w="20" w:type="dxa"/>
            <w:vAlign w:val="bottom"/>
          </w:tcPr>
          <w:p>
            <w:pPr>
              <w:spacing w:after="0"/>
              <w:rPr>
                <w:sz w:val="14"/>
                <w:szCs w:val="14"/>
                <w:color w:val="auto"/>
              </w:rPr>
            </w:pPr>
          </w:p>
        </w:tc>
        <w:tc>
          <w:tcPr>
            <w:tcW w:w="362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Annual EPS Growth</w:t>
            </w:r>
          </w:p>
        </w:tc>
        <w:tc>
          <w:tcPr>
            <w:tcW w:w="28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FY 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FY 2011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FY 2012</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15% or greater</w:t>
            </w:r>
          </w:p>
        </w:tc>
        <w:tc>
          <w:tcPr>
            <w:tcW w:w="2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33% of Part A Option Shares</w:t>
            </w: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33% of Part A Option Shares</w:t>
            </w:r>
          </w:p>
        </w:tc>
        <w:tc>
          <w:tcPr>
            <w:tcW w:w="14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 of Part A Option Shares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24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25% of Part A Option Shares</w:t>
            </w:r>
          </w:p>
        </w:tc>
        <w:tc>
          <w:tcPr>
            <w:tcW w:w="120" w:type="dxa"/>
            <w:vAlign w:val="bottom"/>
          </w:tcPr>
          <w:p>
            <w:pPr>
              <w:spacing w:after="0"/>
              <w:rPr>
                <w:sz w:val="18"/>
                <w:szCs w:val="18"/>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 of Part A Option Shares</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25% of Part A Option Shares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Minimum threshold — 10%</w:t>
            </w:r>
          </w:p>
        </w:tc>
        <w:tc>
          <w:tcPr>
            <w:tcW w:w="274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0"/>
              </w:rPr>
              <w:t>16.67% of Part A Option Shares</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16.67% of Part A Option Shares</w:t>
            </w:r>
          </w:p>
        </w:tc>
        <w:tc>
          <w:tcPr>
            <w:tcW w:w="2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16.67% of Part A Option Shares</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6"/>
              </w:rPr>
              <w:t>Maximum Vesting (% of Part A Option Shares)</w:t>
            </w:r>
          </w:p>
        </w:tc>
        <w:tc>
          <w:tcPr>
            <w:tcW w:w="2600" w:type="dxa"/>
            <w:vAlign w:val="bottom"/>
            <w:gridSpan w:val="2"/>
          </w:tcPr>
          <w:p>
            <w:pPr>
              <w:jc w:val="right"/>
              <w:ind w:right="779"/>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2440" w:type="dxa"/>
            <w:vAlign w:val="bottom"/>
            <w:gridSpan w:val="2"/>
          </w:tcPr>
          <w:p>
            <w:pPr>
              <w:jc w:val="right"/>
              <w:ind w:right="759"/>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2460" w:type="dxa"/>
            <w:vAlign w:val="bottom"/>
            <w:gridSpan w:val="2"/>
          </w:tcPr>
          <w:p>
            <w:pPr>
              <w:jc w:val="right"/>
              <w:ind w:right="759"/>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of shares for performance between the Annual EPS Growth percentages listed above will not be interpolated.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B Option Shares</w:t>
      </w:r>
    </w:p>
    <w:p>
      <w:pPr>
        <w:spacing w:after="0" w:line="135" w:lineRule="exact"/>
        <w:rPr>
          <w:sz w:val="20"/>
          <w:szCs w:val="20"/>
          <w:color w:val="auto"/>
        </w:rPr>
      </w:pPr>
    </w:p>
    <w:p>
      <w:pPr>
        <w:jc w:val="both"/>
        <w:ind w:left="460" w:right="220"/>
        <w:spacing w:after="0" w:line="312" w:lineRule="auto"/>
        <w:rPr>
          <w:sz w:val="20"/>
          <w:szCs w:val="20"/>
          <w:color w:val="auto"/>
        </w:rPr>
      </w:pPr>
      <w:r>
        <w:rPr>
          <w:rFonts w:ascii="Arial" w:cs="Arial" w:eastAsia="Arial" w:hAnsi="Arial"/>
          <w:sz w:val="16"/>
          <w:szCs w:val="16"/>
          <w:color w:val="auto"/>
        </w:rPr>
        <w:t>Vesting of the Part B Option Shares shall be determined in accordance with the following schedule, and by comparing the Corporation’s EPS Growth for Fiscal 2010, 2011, and 2012 over fiscal 2008 with other corporations in the S&amp;P 600 Index using reported EPS for the baseline year of 2008. The vesting date for the Part B Option Shares shall be the date the Audit Committee accepts the results of the 2012 fiscal year audit.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gridSpan w:val="3"/>
          </w:tcPr>
          <w:p>
            <w:pPr>
              <w:jc w:val="center"/>
              <w:ind w:right="2080"/>
              <w:spacing w:after="0"/>
              <w:rPr>
                <w:sz w:val="20"/>
                <w:szCs w:val="20"/>
                <w:color w:val="auto"/>
              </w:rPr>
            </w:pPr>
            <w:r>
              <w:rPr>
                <w:rFonts w:ascii="Arial" w:cs="Arial" w:eastAsia="Arial" w:hAnsi="Arial"/>
                <w:sz w:val="14"/>
                <w:szCs w:val="14"/>
                <w:color w:val="auto"/>
                <w:w w:val="93"/>
              </w:rPr>
              <w:t>EPS Growth Relative to</w:t>
            </w:r>
          </w:p>
        </w:tc>
        <w:tc>
          <w:tcPr>
            <w:tcW w:w="3920" w:type="dxa"/>
            <w:vAlign w:val="bottom"/>
          </w:tcPr>
          <w:p>
            <w:pPr>
              <w:jc w:val="center"/>
              <w:ind w:right="1417"/>
              <w:spacing w:after="0"/>
              <w:rPr>
                <w:sz w:val="20"/>
                <w:szCs w:val="20"/>
                <w:color w:val="auto"/>
              </w:rPr>
            </w:pPr>
            <w:r>
              <w:rPr>
                <w:rFonts w:ascii="Arial" w:cs="Arial" w:eastAsia="Arial" w:hAnsi="Arial"/>
                <w:sz w:val="14"/>
                <w:szCs w:val="14"/>
                <w:color w:val="auto"/>
                <w:w w:val="90"/>
              </w:rPr>
              <w:t>Plan Year 3</w:t>
            </w:r>
          </w:p>
        </w:tc>
      </w:t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S&amp;P 600</w:t>
            </w:r>
          </w:p>
        </w:tc>
        <w:tc>
          <w:tcPr>
            <w:tcW w:w="58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center"/>
              <w:ind w:right="1417"/>
              <w:spacing w:after="0"/>
              <w:rPr>
                <w:sz w:val="20"/>
                <w:szCs w:val="20"/>
                <w:color w:val="auto"/>
              </w:rPr>
            </w:pPr>
            <w:r>
              <w:rPr>
                <w:rFonts w:ascii="Arial" w:cs="Arial" w:eastAsia="Arial" w:hAnsi="Arial"/>
                <w:sz w:val="14"/>
                <w:szCs w:val="14"/>
                <w:color w:val="auto"/>
                <w:w w:val="94"/>
              </w:rPr>
              <w:t>FY 2012</w:t>
            </w:r>
          </w:p>
        </w:tc>
      </w:tr>
      <w:tr>
        <w:trPr>
          <w:trHeight w:val="210"/>
        </w:trPr>
        <w:tc>
          <w:tcPr>
            <w:tcW w:w="7500" w:type="dxa"/>
            <w:vAlign w:val="bottom"/>
            <w:gridSpan w:val="3"/>
            <w:shd w:val="clear" w:color="auto" w:fill="CCEEFF"/>
          </w:tcPr>
          <w:p>
            <w:pPr>
              <w:jc w:val="center"/>
              <w:ind w:right="2080"/>
              <w:spacing w:after="0"/>
              <w:rPr>
                <w:sz w:val="20"/>
                <w:szCs w:val="20"/>
                <w:color w:val="auto"/>
              </w:rPr>
            </w:pPr>
            <w:r>
              <w:rPr>
                <w:rFonts w:ascii="Arial" w:cs="Arial" w:eastAsia="Arial" w:hAnsi="Arial"/>
                <w:sz w:val="18"/>
                <w:szCs w:val="18"/>
                <w:color w:val="auto"/>
                <w:w w:val="91"/>
              </w:rPr>
              <w:t>75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920" w:type="dxa"/>
            <w:vAlign w:val="bottom"/>
            <w:shd w:val="clear" w:color="auto" w:fill="CCEEFF"/>
          </w:tcPr>
          <w:p>
            <w:pPr>
              <w:jc w:val="center"/>
              <w:ind w:right="1417"/>
              <w:spacing w:after="0"/>
              <w:rPr>
                <w:sz w:val="20"/>
                <w:szCs w:val="20"/>
                <w:color w:val="auto"/>
              </w:rPr>
            </w:pPr>
            <w:r>
              <w:rPr>
                <w:rFonts w:ascii="Arial" w:cs="Arial" w:eastAsia="Arial" w:hAnsi="Arial"/>
                <w:sz w:val="18"/>
                <w:szCs w:val="18"/>
                <w:color w:val="auto"/>
                <w:w w:val="90"/>
              </w:rPr>
              <w:t>100% of Part B Option Shares</w:t>
            </w:r>
          </w:p>
        </w:tc>
      </w:tr>
      <w:tr>
        <w:trPr>
          <w:trHeight w:val="216"/>
        </w:trPr>
        <w:tc>
          <w:tcPr>
            <w:tcW w:w="7500" w:type="dxa"/>
            <w:vAlign w:val="bottom"/>
            <w:gridSpan w:val="3"/>
          </w:tcPr>
          <w:p>
            <w:pPr>
              <w:jc w:val="center"/>
              <w:ind w:right="2080"/>
              <w:spacing w:after="0"/>
              <w:rPr>
                <w:sz w:val="20"/>
                <w:szCs w:val="20"/>
                <w:color w:val="auto"/>
              </w:rPr>
            </w:pPr>
            <w:r>
              <w:rPr>
                <w:rFonts w:ascii="Arial" w:cs="Arial" w:eastAsia="Arial" w:hAnsi="Arial"/>
                <w:sz w:val="18"/>
                <w:szCs w:val="18"/>
                <w:color w:val="auto"/>
                <w:w w:val="91"/>
              </w:rPr>
              <w:t>67</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920" w:type="dxa"/>
            <w:vAlign w:val="bottom"/>
          </w:tcPr>
          <w:p>
            <w:pPr>
              <w:jc w:val="center"/>
              <w:ind w:right="1417"/>
              <w:spacing w:after="0"/>
              <w:rPr>
                <w:sz w:val="20"/>
                <w:szCs w:val="20"/>
                <w:color w:val="auto"/>
              </w:rPr>
            </w:pPr>
            <w:r>
              <w:rPr>
                <w:rFonts w:ascii="Arial" w:cs="Arial" w:eastAsia="Arial" w:hAnsi="Arial"/>
                <w:sz w:val="18"/>
                <w:szCs w:val="18"/>
                <w:color w:val="auto"/>
                <w:w w:val="90"/>
              </w:rPr>
              <w:t>50% of Part B Option Shares</w:t>
            </w:r>
          </w:p>
        </w:tc>
      </w:tr>
      <w:tr>
        <w:trPr>
          <w:trHeight w:val="216"/>
        </w:trPr>
        <w:tc>
          <w:tcPr>
            <w:tcW w:w="7500" w:type="dxa"/>
            <w:vAlign w:val="bottom"/>
            <w:gridSpan w:val="3"/>
            <w:shd w:val="clear" w:color="auto" w:fill="CCEEFF"/>
          </w:tcPr>
          <w:p>
            <w:pPr>
              <w:jc w:val="center"/>
              <w:ind w:right="2080"/>
              <w:spacing w:after="0"/>
              <w:rPr>
                <w:sz w:val="20"/>
                <w:szCs w:val="20"/>
                <w:color w:val="auto"/>
              </w:rPr>
            </w:pPr>
            <w:r>
              <w:rPr>
                <w:rFonts w:ascii="Arial" w:cs="Arial" w:eastAsia="Arial" w:hAnsi="Arial"/>
                <w:sz w:val="18"/>
                <w:szCs w:val="18"/>
                <w:color w:val="auto"/>
                <w:w w:val="91"/>
              </w:rPr>
              <w:t>60</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3920" w:type="dxa"/>
            <w:vAlign w:val="bottom"/>
            <w:shd w:val="clear" w:color="auto" w:fill="CCEEFF"/>
          </w:tcPr>
          <w:p>
            <w:pPr>
              <w:jc w:val="center"/>
              <w:ind w:right="1417"/>
              <w:spacing w:after="0"/>
              <w:rPr>
                <w:sz w:val="20"/>
                <w:szCs w:val="20"/>
                <w:color w:val="auto"/>
              </w:rPr>
            </w:pPr>
            <w:r>
              <w:rPr>
                <w:rFonts w:ascii="Arial" w:cs="Arial" w:eastAsia="Arial" w:hAnsi="Arial"/>
                <w:sz w:val="18"/>
                <w:szCs w:val="18"/>
                <w:color w:val="auto"/>
                <w:w w:val="90"/>
              </w:rPr>
              <w:t>20% of Part B Option Shares</w:t>
            </w:r>
          </w:p>
        </w:tc>
      </w:tr>
      <w:tr>
        <w:trPr>
          <w:trHeight w:val="324"/>
        </w:trPr>
        <w:tc>
          <w:tcPr>
            <w:tcW w:w="7500" w:type="dxa"/>
            <w:vAlign w:val="bottom"/>
            <w:gridSpan w:val="3"/>
          </w:tcPr>
          <w:p>
            <w:pPr>
              <w:ind w:left="460"/>
              <w:spacing w:after="0"/>
              <w:rPr>
                <w:sz w:val="20"/>
                <w:szCs w:val="20"/>
                <w:color w:val="auto"/>
              </w:rPr>
            </w:pPr>
            <w:r>
              <w:rPr>
                <w:rFonts w:ascii="Arial" w:cs="Arial" w:eastAsia="Arial" w:hAnsi="Arial"/>
                <w:sz w:val="18"/>
                <w:szCs w:val="18"/>
                <w:color w:val="auto"/>
                <w:w w:val="91"/>
              </w:rPr>
              <w:t>Vesting of shares for performance between the percentages listed above will not be interpolated.</w:t>
            </w:r>
          </w:p>
        </w:tc>
        <w:tc>
          <w:tcPr>
            <w:tcW w:w="3920" w:type="dxa"/>
            <w:vAlign w:val="bottom"/>
          </w:tcPr>
          <w:p>
            <w:pPr>
              <w:spacing w:after="0"/>
              <w:rPr>
                <w:sz w:val="24"/>
                <w:szCs w:val="24"/>
                <w:color w:val="auto"/>
              </w:rPr>
            </w:pPr>
          </w:p>
        </w:tc>
      </w:tr>
    </w:tbl>
    <w:p>
      <w:pPr>
        <w:spacing w:after="0" w:line="107"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“EPS Growth” for the Corporation means (a) the Corporation’s earnings per share for the fiscal year ending July 31, 2012, divided by (b) the earnings per share of the Company for the fiscal year ending July 31, 2008 ($__________). Earnings per share will be computed by dividing the Corporation’s net income for the year by an assumed 53 million shares of diluted outstanding Common Stock and assuming no issuance of additional shares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22" w:name="page123"/>
    <w:bookmarkEnd w:id="122"/>
    <w:p>
      <w:pPr>
        <w:ind w:left="452" w:right="260"/>
        <w:spacing w:after="0" w:line="277" w:lineRule="auto"/>
        <w:rPr>
          <w:sz w:val="20"/>
          <w:szCs w:val="20"/>
          <w:color w:val="auto"/>
        </w:rPr>
      </w:pPr>
      <w:r>
        <w:rPr>
          <w:rFonts w:ascii="Arial" w:cs="Arial" w:eastAsia="Arial" w:hAnsi="Arial"/>
          <w:sz w:val="18"/>
          <w:szCs w:val="18"/>
          <w:color w:val="auto"/>
        </w:rPr>
        <w:t>Common Stock other than pursuant to the Corporation’s Omnibus Incentive Stock Plans. In the event of any other stock issuance, the Compensation Committee will make an equitable adjustment of the earnings per share amounts.</w:t>
      </w:r>
    </w:p>
    <w:p>
      <w:pPr>
        <w:spacing w:after="0" w:line="76" w:lineRule="exact"/>
        <w:rPr>
          <w:sz w:val="20"/>
          <w:szCs w:val="20"/>
          <w:color w:val="auto"/>
        </w:rPr>
      </w:pPr>
    </w:p>
    <w:p>
      <w:pPr>
        <w:ind w:left="452" w:right="140"/>
        <w:spacing w:after="0" w:line="276" w:lineRule="auto"/>
        <w:rPr>
          <w:sz w:val="20"/>
          <w:szCs w:val="20"/>
          <w:color w:val="auto"/>
        </w:rPr>
      </w:pPr>
      <w:r>
        <w:rPr>
          <w:rFonts w:ascii="Arial" w:cs="Arial" w:eastAsia="Arial" w:hAnsi="Arial"/>
          <w:sz w:val="17"/>
          <w:szCs w:val="17"/>
          <w:color w:val="auto"/>
        </w:rPr>
        <w:t>The EPS Growth for the companies in the S&amp;P 600 Index shall be calculated using the same method described above and shall include each company which is described by either of the following criteria: (a) the company is included in such index as of July 31, 2008 and July 31, 2012; or (b) the company is included in such index on July 31, 2012 and is a successor to a company that was included in such index on July 31, 2008. If earnings per share information is not available for any such company as of July 31, 2008 or July 31, 2012, the EPS Growth for such company shall be calculated using the twelve-month period immediately preceding the relevant July 31 for which such information is available.</w:t>
      </w:r>
    </w:p>
    <w:p>
      <w:pPr>
        <w:spacing w:after="0" w:line="78"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95" w:lineRule="exact"/>
        <w:rPr>
          <w:sz w:val="20"/>
          <w:szCs w:val="20"/>
          <w:color w:val="auto"/>
        </w:rPr>
      </w:pPr>
    </w:p>
    <w:p>
      <w:pPr>
        <w:ind w:left="452" w:hanging="452"/>
        <w:spacing w:after="0"/>
        <w:tabs>
          <w:tab w:leader="none" w:pos="45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2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Notwithstanding the provisions of paragraph 2 hereof, other than in the event of a termination for cause, if the Employee:</w:t>
      </w:r>
    </w:p>
    <w:p>
      <w:pPr>
        <w:spacing w:after="0" w:line="117" w:lineRule="exact"/>
        <w:rPr>
          <w:rFonts w:ascii="Arial" w:cs="Arial" w:eastAsia="Arial" w:hAnsi="Arial"/>
          <w:sz w:val="18"/>
          <w:szCs w:val="18"/>
          <w:b w:val="1"/>
          <w:bCs w:val="1"/>
          <w:color w:val="auto"/>
        </w:rPr>
      </w:pPr>
    </w:p>
    <w:p>
      <w:pPr>
        <w:ind w:left="892" w:right="20" w:hanging="446"/>
        <w:spacing w:after="0" w:line="312" w:lineRule="auto"/>
        <w:tabs>
          <w:tab w:leader="none" w:pos="892" w:val="left"/>
        </w:tabs>
        <w:numPr>
          <w:ilvl w:val="1"/>
          <w:numId w:val="85"/>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892" w:right="60" w:hanging="446"/>
        <w:spacing w:after="0" w:line="279" w:lineRule="auto"/>
        <w:tabs>
          <w:tab w:leader="none" w:pos="892" w:val="left"/>
        </w:tabs>
        <w:numPr>
          <w:ilvl w:val="1"/>
          <w:numId w:val="85"/>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892" w:right="140" w:hanging="446"/>
        <w:spacing w:after="0" w:line="277" w:lineRule="auto"/>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is terminated as a result of the disability of the Employee (a disability means that the Employee is disabled as a result of sickness or injury, such that he or she is</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23" w:name="page124"/>
    <w:bookmarkEnd w:id="123"/>
    <w:p>
      <w:pPr>
        <w:jc w:val="both"/>
        <w:ind w:left="892"/>
        <w:spacing w:after="0" w:line="264" w:lineRule="auto"/>
        <w:rPr>
          <w:sz w:val="20"/>
          <w:szCs w:val="20"/>
          <w:color w:val="auto"/>
        </w:rPr>
      </w:pPr>
      <w:r>
        <w:rPr>
          <w:rFonts w:ascii="Arial" w:cs="Arial" w:eastAsia="Arial" w:hAnsi="Arial"/>
          <w:sz w:val="18"/>
          <w:szCs w:val="18"/>
          <w:color w:val="auto"/>
        </w:rPr>
        <w:t>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w:t>
      </w:r>
    </w:p>
    <w:p>
      <w:pPr>
        <w:spacing w:after="0" w:line="87" w:lineRule="exact"/>
        <w:rPr>
          <w:sz w:val="20"/>
          <w:szCs w:val="20"/>
          <w:color w:val="auto"/>
        </w:rPr>
      </w:pPr>
    </w:p>
    <w:p>
      <w:pPr>
        <w:jc w:val="both"/>
        <w:ind w:left="892" w:right="200" w:hanging="446"/>
        <w:spacing w:after="0" w:line="312" w:lineRule="auto"/>
        <w:tabs>
          <w:tab w:leader="none" w:pos="892" w:val="left"/>
        </w:tabs>
        <w:numPr>
          <w:ilvl w:val="1"/>
          <w:numId w:val="86"/>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 Subsidiary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34" w:lineRule="exact"/>
        <w:rPr>
          <w:rFonts w:ascii="Arial" w:cs="Arial" w:eastAsia="Arial" w:hAnsi="Arial"/>
          <w:sz w:val="16"/>
          <w:szCs w:val="16"/>
          <w:color w:val="auto"/>
        </w:rPr>
      </w:pPr>
    </w:p>
    <w:p>
      <w:pPr>
        <w:ind w:left="452" w:hanging="452"/>
        <w:spacing w:after="0"/>
        <w:tabs>
          <w:tab w:leader="none" w:pos="4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34" w:lineRule="exact"/>
        <w:rPr>
          <w:rFonts w:ascii="Arial" w:cs="Arial" w:eastAsia="Arial" w:hAnsi="Arial"/>
          <w:sz w:val="18"/>
          <w:szCs w:val="18"/>
          <w:b w:val="1"/>
          <w:bCs w:val="1"/>
          <w:color w:val="auto"/>
        </w:rPr>
      </w:pPr>
    </w:p>
    <w:p>
      <w:pPr>
        <w:ind w:left="452"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24" w:name="page125"/>
    <w:bookmarkEnd w:id="124"/>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59"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 and are subject to the provisions of paragraph 9.</w:t>
      </w:r>
    </w:p>
    <w:p>
      <w:pPr>
        <w:spacing w:after="0" w:line="16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25" w:name="page126"/>
    <w:bookmarkEnd w:id="125"/>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Compensation Committee in the aggregate number of shares and the purchase price and kind of shares subject to this Option, to prevent substantial dilution or enlargement of the rights granted to or available for Employee.</w:t>
      </w:r>
    </w:p>
    <w:p>
      <w:pPr>
        <w:spacing w:after="0" w:line="55"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sixty (60) days prior to the effective date of such dissolution, liquidation or merger, to surrender all or any unexercised portion of this Option to the Corporation for cash, subject to the discretion of the Compensation Committee as to the exact timing of said surrender. Notwithstanding the foregoing, however, in the event Employee has retired or died, Employee’s right to surrender all or any unexercised portion of this Option under this paragraph shall be available only to the extent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8" w:lineRule="exact"/>
        <w:rPr>
          <w:rFonts w:ascii="Arial" w:cs="Arial" w:eastAsia="Arial" w:hAnsi="Arial"/>
          <w:sz w:val="18"/>
          <w:szCs w:val="18"/>
          <w:b w:val="1"/>
          <w:bCs w:val="1"/>
          <w:color w:val="auto"/>
        </w:rPr>
      </w:pPr>
    </w:p>
    <w:p>
      <w:pPr>
        <w:ind w:left="452" w:hanging="452"/>
        <w:spacing w:after="0"/>
        <w:tabs>
          <w:tab w:leader="none" w:pos="45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126" w:name="page127"/>
    <w:bookmarkEnd w:id="126"/>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and Corporate Records Controlling</w:t>
      </w:r>
    </w:p>
    <w:p>
      <w:pPr>
        <w:spacing w:after="0" w:line="134" w:lineRule="exact"/>
        <w:rPr>
          <w:rFonts w:ascii="Arial" w:cs="Arial" w:eastAsia="Arial" w:hAnsi="Arial"/>
          <w:sz w:val="18"/>
          <w:szCs w:val="18"/>
          <w:b w:val="1"/>
          <w:bCs w:val="1"/>
          <w:color w:val="auto"/>
        </w:rPr>
      </w:pPr>
    </w:p>
    <w:p>
      <w:pPr>
        <w:ind w:left="4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that the Plan permits the Committee to modify the terms of an Option grant and has done so herein. Terms defined in the Plan where used herein shall have the meanings as so defined. Employee acknowledges receipt of a copy of the Plan. The Corporation’s records shall be the official record of the Option grant described herein and , in the event of any conflict between this description and the Corporation’s records, the Corporation’s records shall control.</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932" w:right="27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5"/>
          </w:tcPr>
          <w:p>
            <w:pPr>
              <w:ind w:left="180"/>
              <w:spacing w:after="0"/>
              <w:rPr>
                <w:sz w:val="20"/>
                <w:szCs w:val="20"/>
                <w:color w:val="auto"/>
              </w:rPr>
            </w:pPr>
            <w:r>
              <w:rPr>
                <w:rFonts w:ascii="Arial" w:cs="Arial" w:eastAsia="Arial" w:hAnsi="Arial"/>
                <w:sz w:val="18"/>
                <w:szCs w:val="18"/>
                <w:b w:val="1"/>
                <w:bCs w:val="1"/>
                <w:color w:val="auto"/>
                <w:w w:val="90"/>
              </w:rPr>
              <w:t>Exhibit 10.31</w:t>
            </w:r>
          </w:p>
        </w:tc>
      </w:tr>
      <w:tr>
        <w:trPr>
          <w:trHeight w:val="520"/>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BRADY CORPORATION</w:t>
            </w:r>
          </w:p>
        </w:tc>
        <w:tc>
          <w:tcPr>
            <w:tcW w:w="3660" w:type="dxa"/>
            <w:vAlign w:val="bottom"/>
            <w:gridSpan w:val="5"/>
          </w:tcPr>
          <w:p>
            <w:pPr>
              <w:spacing w:after="0"/>
              <w:rPr>
                <w:sz w:val="24"/>
                <w:szCs w:val="24"/>
                <w:color w:val="auto"/>
              </w:rPr>
            </w:pPr>
          </w:p>
        </w:tc>
        <w:tc>
          <w:tcPr>
            <w:tcW w:w="1020" w:type="dxa"/>
            <w:vAlign w:val="bottom"/>
            <w:tcBorders>
              <w:top w:val="single" w:sz="8" w:color="auto"/>
            </w:tcBorders>
            <w:gridSpan w:val="4"/>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DIRECTOR NONQUALIFIED STOCK OPTION AGREEMENT</w:t>
            </w:r>
          </w:p>
        </w:tc>
        <w:tc>
          <w:tcPr>
            <w:tcW w:w="3160" w:type="dxa"/>
            <w:vAlign w:val="bottom"/>
            <w:gridSpan w:val="8"/>
          </w:tcPr>
          <w:p>
            <w:pPr>
              <w:spacing w:after="0"/>
              <w:rPr>
                <w:sz w:val="17"/>
                <w:szCs w:val="17"/>
                <w:color w:val="auto"/>
              </w:rPr>
            </w:pPr>
          </w:p>
        </w:tc>
      </w:tr>
      <w:tr>
        <w:trPr>
          <w:trHeight w:val="304"/>
        </w:trPr>
        <w:tc>
          <w:tcPr>
            <w:tcW w:w="1580" w:type="dxa"/>
            <w:vAlign w:val="bottom"/>
          </w:tcPr>
          <w:p>
            <w:pPr>
              <w:ind w:left="240"/>
              <w:spacing w:after="0"/>
              <w:rPr>
                <w:sz w:val="20"/>
                <w:szCs w:val="20"/>
                <w:color w:val="auto"/>
              </w:rPr>
            </w:pPr>
            <w:r>
              <w:rPr>
                <w:rFonts w:ascii="Arial" w:cs="Arial" w:eastAsia="Arial" w:hAnsi="Arial"/>
                <w:sz w:val="18"/>
                <w:szCs w:val="18"/>
                <w:color w:val="auto"/>
                <w:w w:val="91"/>
              </w:rPr>
              <w:t>Option granted on</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740" w:type="dxa"/>
            <w:vAlign w:val="bottom"/>
            <w:gridSpan w:val="5"/>
          </w:tcPr>
          <w:p>
            <w:pPr>
              <w:spacing w:after="0"/>
              <w:rPr>
                <w:sz w:val="20"/>
                <w:szCs w:val="20"/>
                <w:color w:val="auto"/>
              </w:rPr>
            </w:pPr>
            <w:r>
              <w:rPr>
                <w:rFonts w:ascii="Arial" w:cs="Arial" w:eastAsia="Arial" w:hAnsi="Arial"/>
                <w:sz w:val="18"/>
                <w:szCs w:val="18"/>
                <w:color w:val="auto"/>
                <w:w w:val="92"/>
              </w:rPr>
              <w:t>, ___, by Brady Corporation, a Wisconsin corporation (hereinafter called the “Company”), to</w:t>
            </w: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740" w:type="dxa"/>
            <w:vAlign w:val="bottom"/>
            <w:gridSpan w:val="13"/>
          </w:tcPr>
          <w:p>
            <w:pPr>
              <w:ind w:left="40"/>
              <w:spacing w:after="0" w:line="196" w:lineRule="exact"/>
              <w:rPr>
                <w:sz w:val="20"/>
                <w:szCs w:val="20"/>
                <w:color w:val="auto"/>
              </w:rPr>
            </w:pPr>
            <w:r>
              <w:rPr>
                <w:rFonts w:ascii="Arial" w:cs="Arial" w:eastAsia="Arial" w:hAnsi="Arial"/>
                <w:sz w:val="18"/>
                <w:szCs w:val="18"/>
                <w:color w:val="auto"/>
                <w:w w:val="96"/>
              </w:rPr>
              <w:t>(hereinafter called the “Director”) pursuant to the terms of the Brady Corporation 2010 Nonqualified Stock Option Plan for Non-</w:t>
            </w:r>
          </w:p>
        </w:tc>
      </w:tr>
    </w:tbl>
    <w:p>
      <w:pPr>
        <w:spacing w:after="0" w:line="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Employee Directors. The Corporation’s records shall be the official record of the Option grant described herein and, in the event of any conflict between this description and Corporation’s records, the Corporation’s records shall control.</w:t>
      </w:r>
    </w:p>
    <w:p>
      <w:pPr>
        <w:spacing w:after="0" w:line="58" w:lineRule="exact"/>
        <w:rPr>
          <w:sz w:val="20"/>
          <w:szCs w:val="20"/>
          <w:color w:val="auto"/>
        </w:rPr>
      </w:pPr>
    </w:p>
    <w:p>
      <w:pPr>
        <w:ind w:left="420" w:hanging="187"/>
        <w:spacing w:after="0"/>
        <w:tabs>
          <w:tab w:leader="none" w:pos="4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Shares Optioned; Option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grants to the Director the right and option to purchase, on the terms and conditions hereof,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w w:val="91"/>
              </w:rPr>
              <w:t>all or any part of an aggregate of</w:t>
            </w:r>
          </w:p>
        </w:tc>
        <w:tc>
          <w:tcPr>
            <w:tcW w:w="900" w:type="dxa"/>
            <w:vAlign w:val="bottom"/>
            <w:tcBorders>
              <w:bottom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7"/>
                <w:szCs w:val="17"/>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w w:val="93"/>
              </w:rPr>
              <w:t>) shares of the presently authorized Class A Common Stock of the Company, $.01 par value,</w:t>
            </w:r>
          </w:p>
        </w:tc>
      </w:tr>
      <w:tr>
        <w:trPr>
          <w:trHeight w:val="196"/>
        </w:trPr>
        <w:tc>
          <w:tcPr>
            <w:tcW w:w="5420" w:type="dxa"/>
            <w:vAlign w:val="bottom"/>
            <w:gridSpan w:val="5"/>
          </w:tcPr>
          <w:p>
            <w:pPr>
              <w:spacing w:after="0" w:line="196" w:lineRule="exact"/>
              <w:rPr>
                <w:sz w:val="20"/>
                <w:szCs w:val="20"/>
                <w:color w:val="auto"/>
              </w:rPr>
            </w:pPr>
            <w:r>
              <w:rPr>
                <w:rFonts w:ascii="Arial" w:cs="Arial" w:eastAsia="Arial" w:hAnsi="Arial"/>
                <w:sz w:val="18"/>
                <w:szCs w:val="18"/>
                <w:color w:val="auto"/>
                <w:w w:val="90"/>
              </w:rPr>
              <w:t>whether unissued or issued and reacquired by the Company, at the price of</w:t>
            </w:r>
          </w:p>
        </w:tc>
        <w:tc>
          <w:tcPr>
            <w:tcW w:w="3640" w:type="dxa"/>
            <w:vAlign w:val="bottom"/>
            <w:tcBorders>
              <w:bottom w:val="single" w:sz="8" w:color="auto"/>
            </w:tcBorders>
          </w:tcPr>
          <w:p>
            <w:pPr>
              <w:spacing w:after="0"/>
              <w:rPr>
                <w:sz w:val="17"/>
                <w:szCs w:val="17"/>
                <w:color w:val="auto"/>
              </w:rPr>
            </w:pPr>
          </w:p>
        </w:tc>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0"/>
              </w:rPr>
              <w:t>($___) per share (the “Option</w:t>
            </w: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Price”).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90" w:lineRule="exact"/>
        <w:rPr>
          <w:sz w:val="20"/>
          <w:szCs w:val="20"/>
          <w:color w:val="auto"/>
        </w:rPr>
      </w:pPr>
    </w:p>
    <w:p>
      <w:pPr>
        <w:ind w:right="60" w:firstLine="233"/>
        <w:spacing w:after="0" w:line="258" w:lineRule="auto"/>
        <w:tabs>
          <w:tab w:leader="none" w:pos="405"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Director’s Lifetime; Vesting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hereinafter in this paragraph and in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Maximum Percentage</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w:t>
            </w:r>
          </w:p>
        </w:tc>
        <w:tc>
          <w:tcPr>
            <w:tcW w:w="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Shares for Which</w:t>
            </w:r>
          </w:p>
        </w:tc>
        <w:tc>
          <w:tcPr>
            <w:tcW w:w="0" w:type="dxa"/>
            <w:vAlign w:val="bottom"/>
          </w:tcPr>
          <w:p>
            <w:pPr>
              <w:spacing w:after="0"/>
              <w:rPr>
                <w:sz w:val="1"/>
                <w:szCs w:val="1"/>
                <w:color w:val="auto"/>
              </w:rPr>
            </w:pP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After Date of Grant of this Option</w:t>
            </w: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Option is Exercisable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Zero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2060" w:type="dxa"/>
            <w:vAlign w:val="bottom"/>
            <w:gridSpan w:val="2"/>
          </w:tcPr>
          <w:p>
            <w:pPr>
              <w:jc w:val="right"/>
              <w:ind w:right="304"/>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20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At least 3</w:t>
            </w:r>
          </w:p>
        </w:tc>
        <w:tc>
          <w:tcPr>
            <w:tcW w:w="2060" w:type="dxa"/>
            <w:vAlign w:val="bottom"/>
            <w:gridSpan w:val="2"/>
          </w:tcPr>
          <w:p>
            <w:pPr>
              <w:jc w:val="right"/>
              <w:ind w:right="3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42" w:lineRule="exact"/>
        <w:rPr>
          <w:sz w:val="20"/>
          <w:szCs w:val="20"/>
          <w:color w:val="auto"/>
        </w:rPr>
      </w:pPr>
    </w:p>
    <w:p>
      <w:pPr>
        <w:ind w:right="20" w:firstLine="233"/>
        <w:spacing w:after="0" w:line="313" w:lineRule="auto"/>
        <w:tabs>
          <w:tab w:leader="none" w:pos="405"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Directorship, Etc</w:t>
      </w:r>
      <w:r>
        <w:rPr>
          <w:rFonts w:ascii="Arial" w:cs="Arial" w:eastAsia="Arial" w:hAnsi="Arial"/>
          <w:sz w:val="17"/>
          <w:szCs w:val="17"/>
          <w:b w:val="1"/>
          <w:bCs w:val="1"/>
          <w:color w:val="auto"/>
        </w:rPr>
        <w:t xml:space="preserve">. </w:t>
      </w:r>
      <w:r>
        <w:rPr>
          <w:rFonts w:ascii="Arial" w:cs="Arial" w:eastAsia="Arial" w:hAnsi="Arial"/>
          <w:sz w:val="17"/>
          <w:szCs w:val="17"/>
          <w:color w:val="auto"/>
        </w:rPr>
        <w:t>A. Notwithstanding the provisions of paragraph 2 hereof, in the event of the termination of the Directorship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prior to three years from date of grant, due to death or disability, this Option shall become 100% vested and fully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8" w:name="page129"/>
    <w:bookmarkEnd w:id="128"/>
    <w:p>
      <w:pPr>
        <w:ind w:right="280" w:firstLine="225"/>
        <w:spacing w:after="0" w:line="277" w:lineRule="auto"/>
        <w:rPr>
          <w:sz w:val="20"/>
          <w:szCs w:val="20"/>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62"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B. (i) If the Directorship is terminated by the death of the Director,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75" w:lineRule="exact"/>
        <w:rPr>
          <w:sz w:val="20"/>
          <w:szCs w:val="20"/>
          <w:color w:val="auto"/>
        </w:rPr>
      </w:pPr>
    </w:p>
    <w:p>
      <w:pPr>
        <w:ind w:firstLine="233"/>
        <w:spacing w:after="0" w:line="258" w:lineRule="auto"/>
        <w:tabs>
          <w:tab w:leader="none" w:pos="405"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75" w:lineRule="exact"/>
        <w:rPr>
          <w:rFonts w:ascii="Arial" w:cs="Arial" w:eastAsia="Arial" w:hAnsi="Arial"/>
          <w:sz w:val="18"/>
          <w:szCs w:val="18"/>
          <w:b w:val="1"/>
          <w:bCs w:val="1"/>
          <w:color w:val="auto"/>
        </w:rPr>
      </w:pPr>
    </w:p>
    <w:p>
      <w:pPr>
        <w:ind w:right="360" w:firstLine="233"/>
        <w:spacing w:after="0" w:line="266" w:lineRule="auto"/>
        <w:tabs>
          <w:tab w:leader="none" w:pos="405"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exercised by delivering to the Company, at the office of its Treasurer, a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with respect to which this Option is at the time being exercised and by paying the Company in full the Option Price of the shares being acquired at the time.</w:t>
      </w:r>
    </w:p>
    <w:p>
      <w:pPr>
        <w:spacing w:after="0" w:line="68" w:lineRule="exact"/>
        <w:rPr>
          <w:rFonts w:ascii="Arial" w:cs="Arial" w:eastAsia="Arial" w:hAnsi="Arial"/>
          <w:sz w:val="18"/>
          <w:szCs w:val="18"/>
          <w:b w:val="1"/>
          <w:bCs w:val="1"/>
          <w:color w:val="auto"/>
        </w:rPr>
      </w:pPr>
    </w:p>
    <w:p>
      <w:pPr>
        <w:jc w:val="both"/>
        <w:ind w:right="260" w:firstLine="233"/>
        <w:spacing w:after="0" w:line="289" w:lineRule="auto"/>
        <w:tabs>
          <w:tab w:leader="none" w:pos="405" w:val="left"/>
        </w:tabs>
        <w:numPr>
          <w:ilvl w:val="1"/>
          <w:numId w:val="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shall be made either (i) in cash; (ii) by delivering shares of the Company’s Class A Common Stock which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w:t>
      </w:r>
    </w:p>
    <w:p>
      <w:pPr>
        <w:spacing w:after="0" w:line="1" w:lineRule="exact"/>
        <w:rPr>
          <w:rFonts w:ascii="Arial" w:cs="Arial" w:eastAsia="Arial" w:hAnsi="Arial"/>
          <w:sz w:val="16"/>
          <w:szCs w:val="16"/>
          <w:b w:val="1"/>
          <w:bCs w:val="1"/>
          <w:color w:val="auto"/>
        </w:rPr>
      </w:pPr>
    </w:p>
    <w:p>
      <w:pPr>
        <w:ind w:right="360" w:firstLine="8"/>
        <w:spacing w:after="0" w:line="261" w:lineRule="auto"/>
        <w:tabs>
          <w:tab w:leader="none" w:pos="3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combination of the foregoing. Payment in the form of Delivered Stock shall be in the amount of the Fair Market Value of the stock at the date of exercise, determined in accordance with paragraph 9.</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9" w:name="page130"/>
    <w:bookmarkEnd w:id="129"/>
    <w:p>
      <w:pPr>
        <w:ind w:left="380" w:hanging="187"/>
        <w:spacing w:after="0"/>
        <w:tabs>
          <w:tab w:leader="none" w:pos="3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expire ten years after the date on which this Option was granted.</w:t>
      </w:r>
    </w:p>
    <w:p>
      <w:pPr>
        <w:spacing w:after="0" w:line="117" w:lineRule="exact"/>
        <w:rPr>
          <w:rFonts w:ascii="Arial" w:cs="Arial" w:eastAsia="Arial" w:hAnsi="Arial"/>
          <w:sz w:val="18"/>
          <w:szCs w:val="18"/>
          <w:b w:val="1"/>
          <w:bCs w:val="1"/>
          <w:color w:val="auto"/>
        </w:rPr>
      </w:pPr>
    </w:p>
    <w:p>
      <w:pPr>
        <w:ind w:left="-40" w:right="40" w:firstLine="233"/>
        <w:spacing w:after="0" w:line="274" w:lineRule="auto"/>
        <w:tabs>
          <w:tab w:leader="none" w:pos="365"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payment of or withhold any tax which it believes is payable as a result of the exercise of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65" w:lineRule="exact"/>
        <w:rPr>
          <w:rFonts w:ascii="Arial" w:cs="Arial" w:eastAsia="Arial" w:hAnsi="Arial"/>
          <w:sz w:val="17"/>
          <w:szCs w:val="17"/>
          <w:b w:val="1"/>
          <w:bCs w:val="1"/>
          <w:color w:val="auto"/>
        </w:rPr>
      </w:pPr>
    </w:p>
    <w:p>
      <w:pPr>
        <w:ind w:left="-40" w:firstLine="233"/>
        <w:spacing w:after="0" w:line="298" w:lineRule="auto"/>
        <w:tabs>
          <w:tab w:leader="none" w:pos="365"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Valuation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the Class A Common Stock of the Company on any date shall mean, if the stock is then</w:t>
      </w:r>
      <w:r>
        <w:rPr>
          <w:rFonts w:ascii="Arial" w:cs="Arial" w:eastAsia="Arial" w:hAnsi="Arial"/>
          <w:sz w:val="16"/>
          <w:szCs w:val="16"/>
          <w:b w:val="1"/>
          <w:bCs w:val="1"/>
          <w:color w:val="auto"/>
        </w:rPr>
        <w:t xml:space="preserve"> </w:t>
      </w:r>
      <w:r>
        <w:rPr>
          <w:rFonts w:ascii="Arial" w:cs="Arial" w:eastAsia="Arial" w:hAnsi="Arial"/>
          <w:sz w:val="16"/>
          <w:szCs w:val="16"/>
          <w:color w:val="auto"/>
        </w:rPr>
        <w:t>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46" w:lineRule="exact"/>
        <w:rPr>
          <w:rFonts w:ascii="Arial" w:cs="Arial" w:eastAsia="Arial" w:hAnsi="Arial"/>
          <w:sz w:val="16"/>
          <w:szCs w:val="16"/>
          <w:b w:val="1"/>
          <w:bCs w:val="1"/>
          <w:color w:val="auto"/>
        </w:rPr>
      </w:pPr>
    </w:p>
    <w:p>
      <w:pPr>
        <w:ind w:left="-40" w:firstLine="233"/>
        <w:spacing w:after="0" w:line="266" w:lineRule="auto"/>
        <w:tabs>
          <w:tab w:leader="none" w:pos="455"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Director nor his heirs nor his personal representative shall have any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a stockholder of the Company in respect of any of the shares issuable upon the exercise of the Option herein granted, unless and until certificates representing such shares shall have been issued.</w:t>
      </w:r>
    </w:p>
    <w:p>
      <w:pPr>
        <w:spacing w:after="0" w:line="68" w:lineRule="exact"/>
        <w:rPr>
          <w:rFonts w:ascii="Arial" w:cs="Arial" w:eastAsia="Arial" w:hAnsi="Arial"/>
          <w:sz w:val="18"/>
          <w:szCs w:val="18"/>
          <w:b w:val="1"/>
          <w:bCs w:val="1"/>
          <w:color w:val="auto"/>
        </w:rPr>
      </w:pPr>
    </w:p>
    <w:p>
      <w:pPr>
        <w:ind w:left="-40" w:right="200" w:firstLine="233"/>
        <w:spacing w:after="0" w:line="282" w:lineRule="auto"/>
        <w:tabs>
          <w:tab w:leader="none" w:pos="445"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pacing w:after="0" w:line="53" w:lineRule="exact"/>
        <w:rPr>
          <w:rFonts w:ascii="Arial" w:cs="Arial" w:eastAsia="Arial" w:hAnsi="Arial"/>
          <w:sz w:val="18"/>
          <w:szCs w:val="18"/>
          <w:b w:val="1"/>
          <w:bCs w:val="1"/>
          <w:color w:val="auto"/>
        </w:rPr>
      </w:pPr>
    </w:p>
    <w:p>
      <w:pPr>
        <w:ind w:left="-40" w:right="120" w:firstLine="233"/>
        <w:spacing w:after="0" w:line="266" w:lineRule="auto"/>
        <w:tabs>
          <w:tab w:leader="none" w:pos="455"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herein provided, the Option herein granted and the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thereto shall not be transferred, assigned, pledged or hypothecated in any way (whether by operation of law or otherwise) and shall not be subject to execution, attachment or similar process.</w:t>
      </w:r>
    </w:p>
    <w:p>
      <w:pPr>
        <w:spacing w:after="0" w:line="68" w:lineRule="exact"/>
        <w:rPr>
          <w:rFonts w:ascii="Arial" w:cs="Arial" w:eastAsia="Arial" w:hAnsi="Arial"/>
          <w:sz w:val="18"/>
          <w:szCs w:val="18"/>
          <w:b w:val="1"/>
          <w:bCs w:val="1"/>
          <w:color w:val="auto"/>
        </w:rPr>
      </w:pPr>
    </w:p>
    <w:p>
      <w:pPr>
        <w:jc w:val="both"/>
        <w:ind w:left="-40" w:right="200" w:firstLine="233"/>
        <w:spacing w:after="0" w:line="303" w:lineRule="auto"/>
        <w:tabs>
          <w:tab w:leader="none" w:pos="455"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there are any changes in the Class A Common Stock of the Company through merger, consolidation,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2" w:right="279" w:bottom="1440" w:gutter="0" w:footer="0" w:header="0"/>
        </w:sectPr>
      </w:pPr>
    </w:p>
    <w:bookmarkStart w:id="130" w:name="page131"/>
    <w:bookmarkEnd w:id="130"/>
    <w:p>
      <w:pPr>
        <w:ind w:left="-40" w:firstLine="233"/>
        <w:spacing w:after="0" w:line="271" w:lineRule="auto"/>
        <w:tabs>
          <w:tab w:leader="none" w:pos="455"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6" w:lineRule="exact"/>
        <w:rPr>
          <w:rFonts w:ascii="Arial" w:cs="Arial" w:eastAsia="Arial" w:hAnsi="Arial"/>
          <w:sz w:val="17"/>
          <w:szCs w:val="17"/>
          <w:b w:val="1"/>
          <w:bCs w:val="1"/>
          <w:color w:val="auto"/>
        </w:rPr>
      </w:pPr>
    </w:p>
    <w:p>
      <w:pPr>
        <w:ind w:left="-40" w:firstLine="233"/>
        <w:spacing w:after="0" w:line="281" w:lineRule="auto"/>
        <w:tabs>
          <w:tab w:leader="none" w:pos="455"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to be given to the Company under the terms of this Agreement shall be addressed to the Company in care of its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56" w:lineRule="exact"/>
        <w:rPr>
          <w:rFonts w:ascii="Arial" w:cs="Arial" w:eastAsia="Arial" w:hAnsi="Arial"/>
          <w:sz w:val="17"/>
          <w:szCs w:val="17"/>
          <w:b w:val="1"/>
          <w:bCs w:val="1"/>
          <w:color w:val="auto"/>
        </w:rPr>
      </w:pPr>
    </w:p>
    <w:p>
      <w:pPr>
        <w:jc w:val="both"/>
        <w:ind w:left="-40" w:firstLine="233"/>
        <w:spacing w:after="0" w:line="261" w:lineRule="auto"/>
        <w:tabs>
          <w:tab w:leader="none" w:pos="45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in all respects to the provisions of the Plan. In the event of any conflict between any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71" w:lineRule="exact"/>
        <w:rPr>
          <w:rFonts w:ascii="Arial" w:cs="Arial" w:eastAsia="Arial" w:hAnsi="Arial"/>
          <w:sz w:val="18"/>
          <w:szCs w:val="18"/>
          <w:b w:val="1"/>
          <w:bCs w:val="1"/>
          <w:color w:val="auto"/>
        </w:rPr>
      </w:pPr>
    </w:p>
    <w:p>
      <w:pPr>
        <w:ind w:left="460" w:hanging="267"/>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has been granted in Wisconsin and shall be construed under the laws of that state.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931" w:right="27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SCHEDULE OF SUBSIDIARIES OF BRADY CORPORATION</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State (Country)</w:t>
            </w:r>
          </w:p>
        </w:tc>
        <w:tc>
          <w:tcPr>
            <w:tcW w:w="5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3220" w:type="dxa"/>
            <w:vAlign w:val="bottom"/>
            <w:gridSpan w:val="2"/>
            <w:vMerge w:val="continue"/>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94"/>
              </w:rPr>
              <w:t>Of Incorporation</w:t>
            </w:r>
          </w:p>
        </w:tc>
        <w:tc>
          <w:tcPr>
            <w:tcW w:w="56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Parent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Tricor Direct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Seton</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Name Plate Company</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D&amp;G Sign and Label</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Identification Products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Emedco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Champion America</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DAWG,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Investment Co.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Nevada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Stopware,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Permar Sytems,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New York</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Electromark</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AIO Acquisition Inc.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All-In-One Products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Personnel Concepts Limited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Personnel Concepts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PC Limited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USA Printing &amp; Mailing</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Dual Core LLC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Identicard Systems Worldwide</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Brady People ID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JAM Plastics</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PromoVision Palomino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Temtec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Mexico Holding LLC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Delaware</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Precision Converting, LLC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Doing Business As Brady Medical</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Clement Communications,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7"/>
              </w:rPr>
              <w:t>Pennsylvania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Visual Wear LLC</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6"/>
              </w:rPr>
              <w:t>Massachusetts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Doing Business As 1888LANYARD.com</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International Co.</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Worldwide, Inc.</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Also Doing Business As: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Brandon International</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Varitronic Systems</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 International</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Sorbent Products Company</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TISCOR</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Brady Australia Holdings Pty.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Brady Australia Pty. Ltd.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Seton Australia Pty.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Accidental Health &amp; Safety Pty. Ltd.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Trafalgar First Aid Pty. Ltd.</w:t>
            </w: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Carroll Australasia Pty. Ltd.</w:t>
            </w: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Scafftag Australia Pty. Ltd.</w:t>
            </w: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Australia</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State (Country)</w:t>
            </w:r>
          </w:p>
        </w:tc>
        <w:tc>
          <w:tcPr>
            <w:tcW w:w="540" w:type="dxa"/>
            <w:vAlign w:val="bottom"/>
          </w:tcPr>
          <w:p>
            <w:pPr>
              <w:spacing w:after="0"/>
              <w:rPr>
                <w:sz w:val="12"/>
                <w:szCs w:val="12"/>
                <w:color w:val="auto"/>
              </w:rPr>
            </w:pPr>
          </w:p>
        </w:tc>
        <w:tc>
          <w:tcPr>
            <w:tcW w:w="94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Of Incorporation</w:t>
            </w:r>
          </w:p>
        </w:tc>
        <w:tc>
          <w:tcPr>
            <w:tcW w:w="540" w:type="dxa"/>
            <w:vAlign w:val="bottom"/>
          </w:tcPr>
          <w:p>
            <w:pPr>
              <w:spacing w:after="0"/>
              <w:rPr>
                <w:sz w:val="14"/>
                <w:szCs w:val="14"/>
                <w:color w:val="auto"/>
              </w:rPr>
            </w:pPr>
          </w:p>
        </w:tc>
        <w:tc>
          <w:tcPr>
            <w:tcW w:w="940" w:type="dxa"/>
            <w:vAlign w:val="bottom"/>
          </w:tcPr>
          <w:p>
            <w:pPr>
              <w:jc w:val="right"/>
              <w:ind w:right="18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Visisign Australia Pty. Ltd.</w:t>
            </w:r>
          </w:p>
        </w:tc>
        <w:tc>
          <w:tcPr>
            <w:tcW w:w="5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Transposafe Systems Belgium NV/SA</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Belgium</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 Brady, N.V.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W.H.B. do Brasil Ltda.</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W.H.B. do Brasil Participações e Empreendimentos Ltda.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BRC Financial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W.H.B. Identification Solutions, Inc.</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GrafTek</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Teklynx International</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Varitronics Canada</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Cayman Finance Company</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88"/>
              </w:rPr>
              <w:t>Cayman Islands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Investment Management (Shanghai)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(Beijing)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(Shenzhen)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(Dongguan)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Suzhou Dicel EMC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Technology (Langfang)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(Suzhou) Co.,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CIPI Xiamen,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PanYu Meixin Metal Company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Tradex Converting (Suzhou) Co., Ltd.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China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A.S. (Denmark)</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Denmark</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Braton Europe S.A.R.L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Braton Groupe S.A.R.L</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Teklynx</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Group S.A.S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Signals</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BIG</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GmbH</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Seton</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Balkhausen</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Etimark</w:t>
            </w: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Teklynx</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Transposafe Systems Deutschland GmbH</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Quo-Luck Company Limited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Bakee Metal Manufactory Company Limited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Hong Kong Limited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Company India Private Limited</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India</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Converting (Ireland) Ltd.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Italia, S.r.l.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Italy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Nippon Brady K.K.</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Luxembourg SARL</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Luxembourg</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SDN, BHD</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 H. Brady S. de R.L. de C.V.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Mexico</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Servicios, S. de R.L. de C.V.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B.V.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Finance B.V.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Holland Mounting Holding B.V.</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Holland B.V.</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Brady A.S. (Norway)</w:t>
            </w:r>
          </w:p>
        </w:tc>
        <w:tc>
          <w:tcPr>
            <w:tcW w:w="5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Norway</w:t>
            </w:r>
          </w:p>
        </w:tc>
        <w:tc>
          <w:tcPr>
            <w:tcW w:w="148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Brady Philippines Direct Marketing Inc.</w:t>
            </w: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8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099"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6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State (Country)</w:t>
            </w:r>
          </w:p>
        </w:tc>
        <w:tc>
          <w:tcPr>
            <w:tcW w:w="520" w:type="dxa"/>
            <w:vAlign w:val="bottom"/>
          </w:tcPr>
          <w:p>
            <w:pPr>
              <w:spacing w:after="0"/>
              <w:rPr>
                <w:sz w:val="12"/>
                <w:szCs w:val="12"/>
                <w:color w:val="auto"/>
              </w:rPr>
            </w:pPr>
          </w:p>
        </w:tc>
        <w:tc>
          <w:tcPr>
            <w:tcW w:w="94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of Voting</w:t>
            </w:r>
          </w:p>
        </w:tc>
        <w:tc>
          <w:tcPr>
            <w:tcW w:w="0" w:type="dxa"/>
            <w:vAlign w:val="bottom"/>
          </w:tcPr>
          <w:p>
            <w:pPr>
              <w:spacing w:after="0"/>
              <w:rPr>
                <w:sz w:val="1"/>
                <w:szCs w:val="1"/>
                <w:color w:val="auto"/>
              </w:rPr>
            </w:pPr>
          </w:p>
        </w:tc>
      </w:tr>
      <w:tr>
        <w:trPr>
          <w:trHeight w:val="14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5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jc w:val="right"/>
              <w:ind w:right="104"/>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 Incorporation</w:t>
            </w:r>
          </w:p>
        </w:tc>
        <w:tc>
          <w:tcPr>
            <w:tcW w:w="520" w:type="dxa"/>
            <w:vAlign w:val="bottom"/>
          </w:tcPr>
          <w:p>
            <w:pPr>
              <w:spacing w:after="0"/>
              <w:rPr>
                <w:sz w:val="14"/>
                <w:szCs w:val="14"/>
                <w:color w:val="auto"/>
              </w:rPr>
            </w:pPr>
          </w:p>
        </w:tc>
        <w:tc>
          <w:tcPr>
            <w:tcW w:w="9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8"/>
                <w:szCs w:val="18"/>
                <w:color w:val="auto"/>
              </w:rPr>
              <w:t>Transposafe Systems Polska Sp. Z.o.o.</w:t>
            </w:r>
          </w:p>
        </w:tc>
        <w:tc>
          <w:tcPr>
            <w:tcW w:w="5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Poland</w:t>
            </w:r>
          </w:p>
        </w:tc>
        <w:tc>
          <w:tcPr>
            <w:tcW w:w="520" w:type="dxa"/>
            <w:vAlign w:val="bottom"/>
          </w:tcPr>
          <w:p>
            <w:pPr>
              <w:spacing w:after="0"/>
              <w:rPr>
                <w:sz w:val="18"/>
                <w:szCs w:val="18"/>
                <w:color w:val="auto"/>
              </w:rPr>
            </w:pPr>
          </w:p>
        </w:tc>
        <w:tc>
          <w:tcPr>
            <w:tcW w:w="940" w:type="dxa"/>
            <w:vAlign w:val="bottom"/>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S.E.A. Pte.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Corporation Asia Pte.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Asia Holding Pte.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Corporation Asia Pacific Pte.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Asia Pacific Pte.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Singapore</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S.R.O.</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Slovakia</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Korea LLP</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South Korea</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Identification S.L.</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Spain</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AB</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Sweden Holding AB</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Holding i Kungälv AB</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Converting AB</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Tradex AB</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Sweden</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Holding Co.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Thailand</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(Thailand) Co. Ltd.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Thailand</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Technologies (Thailand) Co. Ltd.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Thailand</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Etiket ve Isaretleme Ticaret Ltd. Sirketi</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Turkey</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Middle East FZE</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w w:val="91"/>
              </w:rPr>
              <w:t>United Arab Emirates</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B.I. U.K.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B.I. Financial Limited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Brady European Finance Limited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Holdings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Scafftag Limited</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Safetrak Limited</w:t>
            </w:r>
          </w:p>
        </w:tc>
        <w:tc>
          <w:tcPr>
            <w:tcW w:w="2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United Kingdom</w:t>
            </w:r>
          </w:p>
        </w:tc>
        <w:tc>
          <w:tcPr>
            <w:tcW w:w="14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3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333-38857, 333-38859, 333-44505, 333-92417, 333-99615, 333-110949, 333-122867, 333-134503, 333-137686, and 333-141402 on Form S-8 and 333-128023 and 333-155632 on Form S-3 of our reports dated September 28, 2009, relating to the consolidated financial statements and financial statement schedule of Brady Corporation and the effectiveness of internal control over financial reporting, appearing in this Annual Report on Form 10-K of Brady Corporation for the year ended July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2009</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2009</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17" w:lineRule="exact"/>
        <w:rPr>
          <w:sz w:val="20"/>
          <w:szCs w:val="20"/>
          <w:color w:val="auto"/>
        </w:rPr>
      </w:pPr>
    </w:p>
    <w:p>
      <w:pPr>
        <w:ind w:left="480" w:hanging="247"/>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6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0" w:firstLine="221"/>
        <w:spacing w:after="0" w:line="308" w:lineRule="auto"/>
        <w:tabs>
          <w:tab w:leader="none" w:pos="650"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20" w:firstLine="221"/>
        <w:spacing w:after="0" w:line="264"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firstLine="221"/>
        <w:spacing w:after="0" w:line="277" w:lineRule="auto"/>
        <w:tabs>
          <w:tab w:leader="none" w:pos="6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40" w:firstLine="221"/>
        <w:spacing w:after="0" w:line="277"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2009</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400" w:firstLine="221"/>
        <w:spacing w:after="0" w:line="277" w:lineRule="auto"/>
        <w:tabs>
          <w:tab w:leader="none" w:pos="7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Report on Form 10-K/A of the Company for the year ended July 31,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420" w:firstLine="221"/>
        <w:spacing w:after="0" w:line="277" w:lineRule="auto"/>
        <w:tabs>
          <w:tab w:leader="none" w:pos="7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that Form 10-K/A fairly presents, in all material respects, the financial conditions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2009</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400" w:firstLine="221"/>
        <w:spacing w:after="0" w:line="277" w:lineRule="auto"/>
        <w:tabs>
          <w:tab w:leader="none" w:pos="7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Annual Report on Form 10-K/A of the Company for the year ended July 31, 2009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420" w:firstLine="221"/>
        <w:spacing w:after="0" w:line="277" w:lineRule="auto"/>
        <w:tabs>
          <w:tab w:leader="none" w:pos="7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that Form 10-K/A fairly presents, in all material respects, the financial conditions and results of operations of the Company.</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2009</w:t>
      </w:r>
    </w:p>
    <w:p>
      <w:pPr>
        <w:spacing w:after="0" w:line="117"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o"/>
      <w:numFmt w:val="bullet"/>
      <w:start w:val="1"/>
    </w:lvl>
  </w:abstractNum>
  <w:abstractNum w:abstractNumId="2">
    <w:nsid w:val="75C6C33A"/>
    <w:multiLevelType w:val="hybridMultilevel"/>
    <w:lvl w:ilvl="0">
      <w:lvlJc w:val="left"/>
      <w:lvlText w:val="(%1)"/>
      <w:numFmt w:val="lowerLetter"/>
      <w:start w:val="1"/>
    </w:lvl>
  </w:abstractNum>
  <w:abstractNum w:abstractNumId="3">
    <w:nsid w:val="12E685FB"/>
    <w:multiLevelType w:val="hybridMultilevel"/>
    <w:lvl w:ilvl="0">
      <w:lvlJc w:val="left"/>
      <w:lvlText w:val="(%1)"/>
      <w:numFmt w:val="lowerLetter"/>
      <w:start w:val="2"/>
    </w:lvl>
  </w:abstractNum>
  <w:abstractNum w:abstractNumId="4">
    <w:nsid w:val="70C6A529"/>
    <w:multiLevelType w:val="hybridMultilevel"/>
    <w:lvl w:ilvl="0">
      <w:lvlJc w:val="left"/>
      <w:lvlText w:val="(%1)"/>
      <w:numFmt w:val="lowerLetter"/>
      <w:start w:val="3"/>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1)"/>
      <w:numFmt w:val="lowerLetter"/>
      <w:start w:val="4"/>
    </w:lvl>
  </w:abstractNum>
  <w:abstractNum w:abstractNumId="13">
    <w:nsid w:val="180115BE"/>
    <w:multiLevelType w:val="hybridMultilevel"/>
    <w:lvl w:ilvl="0">
      <w:lvlJc w:val="left"/>
      <w:lvlText w:val="(%1)"/>
      <w:numFmt w:val="lowerLetter"/>
      <w:start w:val="5"/>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lowerLetter"/>
      <w:start w:val="1"/>
    </w:lvl>
  </w:abstractNum>
  <w:abstractNum w:abstractNumId="16">
    <w:nsid w:val="354FE9F9"/>
    <w:multiLevelType w:val="hybridMultilevel"/>
    <w:lvl w:ilvl="0">
      <w:lvlJc w:val="left"/>
      <w:lvlText w:val="(%1)"/>
      <w:numFmt w:val="lowerLetter"/>
      <w:start w:val="2"/>
    </w:lvl>
  </w:abstractNum>
  <w:abstractNum w:abstractNumId="17">
    <w:nsid w:val="15B5AF5C"/>
    <w:multiLevelType w:val="hybridMultilevel"/>
    <w:lvl w:ilvl="0">
      <w:lvlJc w:val="left"/>
      <w:lvlText w:val="(%1)"/>
      <w:numFmt w:val="lowerLetter"/>
      <w:start w:val="3"/>
    </w:lvl>
  </w:abstractNum>
  <w:abstractNum w:abstractNumId="18">
    <w:nsid w:val="741226BB"/>
    <w:multiLevelType w:val="hybridMultilevel"/>
    <w:lvl w:ilvl="0">
      <w:lvlJc w:val="left"/>
      <w:lvlText w:val="(%1)"/>
      <w:numFmt w:val="lowerLetter"/>
      <w:start w:val="5"/>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decimal"/>
      <w:start w:val="2"/>
    </w:lvl>
  </w:abstractNum>
  <w:abstractNum w:abstractNumId="24">
    <w:nsid w:val="77AE35EB"/>
    <w:multiLevelType w:val="hybridMultilevel"/>
    <w:lvl w:ilvl="0">
      <w:lvlJc w:val="left"/>
      <w:lvlText w:val="(%1)"/>
      <w:numFmt w:val="lowerLetter"/>
      <w:start w:val="2"/>
    </w:lvl>
  </w:abstractNum>
  <w:abstractNum w:abstractNumId="25">
    <w:nsid w:val="579BE4F1"/>
    <w:multiLevelType w:val="hybridMultilevel"/>
    <w:lvl w:ilvl="0">
      <w:lvlJc w:val="left"/>
      <w:lvlText w:val="%1)"/>
      <w:numFmt w:val="lowerLetter"/>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2"/>
    </w:lvl>
  </w:abstractNum>
  <w:abstractNum w:abstractNumId="38">
    <w:nsid w:val="5F5E7FD0"/>
    <w:multiLevelType w:val="hybridMultilevel"/>
    <w:lvl w:ilvl="0">
      <w:lvlJc w:val="left"/>
      <w:lvlText w:val="(%1)"/>
      <w:numFmt w:val="decimal"/>
      <w:start w:val="4"/>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1)"/>
      <w:numFmt w:val="decimal"/>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1)"/>
      <w:numFmt w:val="lowerLetter"/>
      <w:start w:val="2"/>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lowerLetter"/>
      <w:start w:val="3"/>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upperLetter"/>
      <w:start w:val="9"/>
    </w:lvl>
  </w:abstractNum>
  <w:abstractNum w:abstractNumId="60">
    <w:nsid w:val="60B6DF70"/>
    <w:multiLevelType w:val="hybridMultilevel"/>
    <w:lvl w:ilvl="0">
      <w:lvlJc w:val="left"/>
      <w:lvlText w:val="%1."/>
      <w:numFmt w:val="upperLetter"/>
      <w:start w:val="35"/>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lowerLetter"/>
      <w:start w:val="5"/>
    </w:lvl>
  </w:abstractNum>
  <w:abstractNum w:abstractNumId="63">
    <w:nsid w:val="7FFFCA11"/>
    <w:multiLevelType w:val="hybridMultilevel"/>
    <w:lvl w:ilvl="0">
      <w:lvlJc w:val="left"/>
      <w:lvlText w:val="%1"/>
      <w:numFmt w:val="upperLetter"/>
      <w:start w:val="1"/>
    </w:lvl>
    <w:lvl w:ilvl="1">
      <w:lvlJc w:val="left"/>
      <w:lvlText w:val="(%2)"/>
      <w:numFmt w:val="lowerLetter"/>
      <w:start w:val="14"/>
    </w:lvl>
  </w:abstractNum>
  <w:abstractNum w:abstractNumId="64">
    <w:nsid w:val="1A27709E"/>
    <w:multiLevelType w:val="hybridMultilevel"/>
    <w:lvl w:ilvl="0">
      <w:lvlJc w:val="left"/>
      <w:lvlText w:val="%1."/>
      <w:numFmt w:val="upperLetter"/>
      <w:start w:val="61"/>
    </w:lvl>
    <w:lvl w:ilvl="1">
      <w:lvlJc w:val="left"/>
      <w:lvlText w:val="%2"/>
      <w:numFmt w:val="lowerLetter"/>
      <w:start w:val="1"/>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upperLetter"/>
      <w:start w:val="22"/>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5"/>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3"/>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upperLetter"/>
      <w:start w:val="24"/>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decimal"/>
      <w:start w:val="5"/>
    </w:lvl>
    <w:lvl w:ilvl="1">
      <w:lvlJc w:val="left"/>
      <w:lvlText w:val="(%2)"/>
      <w:numFmt w:val="lowerLetter"/>
      <w:start w:val="1"/>
    </w:lvl>
  </w:abstractNum>
  <w:abstractNum w:abstractNumId="76">
    <w:nsid w:val="3222E7CD"/>
    <w:multiLevelType w:val="hybridMultilevel"/>
    <w:lvl w:ilvl="0">
      <w:lvlJc w:val="left"/>
      <w:lvlText w:val="(%1)"/>
      <w:numFmt w:val="lowerLetter"/>
      <w:start w:val="3"/>
    </w:lvl>
  </w:abstractNum>
  <w:abstractNum w:abstractNumId="77">
    <w:nsid w:val="74DE0EE3"/>
    <w:multiLevelType w:val="hybridMultilevel"/>
    <w:lvl w:ilvl="0">
      <w:lvlJc w:val="left"/>
      <w:lvlText w:val="(%1)"/>
      <w:numFmt w:val="lowerRoman"/>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decimal"/>
      <w:start w:val="3"/>
    </w:lvl>
    <w:lvl w:ilvl="1">
      <w:lvlJc w:val="left"/>
      <w:lvlText w:val="(%2)"/>
      <w:numFmt w:val="lowerLetter"/>
      <w:start w:val="1"/>
    </w:lvl>
  </w:abstractNum>
  <w:abstractNum w:abstractNumId="80">
    <w:nsid w:val="46B7D447"/>
    <w:multiLevelType w:val="hybridMultilevel"/>
    <w:lvl w:ilvl="0">
      <w:lvlJc w:val="left"/>
      <w:lvlText w:val="%1."/>
      <w:numFmt w:val="decimal"/>
      <w:start w:val="5"/>
    </w:lvl>
  </w:abstractNum>
  <w:abstractNum w:abstractNumId="81">
    <w:nsid w:val="4A2AC315"/>
    <w:multiLevelType w:val="hybridMultilevel"/>
    <w:lvl w:ilvl="0">
      <w:lvlJc w:val="left"/>
      <w:lvlText w:val="%1."/>
      <w:numFmt w:val="decimal"/>
      <w:start w:val="10"/>
    </w:lvl>
  </w:abstractNum>
  <w:abstractNum w:abstractNumId="82">
    <w:nsid w:val="39EE015C"/>
    <w:multiLevelType w:val="hybridMultilevel"/>
    <w:lvl w:ilvl="0">
      <w:lvlJc w:val="left"/>
      <w:lvlText w:val="%1."/>
      <w:numFmt w:val="decimal"/>
      <w:start w:val="15"/>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3"/>
    </w:lvl>
    <w:lvl w:ilvl="1">
      <w:lvlJc w:val="left"/>
      <w:lvlText w:val="(%2)"/>
      <w:numFmt w:val="lowerLetter"/>
      <w:start w:val="1"/>
    </w:lvl>
  </w:abstractNum>
  <w:abstractNum w:abstractNumId="85">
    <w:nsid w:val="43F18422"/>
    <w:multiLevelType w:val="hybridMultilevel"/>
    <w:lvl w:ilvl="0">
      <w:lvlJc w:val="left"/>
      <w:lvlText w:val="%1"/>
      <w:numFmt w:val="decimal"/>
      <w:start w:val="1"/>
    </w:lvl>
    <w:lvl w:ilvl="1">
      <w:lvlJc w:val="left"/>
      <w:lvlText w:val="(%2)"/>
      <w:numFmt w:val="lowerLetter"/>
      <w:start w:val="4"/>
    </w:lvl>
  </w:abstractNum>
  <w:abstractNum w:abstractNumId="86">
    <w:nsid w:val="60EF0119"/>
    <w:multiLevelType w:val="hybridMultilevel"/>
    <w:lvl w:ilvl="0">
      <w:lvlJc w:val="left"/>
      <w:lvlText w:val="%1."/>
      <w:numFmt w:val="decimal"/>
      <w:start w:val="4"/>
    </w:lvl>
    <w:lvl w:ilvl="1">
      <w:lvlJc w:val="left"/>
      <w:lvlText w:val="%2"/>
      <w:numFmt w:val="lowerLetter"/>
      <w:start w:val="1"/>
    </w:lvl>
  </w:abstractNum>
  <w:abstractNum w:abstractNumId="87">
    <w:nsid w:val="26F324BA"/>
    <w:multiLevelType w:val="hybridMultilevel"/>
    <w:lvl w:ilvl="0">
      <w:lvlJc w:val="left"/>
      <w:lvlText w:val="%1."/>
      <w:numFmt w:val="decimal"/>
      <w:start w:val="8"/>
    </w:lvl>
  </w:abstractNum>
  <w:abstractNum w:abstractNumId="88">
    <w:nsid w:val="7F01579B"/>
    <w:multiLevelType w:val="hybridMultilevel"/>
    <w:lvl w:ilvl="0">
      <w:lvlJc w:val="left"/>
      <w:lvlText w:val="%1."/>
      <w:numFmt w:val="decimal"/>
      <w:start w:val="12"/>
    </w:lvl>
  </w:abstractNum>
  <w:abstractNum w:abstractNumId="89">
    <w:nsid w:val="49DA307D"/>
    <w:multiLevelType w:val="hybridMultilevel"/>
    <w:lvl w:ilvl="0">
      <w:lvlJc w:val="left"/>
      <w:lvlText w:val="%1."/>
      <w:numFmt w:val="decimal"/>
      <w:start w:val="16"/>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2"/>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lowerRoman"/>
      <w:start w:val="1"/>
    </w:lvl>
    <w:lvl w:ilvl="1">
      <w:lvlJc w:val="left"/>
      <w:lvlText w:val="%2."/>
      <w:numFmt w:val="decimal"/>
      <w:start w:val="4"/>
    </w:lvl>
  </w:abstractNum>
  <w:abstractNum w:abstractNumId="94">
    <w:nsid w:val="5FB8011C"/>
    <w:multiLevelType w:val="hybridMultilevel"/>
    <w:lvl w:ilvl="0">
      <w:lvlJc w:val="left"/>
      <w:lvlText w:val="(%1)"/>
      <w:numFmt w:val="lowerRoman"/>
      <w:start w:val="4"/>
    </w:lvl>
    <w:lvl w:ilvl="1">
      <w:lvlJc w:val="left"/>
      <w:lvlText w:val="%2"/>
      <w:numFmt w:val="decimal"/>
      <w:start w:val="1"/>
    </w:lvl>
  </w:abstractNum>
  <w:abstractNum w:abstractNumId="95">
    <w:nsid w:val="6AA78F7F"/>
    <w:multiLevelType w:val="hybridMultilevel"/>
    <w:lvl w:ilvl="0">
      <w:lvlJc w:val="left"/>
      <w:lvlText w:val="%1."/>
      <w:numFmt w:val="decimal"/>
      <w:start w:val="7"/>
    </w:lvl>
  </w:abstractNum>
  <w:abstractNum w:abstractNumId="96">
    <w:nsid w:val="7672BD23"/>
    <w:multiLevelType w:val="hybridMultilevel"/>
    <w:lvl w:ilvl="0">
      <w:lvlJc w:val="left"/>
      <w:lvlText w:val="%1."/>
      <w:numFmt w:val="decimal"/>
      <w:start w:val="14"/>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2019-12-10T05:51:23Z</dcterms:created>
  <dcterms:modified xsi:type="dcterms:W3CDTF">2019-12-10T05:51:23Z</dcterms:modified>
</cp:coreProperties>
</file>