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88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883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Curran Bentley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6555 WEST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BRADY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09/20/2019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CIO &amp; VP - Digital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MILWAUKEE</w:t>
            </w:r>
          </w:p>
        </w:tc>
        <w:tc>
          <w:tcPr>
            <w:tcW w:w="960" w:type="dxa"/>
            <w:vAlign w:val="bottom"/>
          </w:tcPr>
          <w:p>
            <w:pPr>
              <w:ind w:left="120"/>
              <w:spacing w:after="0"/>
              <w:rPr>
                <w:sz w:val="20"/>
                <w:szCs w:val="20"/>
                <w:color w:val="auto"/>
              </w:rPr>
            </w:pPr>
            <w:r>
              <w:rPr>
                <w:rFonts w:ascii="Arial" w:cs="Arial" w:eastAsia="Arial" w:hAnsi="Arial"/>
                <w:sz w:val="18"/>
                <w:szCs w:val="18"/>
                <w:color w:val="0000FF"/>
              </w:rPr>
              <w:t>WI</w:t>
            </w:r>
          </w:p>
        </w:tc>
        <w:tc>
          <w:tcPr>
            <w:tcW w:w="1680" w:type="dxa"/>
            <w:vAlign w:val="bottom"/>
          </w:tcPr>
          <w:p>
            <w:pPr>
              <w:ind w:left="420"/>
              <w:spacing w:after="0"/>
              <w:rPr>
                <w:sz w:val="20"/>
                <w:szCs w:val="20"/>
                <w:color w:val="auto"/>
              </w:rPr>
            </w:pPr>
            <w:r>
              <w:rPr>
                <w:rFonts w:ascii="Arial" w:cs="Arial" w:eastAsia="Arial" w:hAnsi="Arial"/>
                <w:sz w:val="18"/>
                <w:szCs w:val="18"/>
                <w:color w:val="0000FF"/>
              </w:rPr>
              <w:t>53223</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jc w:val="center"/>
              <w:ind w:left="64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860" w:type="dxa"/>
            <w:vAlign w:val="bottom"/>
            <w:tcBorders>
              <w:bottom w:val="single" w:sz="8" w:color="2C2C2C"/>
            </w:tcBorders>
          </w:tcPr>
          <w:p>
            <w:pPr>
              <w:jc w:val="center"/>
              <w:ind w:left="666"/>
              <w:spacing w:after="0"/>
              <w:rPr>
                <w:sz w:val="20"/>
                <w:szCs w:val="20"/>
                <w:color w:val="auto"/>
              </w:rPr>
            </w:pPr>
            <w:r>
              <w:rPr>
                <w:rFonts w:ascii="Arial" w:cs="Arial" w:eastAsia="Arial" w:hAnsi="Arial"/>
                <w:sz w:val="18"/>
                <w:szCs w:val="18"/>
                <w:color w:val="0000FF"/>
                <w:w w:val="88"/>
              </w:rPr>
              <w:t>09/20/2019</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1,234</w:t>
            </w:r>
            <w:r>
              <w:rPr>
                <w:rFonts w:ascii="Arial" w:cs="Arial" w:eastAsia="Arial" w:hAnsi="Arial"/>
                <w:sz w:val="22"/>
                <w:szCs w:val="22"/>
                <w:color w:val="008000"/>
                <w:w w:val="85"/>
                <w:vertAlign w:val="superscript"/>
              </w:rPr>
              <w:t>(1)</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19,401</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860" w:type="dxa"/>
            <w:vAlign w:val="bottom"/>
            <w:tcBorders>
              <w:bottom w:val="single" w:sz="8" w:color="2C2C2C"/>
            </w:tcBorders>
          </w:tcPr>
          <w:p>
            <w:pPr>
              <w:jc w:val="center"/>
              <w:ind w:left="666"/>
              <w:spacing w:after="0"/>
              <w:rPr>
                <w:sz w:val="20"/>
                <w:szCs w:val="20"/>
                <w:color w:val="auto"/>
              </w:rPr>
            </w:pPr>
            <w:r>
              <w:rPr>
                <w:rFonts w:ascii="Arial" w:cs="Arial" w:eastAsia="Arial" w:hAnsi="Arial"/>
                <w:sz w:val="18"/>
                <w:szCs w:val="18"/>
                <w:color w:val="0000FF"/>
                <w:w w:val="88"/>
              </w:rPr>
              <w:t>09/22/2019</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248</w:t>
            </w:r>
            <w:r>
              <w:rPr>
                <w:rFonts w:ascii="Arial" w:cs="Arial" w:eastAsia="Arial" w:hAnsi="Arial"/>
                <w:sz w:val="22"/>
                <w:szCs w:val="22"/>
                <w:color w:val="008000"/>
                <w:w w:val="79"/>
                <w:vertAlign w:val="superscript"/>
              </w:rPr>
              <w:t>(2)</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54.05</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19,153</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Class A Common Stock</w:t>
            </w:r>
          </w:p>
        </w:tc>
        <w:tc>
          <w:tcPr>
            <w:tcW w:w="1860" w:type="dxa"/>
            <w:vAlign w:val="bottom"/>
            <w:tcBorders>
              <w:bottom w:val="single" w:sz="8" w:color="2C2C2C"/>
            </w:tcBorders>
          </w:tcPr>
          <w:p>
            <w:pPr>
              <w:jc w:val="center"/>
              <w:ind w:left="666"/>
              <w:spacing w:after="0"/>
              <w:rPr>
                <w:sz w:val="20"/>
                <w:szCs w:val="20"/>
                <w:color w:val="auto"/>
              </w:rPr>
            </w:pPr>
            <w:r>
              <w:rPr>
                <w:rFonts w:ascii="Arial" w:cs="Arial" w:eastAsia="Arial" w:hAnsi="Arial"/>
                <w:sz w:val="18"/>
                <w:szCs w:val="18"/>
                <w:color w:val="0000FF"/>
                <w:w w:val="88"/>
              </w:rPr>
              <w:t>09/23/2019</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79"/>
              </w:rPr>
              <w:t>259</w:t>
            </w:r>
            <w:r>
              <w:rPr>
                <w:rFonts w:ascii="Arial" w:cs="Arial" w:eastAsia="Arial" w:hAnsi="Arial"/>
                <w:sz w:val="22"/>
                <w:szCs w:val="22"/>
                <w:color w:val="008000"/>
                <w:w w:val="79"/>
                <w:vertAlign w:val="superscript"/>
              </w:rPr>
              <w:t>(3)</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53.77</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18,894</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16"/>
                <w:szCs w:val="16"/>
                <w:color w:val="auto"/>
              </w:rPr>
            </w:pPr>
          </w:p>
        </w:tc>
        <w:tc>
          <w:tcPr>
            <w:tcW w:w="700" w:type="dxa"/>
            <w:vAlign w:val="bottom"/>
          </w:tcPr>
          <w:p>
            <w:pPr>
              <w:ind w:left="100"/>
              <w:spacing w:after="0"/>
              <w:rPr>
                <w:sz w:val="20"/>
                <w:szCs w:val="20"/>
                <w:color w:val="auto"/>
              </w:rPr>
            </w:pPr>
            <w:r>
              <w:rPr>
                <w:rFonts w:ascii="Arial" w:cs="Arial" w:eastAsia="Arial" w:hAnsi="Arial"/>
                <w:sz w:val="14"/>
                <w:szCs w:val="14"/>
                <w:color w:val="0000FF"/>
              </w:rPr>
              <w:t>Class A</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6,196</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54.05</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09/20/2019</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6,196</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w w:val="94"/>
              </w:rPr>
              <w:t>09/20/2029</w:t>
            </w:r>
          </w:p>
        </w:tc>
        <w:tc>
          <w:tcPr>
            <w:tcW w:w="7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6,196</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withheld to cover taxes on 528 restricted stock units that vested on September 22, 2019.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shares withheld to cover taxes on 553 restricted stock units that vested on September 23, 2019.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options exercisable one third each year for the three years subsequent to the grant date.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6"/>
              </w:rPr>
              <w:t>Heidi Knueppel,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09/24/2019</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7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7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0831"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2019-12-23T15:00:01Z</dcterms:created>
  <dcterms:modified xsi:type="dcterms:W3CDTF">2019-12-23T15:00:01Z</dcterms:modified>
</cp:coreProperties>
</file>