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482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482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95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PUNGELLO ELIZABETH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94 RED BUD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09/22/2008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0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23"/>
          </w:cols>
          <w:pgMar w:left="240" w:top="226" w:right="179" w:bottom="958"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CHAPEL HILL</w:t>
            </w:r>
          </w:p>
        </w:tc>
        <w:tc>
          <w:tcPr>
            <w:tcW w:w="920" w:type="dxa"/>
            <w:vAlign w:val="bottom"/>
          </w:tcPr>
          <w:p>
            <w:pPr>
              <w:ind w:left="80"/>
              <w:spacing w:after="0"/>
              <w:rPr>
                <w:sz w:val="20"/>
                <w:szCs w:val="20"/>
                <w:color w:val="auto"/>
              </w:rPr>
            </w:pPr>
            <w:r>
              <w:rPr>
                <w:rFonts w:ascii="Arial" w:cs="Arial" w:eastAsia="Arial" w:hAnsi="Arial"/>
                <w:sz w:val="18"/>
                <w:szCs w:val="18"/>
                <w:color w:val="0000FF"/>
              </w:rPr>
              <w:t>NC</w:t>
            </w:r>
          </w:p>
        </w:tc>
        <w:tc>
          <w:tcPr>
            <w:tcW w:w="1680" w:type="dxa"/>
            <w:vAlign w:val="bottom"/>
          </w:tcPr>
          <w:p>
            <w:pPr>
              <w:ind w:left="420"/>
              <w:spacing w:after="0"/>
              <w:rPr>
                <w:sz w:val="20"/>
                <w:szCs w:val="20"/>
                <w:color w:val="auto"/>
              </w:rPr>
            </w:pPr>
            <w:r>
              <w:rPr>
                <w:rFonts w:ascii="Arial" w:cs="Arial" w:eastAsia="Arial" w:hAnsi="Arial"/>
                <w:sz w:val="18"/>
                <w:szCs w:val="18"/>
                <w:color w:val="0000FF"/>
              </w:rPr>
              <w:t>27514</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00"/>
          </w:cols>
          <w:pgMar w:left="240" w:top="226" w:right="179" w:bottom="958"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w w:val="90"/>
              </w:rPr>
              <w:t>Class A Common Stock (Robert and</w:t>
            </w:r>
          </w:p>
        </w:tc>
        <w:tc>
          <w:tcPr>
            <w:tcW w:w="1720" w:type="dxa"/>
            <w:vAlign w:val="bottom"/>
            <w:gridSpan w:val="2"/>
            <w:vMerge w:val="restart"/>
          </w:tcPr>
          <w:p>
            <w:pPr>
              <w:ind w:left="720"/>
              <w:spacing w:after="0"/>
              <w:rPr>
                <w:sz w:val="20"/>
                <w:szCs w:val="20"/>
                <w:color w:val="auto"/>
              </w:rPr>
            </w:pPr>
            <w:r>
              <w:rPr>
                <w:rFonts w:ascii="Arial" w:cs="Arial" w:eastAsia="Arial" w:hAnsi="Arial"/>
                <w:sz w:val="18"/>
                <w:szCs w:val="18"/>
                <w:color w:val="0000FF"/>
              </w:rPr>
              <w:t>09/22/2008</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jc w:val="center"/>
              <w:ind w:right="238"/>
              <w:spacing w:after="0"/>
              <w:rPr>
                <w:sz w:val="20"/>
                <w:szCs w:val="20"/>
                <w:color w:val="auto"/>
              </w:rPr>
            </w:pPr>
            <w:r>
              <w:rPr>
                <w:rFonts w:ascii="Arial" w:cs="Arial" w:eastAsia="Arial" w:hAnsi="Arial"/>
                <w:sz w:val="14"/>
                <w:szCs w:val="14"/>
                <w:color w:val="0000FF"/>
                <w:w w:val="91"/>
              </w:rPr>
              <w:t>G</w:t>
            </w:r>
          </w:p>
        </w:tc>
        <w:tc>
          <w:tcPr>
            <w:tcW w:w="700" w:type="dxa"/>
            <w:vAlign w:val="bottom"/>
            <w:vMerge w:val="restart"/>
          </w:tcPr>
          <w:p>
            <w:pPr>
              <w:ind w:left="260"/>
              <w:spacing w:after="0"/>
              <w:rPr>
                <w:sz w:val="20"/>
                <w:szCs w:val="20"/>
                <w:color w:val="auto"/>
              </w:rPr>
            </w:pPr>
            <w:r>
              <w:rPr>
                <w:rFonts w:ascii="Arial" w:cs="Arial" w:eastAsia="Arial" w:hAnsi="Arial"/>
                <w:sz w:val="18"/>
                <w:szCs w:val="18"/>
                <w:color w:val="0000FF"/>
                <w:w w:val="93"/>
              </w:rPr>
              <w:t>6,667</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560" w:type="dxa"/>
            <w:vAlign w:val="bottom"/>
            <w:vMerge w:val="restart"/>
          </w:tcPr>
          <w:p>
            <w:pPr>
              <w:ind w:left="10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37.5</w:t>
            </w: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4"/>
              </w:rPr>
              <w:t>293,333</w:t>
            </w:r>
            <w:r>
              <w:rPr>
                <w:rFonts w:ascii="Arial" w:cs="Arial" w:eastAsia="Arial" w:hAnsi="Arial"/>
                <w:sz w:val="22"/>
                <w:szCs w:val="22"/>
                <w:color w:val="008000"/>
                <w:w w:val="84"/>
                <w:vertAlign w:val="superscript"/>
              </w:rPr>
              <w:t>(2)</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Elizabeth Pungello JTWROS)</w:t>
            </w:r>
          </w:p>
        </w:tc>
        <w:tc>
          <w:tcPr>
            <w:tcW w:w="1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820" w:type="dxa"/>
            <w:vAlign w:val="bottom"/>
            <w:tcBorders>
              <w:bottom w:val="single" w:sz="8" w:color="2C2C2C"/>
            </w:tcBorders>
            <w:gridSpan w:val="4"/>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Class B Common Stock (Brady Corporation</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1,769,304</w:t>
            </w:r>
            <w:r>
              <w:rPr>
                <w:rFonts w:ascii="Arial" w:cs="Arial" w:eastAsia="Arial" w:hAnsi="Arial"/>
                <w:sz w:val="22"/>
                <w:szCs w:val="22"/>
                <w:color w:val="008000"/>
                <w:w w:val="85"/>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980" w:type="dxa"/>
            <w:vAlign w:val="bottom"/>
            <w:gridSpan w:val="3"/>
            <w:vMerge w:val="restart"/>
          </w:tcPr>
          <w:p>
            <w:pPr>
              <w:ind w:left="80"/>
              <w:spacing w:after="0"/>
              <w:rPr>
                <w:sz w:val="20"/>
                <w:szCs w:val="20"/>
                <w:color w:val="auto"/>
              </w:rPr>
            </w:pPr>
            <w:r>
              <w:rPr>
                <w:rFonts w:ascii="Arial" w:cs="Arial" w:eastAsia="Arial" w:hAnsi="Arial"/>
                <w:sz w:val="18"/>
                <w:szCs w:val="18"/>
                <w:color w:val="0000FF"/>
                <w:w w:val="98"/>
              </w:rPr>
              <w:t>Beneficiary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0"/>
              </w:rPr>
              <w:t>Class B Stock Trust)</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820" w:type="dxa"/>
            <w:vAlign w:val="bottom"/>
            <w:tcBorders>
              <w:bottom w:val="single" w:sz="8" w:color="2C2C2C"/>
            </w:tcBorders>
            <w:gridSpan w:val="4"/>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Class A Common Stock (EBL Inheritance</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35"/>
                <w:szCs w:val="35"/>
                <w:color w:val="0000FF"/>
                <w:w w:val="81"/>
                <w:vertAlign w:val="subscript"/>
              </w:rPr>
              <w:t>30</w:t>
            </w:r>
            <w:r>
              <w:rPr>
                <w:rFonts w:ascii="Arial" w:cs="Arial" w:eastAsia="Arial" w:hAnsi="Arial"/>
                <w:sz w:val="11"/>
                <w:szCs w:val="11"/>
                <w:color w:val="008000"/>
                <w:w w:val="81"/>
              </w:rPr>
              <w:t>(3)</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980" w:type="dxa"/>
            <w:vAlign w:val="bottom"/>
            <w:gridSpan w:val="3"/>
            <w:vMerge w:val="restart"/>
          </w:tcPr>
          <w:p>
            <w:pPr>
              <w:ind w:left="80"/>
              <w:spacing w:after="0"/>
              <w:rPr>
                <w:sz w:val="20"/>
                <w:szCs w:val="20"/>
                <w:color w:val="auto"/>
              </w:rPr>
            </w:pPr>
            <w:r>
              <w:rPr>
                <w:rFonts w:ascii="Arial" w:cs="Arial" w:eastAsia="Arial" w:hAnsi="Arial"/>
                <w:sz w:val="18"/>
                <w:szCs w:val="18"/>
                <w:color w:val="0000FF"/>
                <w:w w:val="98"/>
              </w:rPr>
              <w:t>Beneficiary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Trust)</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820" w:type="dxa"/>
            <w:vAlign w:val="bottom"/>
            <w:tcBorders>
              <w:bottom w:val="single" w:sz="8" w:color="2C2C2C"/>
            </w:tcBorders>
            <w:gridSpan w:val="4"/>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Class A Common Stock (Elizabeth B. Lurie</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4"/>
              </w:rPr>
              <w:t>886,943</w:t>
            </w:r>
            <w:r>
              <w:rPr>
                <w:rFonts w:ascii="Arial" w:cs="Arial" w:eastAsia="Arial" w:hAnsi="Arial"/>
                <w:sz w:val="22"/>
                <w:szCs w:val="22"/>
                <w:color w:val="008000"/>
                <w:w w:val="84"/>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980" w:type="dxa"/>
            <w:vAlign w:val="bottom"/>
            <w:gridSpan w:val="3"/>
            <w:vMerge w:val="restart"/>
          </w:tcPr>
          <w:p>
            <w:pPr>
              <w:ind w:left="80"/>
              <w:spacing w:after="0"/>
              <w:rPr>
                <w:sz w:val="20"/>
                <w:szCs w:val="20"/>
                <w:color w:val="auto"/>
              </w:rPr>
            </w:pPr>
            <w:r>
              <w:rPr>
                <w:rFonts w:ascii="Arial" w:cs="Arial" w:eastAsia="Arial" w:hAnsi="Arial"/>
                <w:sz w:val="18"/>
                <w:szCs w:val="18"/>
                <w:color w:val="0000FF"/>
                <w:w w:val="98"/>
              </w:rPr>
              <w:t>Beneficiary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Living Trust)</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820" w:type="dxa"/>
            <w:vAlign w:val="bottom"/>
            <w:tcBorders>
              <w:bottom w:val="single" w:sz="8" w:color="2C2C2C"/>
            </w:tcBorders>
            <w:gridSpan w:val="4"/>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8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A Common Stock (EBL GRAT #3)</w:t>
            </w: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142,026</w:t>
            </w:r>
            <w:r>
              <w:rPr>
                <w:rFonts w:ascii="Arial" w:cs="Arial" w:eastAsia="Arial" w:hAnsi="Arial"/>
                <w:sz w:val="22"/>
                <w:szCs w:val="22"/>
                <w:color w:val="008000"/>
                <w:w w:val="84"/>
                <w:vertAlign w:val="superscript"/>
              </w:rPr>
              <w:t>(3)</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w:t>
            </w:r>
          </w:p>
        </w:tc>
        <w:tc>
          <w:tcPr>
            <w:tcW w:w="98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98"/>
              </w:rPr>
              <w:t>Beneficiary</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20" w:type="dxa"/>
            <w:vAlign w:val="bottom"/>
            <w:gridSpan w:val="9"/>
          </w:tcPr>
          <w:p>
            <w:pPr>
              <w:ind w:left="6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4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680" w:type="dxa"/>
            <w:vAlign w:val="bottom"/>
          </w:tcPr>
          <w:p>
            <w:pPr>
              <w:jc w:val="center"/>
              <w:ind w:right="16"/>
              <w:spacing w:after="0"/>
              <w:rPr>
                <w:sz w:val="20"/>
                <w:szCs w:val="20"/>
                <w:color w:val="auto"/>
              </w:rPr>
            </w:pPr>
            <w:r>
              <w:rPr>
                <w:rFonts w:ascii="Arial" w:cs="Arial" w:eastAsia="Arial" w:hAnsi="Arial"/>
                <w:sz w:val="14"/>
                <w:szCs w:val="14"/>
                <w:color w:val="0000FF"/>
                <w:w w:val="91"/>
              </w:rPr>
              <w:t>Class A</w:t>
            </w:r>
          </w:p>
        </w:tc>
        <w:tc>
          <w:tcPr>
            <w:tcW w:w="560" w:type="dxa"/>
            <w:vAlign w:val="bottom"/>
            <w:vMerge w:val="restart"/>
          </w:tcPr>
          <w:p>
            <w:pPr>
              <w:ind w:left="18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Comp</w:t>
            </w:r>
          </w:p>
        </w:tc>
        <w:tc>
          <w:tcPr>
            <w:tcW w:w="8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color w:val="0000FF"/>
              </w:rPr>
              <w:t>1,972.3961</w:t>
            </w:r>
          </w:p>
        </w:tc>
        <w:tc>
          <w:tcPr>
            <w:tcW w:w="560" w:type="dxa"/>
            <w:vAlign w:val="bottom"/>
          </w:tcPr>
          <w:p>
            <w:pPr>
              <w:ind w:left="400"/>
              <w:spacing w:after="0" w:line="149" w:lineRule="exact"/>
              <w:rPr>
                <w:sz w:val="20"/>
                <w:szCs w:val="20"/>
                <w:color w:val="auto"/>
              </w:rPr>
            </w:pPr>
            <w:r>
              <w:rPr>
                <w:rFonts w:ascii="Arial" w:cs="Arial" w:eastAsia="Arial" w:hAnsi="Arial"/>
                <w:sz w:val="14"/>
                <w:szCs w:val="14"/>
                <w:color w:val="0000FF"/>
              </w:rPr>
              <w:t>D</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Units</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to the extent jointly owned and this report shall not be deemed an admission that the reporting person is the beneficiary for Section 16 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non-derivative security is held by the filer as a beneficiary of the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Barbara Bolens, as Attoney-In- </w:t>
      </w:r>
      <w:r>
        <w:rPr>
          <w:rFonts w:ascii="Arial" w:cs="Arial" w:eastAsia="Arial" w:hAnsi="Arial"/>
          <w:sz w:val="35"/>
          <w:szCs w:val="35"/>
          <w:color w:val="0000FF"/>
          <w:vertAlign w:val="subscript"/>
        </w:rPr>
        <w:t>09/25/2008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3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95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95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2019-12-18T13:17:03Z</dcterms:created>
  <dcterms:modified xsi:type="dcterms:W3CDTF">2019-12-18T13:17:03Z</dcterms:modified>
</cp:coreProperties>
</file>