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Pursuant to Section 13 or 15(d) of the</w:t>
      </w:r>
    </w:p>
    <w:p>
      <w:pPr>
        <w:ind w:left="4060"/>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21, 2008</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514" w:right="239" w:bottom="1440" w:gutter="0" w:footer="0" w:header="0"/>
        </w:sectPr>
      </w:pPr>
    </w:p>
    <w:p>
      <w:pPr>
        <w:spacing w:after="0" w:line="194"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514" w:right="239" w:bottom="1440" w:gutter="0" w:footer="0" w:header="0"/>
          <w:type w:val="continuous"/>
        </w:sectPr>
      </w:pP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04"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On May 21, 2008, Brady Corporation (the “Corporation”) issued a press release announcing its fiscal 2008 third quarter financial results. A copy of the press release is being furnished to the Securities and Exchange Commission as Exhibit 99.1 attached herewith and is incorporated herein by reference.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filed as an Exhibit to this Report.</w:t>
      </w:r>
    </w:p>
    <w:p>
      <w:pPr>
        <w:spacing w:after="0" w:line="204" w:lineRule="exact"/>
        <w:rPr>
          <w:sz w:val="20"/>
          <w:szCs w:val="20"/>
          <w:color w:val="auto"/>
        </w:rPr>
      </w:pPr>
    </w:p>
    <w:p>
      <w:pPr>
        <w:spacing w:after="0"/>
        <w:tabs>
          <w:tab w:leader="none" w:pos="5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-1905</wp:posOffset>
            </wp:positionV>
            <wp:extent cx="667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192"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Brady Corporation, dated May 21, 2008, relating to the Corporation’s fiscal 2008 third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May 23, 2008</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Thomas J. Felmer</w:t>
      </w:r>
    </w:p>
    <w:p>
      <w:pPr>
        <w:ind w:left="5500"/>
        <w:spacing w:after="0"/>
        <w:rPr>
          <w:sz w:val="20"/>
          <w:szCs w:val="20"/>
          <w:color w:val="auto"/>
        </w:rPr>
      </w:pPr>
      <w:r>
        <w:rPr>
          <w:rFonts w:ascii="Arial" w:cs="Arial" w:eastAsia="Arial" w:hAnsi="Arial"/>
          <w:sz w:val="18"/>
          <w:szCs w:val="18"/>
          <w:color w:val="auto"/>
        </w:rPr>
        <w:t>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76" w:right="459" w:bottom="1440" w:gutter="0" w:footer="0" w:header="0"/>
        </w:sectPr>
      </w:pPr>
    </w:p>
    <w:bookmarkStart w:id="3" w:name="page4"/>
    <w:bookmarkEnd w:id="3"/>
    <w:p>
      <w:pPr>
        <w:spacing w:after="0" w:line="3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INDEX</w:t>
      </w:r>
    </w:p>
    <w:p>
      <w:pPr>
        <w:spacing w:after="0" w:line="204" w:lineRule="exact"/>
        <w:rPr>
          <w:sz w:val="20"/>
          <w:szCs w:val="20"/>
          <w:color w:val="auto"/>
        </w:rPr>
      </w:pPr>
    </w:p>
    <w:p>
      <w:pPr>
        <w:spacing w:after="0"/>
        <w:tabs>
          <w:tab w:leader="none" w:pos="5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-1905</wp:posOffset>
            </wp:positionV>
            <wp:extent cx="6671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192"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Brady Corporation, dated May 21, 2008, relating to the Corporation’s fiscal 2008 third quarter financial results.</w:t>
      </w:r>
    </w:p>
    <w:p>
      <w:pPr>
        <w:sectPr>
          <w:pgSz w:w="11900" w:h="16838" w:orient="portrait"/>
          <w:cols w:equalWidth="0" w:num="1">
            <w:col w:w="11060"/>
          </w:cols>
          <w:pgMar w:left="240" w:top="1440" w:right="5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4" w:lineRule="auto"/>
        <w:rPr>
          <w:sz w:val="20"/>
          <w:szCs w:val="20"/>
          <w:color w:val="auto"/>
        </w:rPr>
      </w:pPr>
      <w:r>
        <w:rPr>
          <w:rFonts w:ascii="Arial" w:cs="Arial" w:eastAsia="Arial" w:hAnsi="Arial"/>
          <w:sz w:val="18"/>
          <w:szCs w:val="18"/>
          <w:color w:val="auto"/>
        </w:rPr>
        <w:t>Investor contact: Barbara Bolens 414-438-6940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reports F’08 third-quarter sales and earnings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MILWAUKEE (May 21, 2008)—Brady Corporation (NYSE: BRC), a world leader in identification solutions, today announced record third quarter sales and earnings for its fiscal quarter ended April 30, 2008. Sales for the quarter were $381.9 million, up 10.3 percent compared to sales of $346.3 million in the fiscal 2007 third quarter. Organic sales were down 1 percent compared to the prior year, acquisitions contributed 5 percent to sales growth, and currency exchange added 6 percent to sales results in the quarter. Regionally, sales increased 14 percent in Brady Americas, 20 percent in Europe, 1 percent in Asia/Pacific and remained flat in Direct Marketing &amp; People Identification Americas.</w:t>
      </w:r>
    </w:p>
    <w:p>
      <w:pPr>
        <w:spacing w:after="0" w:line="95"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Net income for the quarter was up 18.5 percent to $34.4 million compared to $29.0 million in the same quarter last year. Earnings per diluted Class A Common Share were up 18.9 percent to $0.63 compared to $0.53 in the prior year. Fiscal 2008 earnings per share calculations reflect the completed repurchase of approximately 944,000 shares in the quarter.</w:t>
      </w:r>
    </w:p>
    <w:p>
      <w:pPr>
        <w:spacing w:after="0" w:line="95" w:lineRule="exact"/>
        <w:rPr>
          <w:sz w:val="20"/>
          <w:szCs w:val="20"/>
          <w:color w:val="auto"/>
        </w:rPr>
      </w:pPr>
    </w:p>
    <w:p>
      <w:pPr>
        <w:jc w:val="both"/>
        <w:ind w:right="80" w:firstLine="250"/>
        <w:spacing w:after="0"/>
        <w:rPr>
          <w:sz w:val="20"/>
          <w:szCs w:val="20"/>
          <w:color w:val="auto"/>
        </w:rPr>
      </w:pPr>
      <w:r>
        <w:rPr>
          <w:rFonts w:ascii="Arial" w:cs="Arial" w:eastAsia="Arial" w:hAnsi="Arial"/>
          <w:sz w:val="18"/>
          <w:szCs w:val="18"/>
          <w:color w:val="auto"/>
        </w:rPr>
        <w:t>Sales for the nine months ended April 30, 2008, rose 12.6 percent to $1.126 billion compared to $999.9 million in the same period last year. Net income for the nine-month period was $97.4 million, up 17.2 percent compared to $83.1 million in the prior year. Nine-month earnings per share were $1.77, up 16.4 percent compared to $1.52 per share in the period last year.</w:t>
      </w:r>
    </w:p>
    <w:p>
      <w:pPr>
        <w:spacing w:after="0" w:line="95" w:lineRule="exact"/>
        <w:rPr>
          <w:sz w:val="20"/>
          <w:szCs w:val="20"/>
          <w:color w:val="auto"/>
        </w:rPr>
      </w:pPr>
    </w:p>
    <w:p>
      <w:pPr>
        <w:ind w:firstLine="250"/>
        <w:spacing w:after="0"/>
        <w:rPr>
          <w:sz w:val="20"/>
          <w:szCs w:val="20"/>
          <w:color w:val="auto"/>
        </w:rPr>
      </w:pPr>
      <w:r>
        <w:rPr>
          <w:rFonts w:ascii="Arial" w:cs="Arial" w:eastAsia="Arial" w:hAnsi="Arial"/>
          <w:sz w:val="18"/>
          <w:szCs w:val="18"/>
          <w:color w:val="auto"/>
        </w:rPr>
        <w:t>“This has been a strong quarter for us with good improvement in both gross margin and earnings per share. Our year-to-date operating cash flow is up 91 percent to $152 million from $80 million last year. Our pro-active efforts to adjust our cost structure and control working capital to cope with a slowing economy have clearly paid off,” said Brady President and Chief Executive Officer Frank M. Jaehnert.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“Based on current trends and including the two acquisitions made earlier this year, we are increasing sales guidance from</w:t>
      </w:r>
    </w:p>
    <w:p>
      <w:pPr>
        <w:ind w:right="120"/>
        <w:spacing w:after="0" w:line="239" w:lineRule="auto"/>
        <w:rPr>
          <w:sz w:val="20"/>
          <w:szCs w:val="20"/>
          <w:color w:val="auto"/>
        </w:rPr>
      </w:pPr>
      <w:r>
        <w:rPr>
          <w:rFonts w:ascii="Arial" w:cs="Arial" w:eastAsia="Arial" w:hAnsi="Arial"/>
          <w:sz w:val="18"/>
          <w:szCs w:val="18"/>
          <w:color w:val="auto"/>
        </w:rPr>
        <w:t>$1.43-$ 1.46 billion to $1.50-$1.52 billion. While we continue to be concerned about economic softness in some of our key markets, we believe that our operational improvements allow us to reconfirm our net income guidance of $129-$135 million. We are, however, increasing our earnings per share guidance by $0.02 to $2.33-$2.44 to account for shares repurchased in the quarter,” said Brady Chief Financial Officer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-more-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rPr>
          <w:sz w:val="20"/>
          <w:szCs w:val="20"/>
          <w:color w:val="auto"/>
        </w:rPr>
      </w:pPr>
      <w:r>
        <w:rPr>
          <w:rFonts w:ascii="Arial" w:cs="Arial" w:eastAsia="Arial" w:hAnsi="Arial"/>
          <w:sz w:val="18"/>
          <w:szCs w:val="18"/>
          <w:color w:val="auto"/>
        </w:rPr>
        <w:t>Page 2</w:t>
      </w:r>
    </w:p>
    <w:p>
      <w:pPr>
        <w:spacing w:after="0" w:line="104" w:lineRule="exact"/>
        <w:rPr>
          <w:sz w:val="20"/>
          <w:szCs w:val="20"/>
          <w:color w:val="auto"/>
        </w:rPr>
      </w:pPr>
    </w:p>
    <w:p>
      <w:pPr>
        <w:ind w:right="240" w:firstLine="240"/>
        <w:spacing w:after="0" w:line="246" w:lineRule="auto"/>
        <w:rPr>
          <w:sz w:val="20"/>
          <w:szCs w:val="20"/>
          <w:color w:val="auto"/>
        </w:rPr>
      </w:pPr>
      <w:r>
        <w:rPr>
          <w:rFonts w:ascii="Arial" w:cs="Arial" w:eastAsia="Arial" w:hAnsi="Arial"/>
          <w:sz w:val="18"/>
          <w:szCs w:val="18"/>
          <w:color w:val="auto"/>
        </w:rPr>
        <w:t>A Web cast of a conference call regarding the company’s fiscal 2008 third quarter results will be available at www.investor.bradycorp.com beginning at 9:30 a.m. Central Time today.</w:t>
      </w:r>
    </w:p>
    <w:p>
      <w:pPr>
        <w:spacing w:after="0" w:line="89" w:lineRule="exact"/>
        <w:rPr>
          <w:sz w:val="20"/>
          <w:szCs w:val="20"/>
          <w:color w:val="auto"/>
        </w:rPr>
      </w:pPr>
    </w:p>
    <w:p>
      <w:pPr>
        <w:ind w:right="220" w:firstLine="250"/>
        <w:spacing w:after="0" w:line="237"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about 8,000 people at operations in the Americas, Europe and Asia/Pacific. Brady’s fiscal 2007 sales were approximately $1.363 billion.</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2007.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color w:val="auto"/>
              </w:rPr>
              <w:t>(Unaudited)</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ind w:left="40"/>
              <w:spacing w:after="0" w:line="155" w:lineRule="exact"/>
              <w:rPr>
                <w:sz w:val="20"/>
                <w:szCs w:val="20"/>
                <w:color w:val="auto"/>
              </w:rPr>
            </w:pPr>
            <w:r>
              <w:rPr>
                <w:rFonts w:ascii="Arial" w:cs="Arial" w:eastAsia="Arial" w:hAnsi="Arial"/>
                <w:sz w:val="14"/>
                <w:szCs w:val="14"/>
                <w:color w:val="auto"/>
              </w:rPr>
              <w:t>Three Months Ended April 30,</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6"/>
          </w:tcPr>
          <w:p>
            <w:pPr>
              <w:ind w:left="40"/>
              <w:spacing w:after="0" w:line="155" w:lineRule="exact"/>
              <w:rPr>
                <w:sz w:val="20"/>
                <w:szCs w:val="20"/>
                <w:color w:val="auto"/>
              </w:rPr>
            </w:pPr>
            <w:r>
              <w:rPr>
                <w:rFonts w:ascii="Arial" w:cs="Arial" w:eastAsia="Arial" w:hAnsi="Arial"/>
                <w:sz w:val="14"/>
                <w:szCs w:val="14"/>
                <w:color w:val="auto"/>
              </w:rPr>
              <w:t>Nine Months Ended April 30,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2008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2007</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Percentage Change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1"/>
              <w:spacing w:after="0" w:line="155" w:lineRule="exact"/>
              <w:rPr>
                <w:sz w:val="20"/>
                <w:szCs w:val="20"/>
                <w:color w:val="auto"/>
              </w:rPr>
            </w:pPr>
            <w:r>
              <w:rPr>
                <w:rFonts w:ascii="Arial" w:cs="Arial" w:eastAsia="Arial" w:hAnsi="Arial"/>
                <w:sz w:val="14"/>
                <w:szCs w:val="14"/>
                <w:color w:val="auto"/>
              </w:rPr>
              <w:t>2007</w:t>
            </w:r>
          </w:p>
        </w:tc>
        <w:tc>
          <w:tcPr>
            <w:tcW w:w="280" w:type="dxa"/>
            <w:vAlign w:val="bottom"/>
          </w:tcPr>
          <w:p>
            <w:pPr>
              <w:spacing w:after="0"/>
              <w:rPr>
                <w:sz w:val="13"/>
                <w:szCs w:val="13"/>
                <w:color w:val="auto"/>
              </w:rPr>
            </w:pPr>
          </w:p>
        </w:tc>
        <w:tc>
          <w:tcPr>
            <w:tcW w:w="164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Percentage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8"/>
              </w:rPr>
              <w:t>381,909</w:t>
            </w:r>
          </w:p>
        </w:tc>
        <w:tc>
          <w:tcPr>
            <w:tcW w:w="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w w:val="98"/>
              </w:rPr>
              <w:t>346,332</w:t>
            </w:r>
          </w:p>
        </w:tc>
        <w:tc>
          <w:tcPr>
            <w:tcW w:w="184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10.3%</w:t>
            </w:r>
          </w:p>
        </w:tc>
        <w:tc>
          <w:tcPr>
            <w:tcW w:w="3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7"/>
              </w:rPr>
              <w:t>1,126,167</w:t>
            </w:r>
          </w:p>
        </w:tc>
        <w:tc>
          <w:tcPr>
            <w:tcW w:w="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999,866</w:t>
            </w:r>
          </w:p>
        </w:tc>
        <w:tc>
          <w:tcPr>
            <w:tcW w:w="28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8"/>
              </w:rPr>
              <w:t>192,333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177,181</w:t>
            </w:r>
          </w:p>
        </w:tc>
        <w:tc>
          <w:tcPr>
            <w:tcW w:w="18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573,901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516,426</w:t>
            </w:r>
          </w:p>
        </w:tc>
        <w:tc>
          <w:tcPr>
            <w:tcW w:w="280" w:type="dxa"/>
            <w:vAlign w:val="bottom"/>
          </w:tcPr>
          <w:p>
            <w:pPr>
              <w:spacing w:after="0"/>
              <w:rPr>
                <w:sz w:val="17"/>
                <w:szCs w:val="17"/>
                <w:color w:val="auto"/>
              </w:rPr>
            </w:pPr>
          </w:p>
        </w:tc>
        <w:tc>
          <w:tcPr>
            <w:tcW w:w="1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189,576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169,151</w:t>
            </w:r>
          </w:p>
        </w:tc>
        <w:tc>
          <w:tcPr>
            <w:tcW w:w="18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552,266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483,440</w:t>
            </w:r>
          </w:p>
        </w:tc>
        <w:tc>
          <w:tcPr>
            <w:tcW w:w="28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405"/>
        </w:trPr>
        <w:tc>
          <w:tcPr>
            <w:tcW w:w="2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10,274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8,739</w:t>
            </w:r>
          </w:p>
        </w:tc>
        <w:tc>
          <w:tcPr>
            <w:tcW w:w="18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29,323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26,353</w:t>
            </w:r>
          </w:p>
        </w:tc>
        <w:tc>
          <w:tcPr>
            <w:tcW w:w="1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w w:val="98"/>
              </w:rPr>
              <w:t>126,720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w w:val="98"/>
              </w:rPr>
              <w:t>114,109</w:t>
            </w:r>
          </w:p>
        </w:tc>
        <w:tc>
          <w:tcPr>
            <w:tcW w:w="1840" w:type="dxa"/>
            <w:vAlign w:val="bottom"/>
            <w:gridSpan w:val="3"/>
          </w:tcPr>
          <w:p>
            <w:pPr>
              <w:jc w:val="right"/>
              <w:ind w:right="200"/>
              <w:spacing w:after="0" w:line="203" w:lineRule="exact"/>
              <w:rPr>
                <w:sz w:val="20"/>
                <w:szCs w:val="20"/>
                <w:color w:val="auto"/>
              </w:rPr>
            </w:pPr>
            <w:r>
              <w:rPr>
                <w:rFonts w:ascii="Arial" w:cs="Arial" w:eastAsia="Arial" w:hAnsi="Arial"/>
                <w:sz w:val="18"/>
                <w:szCs w:val="18"/>
                <w:color w:val="auto"/>
              </w:rPr>
              <w:t>11.1%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369,579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w w:val="98"/>
              </w:rPr>
              <w:t>326,119</w:t>
            </w:r>
          </w:p>
        </w:tc>
        <w:tc>
          <w:tcPr>
            <w:tcW w:w="280" w:type="dxa"/>
            <w:vAlign w:val="bottom"/>
          </w:tcPr>
          <w:p>
            <w:pPr>
              <w:spacing w:after="0"/>
              <w:rPr>
                <w:sz w:val="17"/>
                <w:szCs w:val="17"/>
                <w:color w:val="auto"/>
              </w:rPr>
            </w:pPr>
          </w:p>
        </w:tc>
        <w:tc>
          <w:tcPr>
            <w:tcW w:w="16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136,994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122,848</w:t>
            </w:r>
          </w:p>
        </w:tc>
        <w:tc>
          <w:tcPr>
            <w:tcW w:w="18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398,902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352,472</w:t>
            </w:r>
          </w:p>
        </w:tc>
        <w:tc>
          <w:tcPr>
            <w:tcW w:w="28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19"/>
        </w:trPr>
        <w:tc>
          <w:tcPr>
            <w:tcW w:w="2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52,582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46,303</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153,364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130,968</w:t>
            </w:r>
          </w:p>
        </w:tc>
        <w:tc>
          <w:tcPr>
            <w:tcW w:w="28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and (expense):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385</w:t>
            </w:r>
          </w:p>
        </w:tc>
        <w:tc>
          <w:tcPr>
            <w:tcW w:w="18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139.0%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3,307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280" w:type="dxa"/>
            <w:vAlign w:val="bottom"/>
          </w:tcPr>
          <w:p>
            <w:pPr>
              <w:spacing w:after="0"/>
              <w:rPr>
                <w:sz w:val="17"/>
                <w:szCs w:val="17"/>
                <w:color w:val="auto"/>
              </w:rPr>
            </w:pPr>
          </w:p>
        </w:tc>
        <w:tc>
          <w:tcPr>
            <w:tcW w:w="1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(6,962)</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(6,428)</w:t>
            </w:r>
          </w:p>
        </w:tc>
        <w:tc>
          <w:tcPr>
            <w:tcW w:w="18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(20,429)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(16,407)</w:t>
            </w:r>
          </w:p>
        </w:tc>
        <w:tc>
          <w:tcPr>
            <w:tcW w:w="1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46,540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40,260</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136,242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115,478</w:t>
            </w:r>
          </w:p>
        </w:tc>
        <w:tc>
          <w:tcPr>
            <w:tcW w:w="28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12,187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11,273</w:t>
            </w:r>
          </w:p>
        </w:tc>
        <w:tc>
          <w:tcPr>
            <w:tcW w:w="18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38,829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32,334</w:t>
            </w:r>
          </w:p>
        </w:tc>
        <w:tc>
          <w:tcPr>
            <w:tcW w:w="1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34,353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28,987</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18.5%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97,413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83,144</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 Class A Nonvoting Common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0.64</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0.54</w:t>
            </w:r>
          </w:p>
        </w:tc>
        <w:tc>
          <w:tcPr>
            <w:tcW w:w="18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18.5%</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0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7"/>
                <w:szCs w:val="17"/>
                <w:color w:val="auto"/>
              </w:rPr>
            </w:pPr>
          </w:p>
        </w:tc>
        <w:tc>
          <w:tcPr>
            <w:tcW w:w="1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0.63</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0.53</w:t>
            </w:r>
          </w:p>
        </w:tc>
        <w:tc>
          <w:tcPr>
            <w:tcW w:w="18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18.9%</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28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7.1%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0.42</w:t>
            </w:r>
          </w:p>
        </w:tc>
        <w:tc>
          <w:tcPr>
            <w:tcW w:w="2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 Class B Voting Common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0.64</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0.54</w:t>
            </w:r>
          </w:p>
        </w:tc>
        <w:tc>
          <w:tcPr>
            <w:tcW w:w="18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18.5%</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280" w:type="dxa"/>
            <w:vAlign w:val="bottom"/>
          </w:tcPr>
          <w:p>
            <w:pPr>
              <w:spacing w:after="0"/>
              <w:rPr>
                <w:sz w:val="17"/>
                <w:szCs w:val="17"/>
                <w:color w:val="auto"/>
              </w:rPr>
            </w:pPr>
          </w:p>
        </w:tc>
        <w:tc>
          <w:tcPr>
            <w:tcW w:w="1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0.63</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0.53</w:t>
            </w:r>
          </w:p>
        </w:tc>
        <w:tc>
          <w:tcPr>
            <w:tcW w:w="18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18.9%</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color w:val="auto"/>
              </w:rPr>
              <w:t>7.1%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0.40</w:t>
            </w:r>
          </w:p>
        </w:tc>
        <w:tc>
          <w:tcPr>
            <w:tcW w:w="2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shares outstanding (in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Thousands):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54,021</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53,953</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54,294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53,860</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54,627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54,717</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54,992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54,704</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color w:val="auto"/>
              </w:rPr>
              <w:t>(Unaudited)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April 30, 2008</w:t>
            </w:r>
          </w:p>
        </w:tc>
        <w:tc>
          <w:tcPr>
            <w:tcW w:w="9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July 31, 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shd w:val="clear" w:color="auto" w:fill="CCEEFF"/>
          </w:tcPr>
          <w:p>
            <w:pPr>
              <w:ind w:left="3740"/>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227,359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142,846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Short term investments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19,200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 less allowance for losses ($9,863 and $9,109, respectively)</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252,982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239,569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60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Finished products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75,492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80,486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600"/>
              <w:spacing w:after="0" w:line="202" w:lineRule="exact"/>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21,351</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Raw materials and supplies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38,714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37,983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800"/>
              <w:spacing w:after="0"/>
              <w:rPr>
                <w:sz w:val="20"/>
                <w:szCs w:val="20"/>
                <w:color w:val="auto"/>
              </w:rPr>
            </w:pPr>
            <w:r>
              <w:rPr>
                <w:rFonts w:ascii="Arial" w:cs="Arial" w:eastAsia="Arial" w:hAnsi="Arial"/>
                <w:sz w:val="18"/>
                <w:szCs w:val="18"/>
                <w:color w:val="auto"/>
              </w:rPr>
              <w:t>Total inventories</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135,557</w:t>
            </w: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43,731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440" w:type="dxa"/>
            <w:vAlign w:val="bottom"/>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659,629</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583,413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786,480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737,450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145,563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149,761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32,194</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32,508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21,037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440" w:type="dxa"/>
            <w:vAlign w:val="bottom"/>
          </w:tcPr>
          <w:p>
            <w:pPr>
              <w:ind w:left="600"/>
              <w:spacing w:after="0"/>
              <w:rPr>
                <w:sz w:val="20"/>
                <w:szCs w:val="20"/>
                <w:color w:val="auto"/>
              </w:rPr>
            </w:pPr>
            <w:r>
              <w:rPr>
                <w:rFonts w:ascii="Arial" w:cs="Arial" w:eastAsia="Arial" w:hAnsi="Arial"/>
                <w:sz w:val="18"/>
                <w:szCs w:val="18"/>
                <w:b w:val="1"/>
                <w:bCs w:val="1"/>
                <w:color w:val="auto"/>
              </w:rPr>
              <w:t>Total other assets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985,274</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940,830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Cost: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6,482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6,332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600"/>
              <w:spacing w:after="0" w:line="202" w:lineRule="exact"/>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96,009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90,688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272,461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248,356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600"/>
              <w:spacing w:after="0" w:line="202" w:lineRule="exact"/>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12,392</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18,107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387,344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363,483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214,116</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188,869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173,228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174,614</w:t>
            </w:r>
          </w:p>
        </w:tc>
        <w:tc>
          <w:tcPr>
            <w:tcW w:w="0" w:type="dxa"/>
            <w:vAlign w:val="bottom"/>
          </w:tcPr>
          <w:p>
            <w:pPr>
              <w:spacing w:after="0"/>
              <w:rPr>
                <w:sz w:val="1"/>
                <w:szCs w:val="1"/>
                <w:color w:val="auto"/>
              </w:rPr>
            </w:pPr>
          </w:p>
        </w:tc>
      </w:tr>
      <w:tr>
        <w:trPr>
          <w:trHeight w:val="20"/>
        </w:trPr>
        <w:tc>
          <w:tcPr>
            <w:tcW w:w="8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9"/>
              </w:rPr>
              <w:t>1,818,131</w:t>
            </w: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shd w:val="clear" w:color="auto" w:fill="CCEEFF"/>
          </w:tcPr>
          <w:p>
            <w:pPr>
              <w:ind w:left="1960"/>
              <w:spacing w:after="0" w:line="196" w:lineRule="exact"/>
              <w:rPr>
                <w:sz w:val="20"/>
                <w:szCs w:val="20"/>
                <w:color w:val="auto"/>
              </w:rPr>
            </w:pPr>
            <w:r>
              <w:rPr>
                <w:rFonts w:ascii="Arial" w:cs="Arial" w:eastAsia="Arial" w:hAnsi="Arial"/>
                <w:sz w:val="18"/>
                <w:szCs w:val="18"/>
                <w:b w:val="1"/>
                <w:bCs w:val="1"/>
                <w:color w:val="auto"/>
              </w:rPr>
              <w:t>LIABILITIES AND STOCKHOLDERS’ INVESTMENT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104,123</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91,596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70,190</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73,622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9,720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8,461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13,914</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24,677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51,897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60,254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Current maturities on long-term debt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21,432</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271,276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280,054</w:t>
            </w:r>
          </w:p>
        </w:tc>
        <w:tc>
          <w:tcPr>
            <w:tcW w:w="0" w:type="dxa"/>
            <w:vAlign w:val="bottom"/>
          </w:tcPr>
          <w:p>
            <w:pPr>
              <w:spacing w:after="0"/>
              <w:rPr>
                <w:sz w:val="1"/>
                <w:szCs w:val="1"/>
                <w:color w:val="auto"/>
              </w:rPr>
            </w:pPr>
          </w:p>
        </w:tc>
      </w:tr>
      <w:tr>
        <w:trPr>
          <w:trHeight w:val="419"/>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478,572</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478,575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60,517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49,216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44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810,365</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807,845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investment: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A nonvoting common stock — Issued 51,051,487 and 50,586,524 shares, respectively and</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511</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outstanding 50,170,581 and 50,586,524 shares, respsectively</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440" w:type="dxa"/>
            <w:vAlign w:val="bottom"/>
          </w:tcPr>
          <w:p>
            <w:pPr>
              <w:ind w:left="4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286,452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266,203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Income retained in the business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612,407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540,238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Treasury stock - 880,906 and 0 shares, respectively of Class A nonvoting common stock, at cost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(26,743)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134,417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83,376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rPr>
              <w:t>687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440" w:type="dxa"/>
            <w:vAlign w:val="bottom"/>
          </w:tcPr>
          <w:p>
            <w:pPr>
              <w:ind w:left="800"/>
              <w:spacing w:after="0"/>
              <w:rPr>
                <w:sz w:val="20"/>
                <w:szCs w:val="20"/>
                <w:color w:val="auto"/>
              </w:rPr>
            </w:pPr>
            <w:r>
              <w:rPr>
                <w:rFonts w:ascii="Arial" w:cs="Arial" w:eastAsia="Arial" w:hAnsi="Arial"/>
                <w:sz w:val="18"/>
                <w:szCs w:val="18"/>
                <w:b w:val="1"/>
                <w:bCs w:val="1"/>
                <w:color w:val="auto"/>
              </w:rPr>
              <w:t>Total stockholders’ investment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9"/>
              </w:rPr>
              <w:t>1,007,766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891,012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b w:val="1"/>
                <w:bCs w:val="1"/>
                <w:color w:val="auto"/>
                <w:w w:val="99"/>
              </w:rPr>
              <w:t>1,818,131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27" w:right="239" w:bottom="117"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left="511"/>
              <w:spacing w:after="0"/>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center"/>
              <w:ind w:right="2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color w:val="auto"/>
              </w:rPr>
              <w:t>April 30,</w:t>
            </w:r>
          </w:p>
        </w:tc>
        <w:tc>
          <w:tcPr>
            <w:tcW w:w="720" w:type="dxa"/>
            <w:vAlign w:val="bottom"/>
            <w:vMerge w:val="restart"/>
          </w:tcPr>
          <w:p>
            <w:pPr>
              <w:jc w:val="right"/>
              <w:ind w:right="17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97,413</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45,682</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(1,288)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Loss (gain) on disposal of property, plant &amp; equipment</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1,054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7,797</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4,014</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60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15,012</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(6,193)</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6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(6,175)</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(6,358)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600"/>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1,157</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152,115</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79,657</w:t>
            </w:r>
          </w:p>
        </w:tc>
        <w:tc>
          <w:tcPr>
            <w:tcW w:w="0" w:type="dxa"/>
            <w:vAlign w:val="bottom"/>
          </w:tcPr>
          <w:p>
            <w:pPr>
              <w:spacing w:after="0"/>
              <w:rPr>
                <w:sz w:val="1"/>
                <w:szCs w:val="1"/>
                <w:color w:val="auto"/>
              </w:rPr>
            </w:pPr>
          </w:p>
        </w:tc>
      </w:tr>
      <w:tr>
        <w:trPr>
          <w:trHeight w:val="405"/>
        </w:trPr>
        <w:tc>
          <w:tcPr>
            <w:tcW w:w="90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(28,871)</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(157,943)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Payments of contingent consideration</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(5,798)</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(10,350)</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Sales of short-term investments</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29,550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(19,678)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649</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1,808</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(32,690)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(207,931)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(24,341)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9,517</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(110,674)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debt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259,300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(28,531)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 benefit from the exercise of stock options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4,620</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(38,749)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131,599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3,837</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405"/>
        </w:trPr>
        <w:tc>
          <w:tcPr>
            <w:tcW w:w="90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84,513</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142,846</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113,008</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227,359</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22,450</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200"/>
              <w:spacing w:after="0" w:line="202" w:lineRule="exact"/>
              <w:rPr>
                <w:sz w:val="20"/>
                <w:szCs w:val="20"/>
                <w:color w:val="auto"/>
              </w:rPr>
            </w:pPr>
            <w:r>
              <w:rPr>
                <w:rFonts w:ascii="Arial" w:cs="Arial" w:eastAsia="Arial" w:hAnsi="Arial"/>
                <w:sz w:val="18"/>
                <w:szCs w:val="18"/>
                <w:color w:val="auto"/>
              </w:rPr>
              <w:t>Income taxes, net of refunds</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39,505</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40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18,547</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Liabilities assumed</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(6,566)</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ind w:left="40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16,890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ind w:left="1000"/>
              <w:spacing w:after="0" w:line="202" w:lineRule="exact"/>
              <w:rPr>
                <w:sz w:val="20"/>
                <w:szCs w:val="20"/>
                <w:color w:val="auto"/>
              </w:rPr>
            </w:pPr>
            <w:r>
              <w:rPr>
                <w:rFonts w:ascii="Arial" w:cs="Arial" w:eastAsia="Arial" w:hAnsi="Arial"/>
                <w:sz w:val="18"/>
                <w:szCs w:val="18"/>
                <w:color w:val="auto"/>
              </w:rPr>
              <w:t>Net cash paid for acquisitions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28,871</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9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Information by regional segment for the three and six months ended April 30, 2008 and 2007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center"/>
              <w:ind w:right="288"/>
              <w:spacing w:after="0"/>
              <w:rPr>
                <w:sz w:val="20"/>
                <w:szCs w:val="20"/>
                <w:color w:val="auto"/>
              </w:rPr>
            </w:pPr>
            <w:r>
              <w:rPr>
                <w:rFonts w:ascii="Arial" w:cs="Arial" w:eastAsia="Arial" w:hAnsi="Arial"/>
                <w:sz w:val="14"/>
                <w:szCs w:val="14"/>
                <w:color w:val="auto"/>
              </w:rPr>
              <w:t>Direct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rPr>
              <w:t>Marketing &amp;</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Brady</w:t>
            </w:r>
          </w:p>
        </w:tc>
        <w:tc>
          <w:tcPr>
            <w:tcW w:w="2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rPr>
              <w:t>People ID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color w:val="auto"/>
              </w:rPr>
              <w:t>Corporate and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20" w:type="dxa"/>
            <w:vAlign w:val="bottom"/>
            <w:gridSpan w:val="4"/>
          </w:tcPr>
          <w:p>
            <w:pPr>
              <w:spacing w:after="0" w:line="157" w:lineRule="exact"/>
              <w:rPr>
                <w:sz w:val="20"/>
                <w:szCs w:val="20"/>
                <w:color w:val="auto"/>
              </w:rPr>
            </w:pPr>
            <w:r>
              <w:rPr>
                <w:rFonts w:ascii="Arial" w:cs="Arial" w:eastAsia="Arial" w:hAnsi="Arial"/>
                <w:sz w:val="14"/>
                <w:szCs w:val="14"/>
                <w:color w:val="auto"/>
              </w:rPr>
              <w:t>(in thousands)</w:t>
            </w:r>
          </w:p>
        </w:tc>
        <w:tc>
          <w:tcPr>
            <w:tcW w:w="900" w:type="dxa"/>
            <w:vAlign w:val="bottom"/>
            <w:gridSpan w:val="2"/>
          </w:tcPr>
          <w:p>
            <w:pPr>
              <w:jc w:val="right"/>
              <w:ind w:right="108"/>
              <w:spacing w:after="0" w:line="157" w:lineRule="exact"/>
              <w:rPr>
                <w:sz w:val="20"/>
                <w:szCs w:val="20"/>
                <w:color w:val="auto"/>
              </w:rPr>
            </w:pPr>
            <w:r>
              <w:rPr>
                <w:rFonts w:ascii="Arial" w:cs="Arial" w:eastAsia="Arial" w:hAnsi="Arial"/>
                <w:sz w:val="14"/>
                <w:szCs w:val="14"/>
                <w:color w:val="auto"/>
              </w:rPr>
              <w:t>Americas</w:t>
            </w:r>
          </w:p>
        </w:tc>
        <w:tc>
          <w:tcPr>
            <w:tcW w:w="240" w:type="dxa"/>
            <w:vAlign w:val="bottom"/>
          </w:tcPr>
          <w:p>
            <w:pPr>
              <w:spacing w:after="0"/>
              <w:rPr>
                <w:sz w:val="13"/>
                <w:szCs w:val="13"/>
                <w:color w:val="auto"/>
              </w:rPr>
            </w:pPr>
          </w:p>
        </w:tc>
        <w:tc>
          <w:tcPr>
            <w:tcW w:w="1200" w:type="dxa"/>
            <w:vAlign w:val="bottom"/>
            <w:gridSpan w:val="2"/>
          </w:tcPr>
          <w:p>
            <w:pPr>
              <w:jc w:val="center"/>
              <w:spacing w:after="0" w:line="157" w:lineRule="exact"/>
              <w:rPr>
                <w:sz w:val="20"/>
                <w:szCs w:val="20"/>
                <w:color w:val="auto"/>
              </w:rPr>
            </w:pPr>
            <w:r>
              <w:rPr>
                <w:rFonts w:ascii="Arial" w:cs="Arial" w:eastAsia="Arial" w:hAnsi="Arial"/>
                <w:sz w:val="14"/>
                <w:szCs w:val="14"/>
                <w:color w:val="auto"/>
              </w:rPr>
              <w:t>Americas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Europe</w:t>
            </w:r>
          </w:p>
        </w:tc>
        <w:tc>
          <w:tcPr>
            <w:tcW w:w="240" w:type="dxa"/>
            <w:vAlign w:val="bottom"/>
          </w:tcPr>
          <w:p>
            <w:pPr>
              <w:spacing w:after="0"/>
              <w:rPr>
                <w:sz w:val="13"/>
                <w:szCs w:val="13"/>
                <w:color w:val="auto"/>
              </w:rPr>
            </w:pPr>
          </w:p>
        </w:tc>
        <w:tc>
          <w:tcPr>
            <w:tcW w:w="1200" w:type="dxa"/>
            <w:vAlign w:val="bottom"/>
            <w:gridSpan w:val="4"/>
          </w:tcPr>
          <w:p>
            <w:pPr>
              <w:jc w:val="center"/>
              <w:spacing w:after="0" w:line="157" w:lineRule="exact"/>
              <w:rPr>
                <w:sz w:val="20"/>
                <w:szCs w:val="20"/>
                <w:color w:val="auto"/>
              </w:rPr>
            </w:pPr>
            <w:r>
              <w:rPr>
                <w:rFonts w:ascii="Arial" w:cs="Arial" w:eastAsia="Arial" w:hAnsi="Arial"/>
                <w:sz w:val="14"/>
                <w:szCs w:val="14"/>
                <w:color w:val="auto"/>
              </w:rPr>
              <w:t>Asia-Pacific</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rPr>
              <w:t>Subtotals</w:t>
            </w:r>
          </w:p>
        </w:tc>
        <w:tc>
          <w:tcPr>
            <w:tcW w:w="240" w:type="dxa"/>
            <w:vAlign w:val="bottom"/>
          </w:tcPr>
          <w:p>
            <w:pPr>
              <w:spacing w:after="0"/>
              <w:rPr>
                <w:sz w:val="13"/>
                <w:szCs w:val="13"/>
                <w:color w:val="auto"/>
              </w:rPr>
            </w:pPr>
          </w:p>
        </w:tc>
        <w:tc>
          <w:tcPr>
            <w:tcW w:w="1160" w:type="dxa"/>
            <w:vAlign w:val="bottom"/>
            <w:gridSpan w:val="3"/>
          </w:tcPr>
          <w:p>
            <w:pPr>
              <w:jc w:val="center"/>
              <w:spacing w:after="0" w:line="157" w:lineRule="exact"/>
              <w:rPr>
                <w:sz w:val="20"/>
                <w:szCs w:val="20"/>
                <w:color w:val="auto"/>
              </w:rPr>
            </w:pPr>
            <w:r>
              <w:rPr>
                <w:rFonts w:ascii="Arial" w:cs="Arial" w:eastAsia="Arial" w:hAnsi="Arial"/>
                <w:sz w:val="14"/>
                <w:szCs w:val="14"/>
                <w:color w:val="auto"/>
              </w:rPr>
              <w:t>Eliminations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SALES TO EXTERNAL</w:t>
            </w:r>
          </w:p>
        </w:tc>
        <w:tc>
          <w:tcPr>
            <w:tcW w:w="2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gridSpan w:val="3"/>
            <w:shd w:val="clear" w:color="auto" w:fill="CCEEFF"/>
          </w:tcPr>
          <w:p>
            <w:pPr>
              <w:ind w:left="200"/>
              <w:spacing w:after="0"/>
              <w:rPr>
                <w:sz w:val="20"/>
                <w:szCs w:val="20"/>
                <w:color w:val="auto"/>
              </w:rPr>
            </w:pPr>
            <w:r>
              <w:rPr>
                <w:rFonts w:ascii="Arial" w:cs="Arial" w:eastAsia="Arial" w:hAnsi="Arial"/>
                <w:sz w:val="14"/>
                <w:szCs w:val="14"/>
                <w:b w:val="1"/>
                <w:bCs w:val="1"/>
                <w:color w:val="auto"/>
              </w:rPr>
              <w:t>CUSTOMERS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April 30, 2008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100,425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65,982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133,422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4"/>
                <w:szCs w:val="14"/>
                <w:color w:val="auto"/>
              </w:rPr>
              <w:t>82,080</w:t>
            </w:r>
          </w:p>
        </w:tc>
        <w:tc>
          <w:tcPr>
            <w:tcW w:w="24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381,909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381,909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00" w:type="dxa"/>
            <w:vAlign w:val="bottom"/>
            <w:gridSpan w:val="3"/>
          </w:tcPr>
          <w:p>
            <w:pPr>
              <w:ind w:left="200"/>
              <w:spacing w:after="0"/>
              <w:rPr>
                <w:sz w:val="20"/>
                <w:szCs w:val="20"/>
                <w:color w:val="auto"/>
              </w:rPr>
            </w:pPr>
            <w:r>
              <w:rPr>
                <w:rFonts w:ascii="Arial" w:cs="Arial" w:eastAsia="Arial" w:hAnsi="Arial"/>
                <w:sz w:val="14"/>
                <w:szCs w:val="14"/>
                <w:color w:val="auto"/>
              </w:rPr>
              <w:t>April 30, 2007</w:t>
            </w:r>
          </w:p>
        </w:tc>
        <w:tc>
          <w:tcPr>
            <w:tcW w:w="140" w:type="dxa"/>
            <w:vAlign w:val="bottom"/>
          </w:tcPr>
          <w:p>
            <w:pPr>
              <w:spacing w:after="0"/>
              <w:rPr>
                <w:sz w:val="15"/>
                <w:szCs w:val="15"/>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88,077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65,784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111,266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3"/>
              <w:spacing w:after="0"/>
              <w:rPr>
                <w:sz w:val="20"/>
                <w:szCs w:val="20"/>
                <w:color w:val="auto"/>
              </w:rPr>
            </w:pPr>
            <w:r>
              <w:rPr>
                <w:rFonts w:ascii="Arial" w:cs="Arial" w:eastAsia="Arial" w:hAnsi="Arial"/>
                <w:sz w:val="14"/>
                <w:szCs w:val="14"/>
                <w:color w:val="auto"/>
              </w:rPr>
              <w:t>81,205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346,332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63"/>
              <w:spacing w:after="0"/>
              <w:rPr>
                <w:sz w:val="20"/>
                <w:szCs w:val="20"/>
                <w:color w:val="auto"/>
              </w:rPr>
            </w:pPr>
            <w:r>
              <w:rPr>
                <w:rFonts w:ascii="Arial" w:cs="Arial" w:eastAsia="Arial" w:hAnsi="Arial"/>
                <w:sz w:val="14"/>
                <w:szCs w:val="14"/>
                <w:color w:val="auto"/>
              </w:rPr>
              <w:t>346,332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Nine months ended:</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rPr>
                <w:sz w:val="20"/>
                <w:szCs w:val="20"/>
                <w:color w:val="auto"/>
              </w:rPr>
            </w:pPr>
            <w:r>
              <w:rPr>
                <w:rFonts w:ascii="Arial" w:cs="Arial" w:eastAsia="Arial" w:hAnsi="Arial"/>
                <w:sz w:val="14"/>
                <w:szCs w:val="14"/>
                <w:color w:val="auto"/>
              </w:rPr>
              <w:t>April 30, 2008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300,963</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w w:val="98"/>
              </w:rPr>
              <w:t>196,840</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364,951</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3"/>
              <w:spacing w:after="0"/>
              <w:rPr>
                <w:sz w:val="20"/>
                <w:szCs w:val="20"/>
                <w:color w:val="auto"/>
              </w:rPr>
            </w:pPr>
            <w:r>
              <w:rPr>
                <w:rFonts w:ascii="Arial" w:cs="Arial" w:eastAsia="Arial" w:hAnsi="Arial"/>
                <w:sz w:val="14"/>
                <w:szCs w:val="14"/>
                <w:color w:val="auto"/>
                <w:w w:val="98"/>
              </w:rPr>
              <w:t>263,413</w:t>
            </w:r>
          </w:p>
        </w:tc>
        <w:tc>
          <w:tcPr>
            <w:tcW w:w="24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$1,126,167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60" w:type="dxa"/>
            <w:vAlign w:val="bottom"/>
            <w:gridSpan w:val="4"/>
          </w:tcPr>
          <w:p>
            <w:pPr>
              <w:jc w:val="right"/>
              <w:ind w:right="63"/>
              <w:spacing w:after="0"/>
              <w:rPr>
                <w:sz w:val="20"/>
                <w:szCs w:val="20"/>
                <w:color w:val="auto"/>
              </w:rPr>
            </w:pPr>
            <w:r>
              <w:rPr>
                <w:rFonts w:ascii="Arial" w:cs="Arial" w:eastAsia="Arial" w:hAnsi="Arial"/>
                <w:sz w:val="14"/>
                <w:szCs w:val="14"/>
                <w:color w:val="auto"/>
              </w:rPr>
              <w:t>$1,126,167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April 30, 2007</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251,346</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98"/>
              </w:rPr>
              <w:t>189,446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302,477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4"/>
                <w:szCs w:val="14"/>
                <w:color w:val="auto"/>
                <w:w w:val="98"/>
              </w:rPr>
              <w:t>256,597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999,866</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999,866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320" w:type="dxa"/>
            <w:vAlign w:val="bottom"/>
            <w:gridSpan w:val="4"/>
          </w:tcPr>
          <w:p>
            <w:pPr>
              <w:spacing w:after="0"/>
              <w:rPr>
                <w:sz w:val="20"/>
                <w:szCs w:val="20"/>
                <w:color w:val="auto"/>
              </w:rPr>
            </w:pPr>
            <w:r>
              <w:rPr>
                <w:rFonts w:ascii="Arial" w:cs="Arial" w:eastAsia="Arial" w:hAnsi="Arial"/>
                <w:sz w:val="14"/>
                <w:szCs w:val="14"/>
                <w:b w:val="1"/>
                <w:bCs w:val="1"/>
                <w:color w:val="auto"/>
              </w:rPr>
              <w:t>SALES GROWTH</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gridSpan w:val="3"/>
          </w:tcPr>
          <w:p>
            <w:pPr>
              <w:ind w:left="200"/>
              <w:spacing w:after="0"/>
              <w:rPr>
                <w:sz w:val="20"/>
                <w:szCs w:val="20"/>
                <w:color w:val="auto"/>
              </w:rPr>
            </w:pPr>
            <w:r>
              <w:rPr>
                <w:rFonts w:ascii="Arial" w:cs="Arial" w:eastAsia="Arial" w:hAnsi="Arial"/>
                <w:sz w:val="14"/>
                <w:szCs w:val="14"/>
                <w:b w:val="1"/>
                <w:bCs w:val="1"/>
                <w:color w:val="auto"/>
              </w:rPr>
              <w:t>INFORMATION</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Three months ended April 30,</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2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2008:</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400"/>
              <w:spacing w:after="0"/>
              <w:rPr>
                <w:sz w:val="20"/>
                <w:szCs w:val="20"/>
                <w:color w:val="auto"/>
              </w:rPr>
            </w:pPr>
            <w:r>
              <w:rPr>
                <w:rFonts w:ascii="Arial" w:cs="Arial" w:eastAsia="Arial" w:hAnsi="Arial"/>
                <w:sz w:val="14"/>
                <w:szCs w:val="14"/>
                <w:color w:val="auto"/>
              </w:rPr>
              <w:t>Base</w:t>
            </w:r>
          </w:p>
        </w:tc>
        <w:tc>
          <w:tcPr>
            <w:tcW w:w="1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Currency</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40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shd w:val="clear" w:color="auto" w:fill="CCEEFF"/>
          </w:tcPr>
          <w:p>
            <w:pPr>
              <w:ind w:left="60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2320" w:type="dxa"/>
            <w:vAlign w:val="bottom"/>
            <w:gridSpan w:val="4"/>
          </w:tcPr>
          <w:p>
            <w:pPr>
              <w:spacing w:after="0"/>
              <w:rPr>
                <w:sz w:val="20"/>
                <w:szCs w:val="20"/>
                <w:color w:val="auto"/>
              </w:rPr>
            </w:pPr>
            <w:r>
              <w:rPr>
                <w:rFonts w:ascii="Arial" w:cs="Arial" w:eastAsia="Arial" w:hAnsi="Arial"/>
                <w:sz w:val="14"/>
                <w:szCs w:val="14"/>
                <w:color w:val="auto"/>
              </w:rPr>
              <w:t>Nine months ended April 30,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40" w:type="dxa"/>
            <w:vAlign w:val="bottom"/>
            <w:gridSpan w:val="2"/>
          </w:tcPr>
          <w:p>
            <w:pPr>
              <w:ind w:left="220"/>
              <w:spacing w:after="0" w:line="157" w:lineRule="exact"/>
              <w:rPr>
                <w:sz w:val="20"/>
                <w:szCs w:val="20"/>
                <w:color w:val="auto"/>
              </w:rPr>
            </w:pPr>
            <w:r>
              <w:rPr>
                <w:rFonts w:ascii="Arial" w:cs="Arial" w:eastAsia="Arial" w:hAnsi="Arial"/>
                <w:sz w:val="14"/>
                <w:szCs w:val="14"/>
                <w:color w:val="auto"/>
              </w:rPr>
              <w:t>2008: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Base</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400"/>
              <w:spacing w:after="0"/>
              <w:rPr>
                <w:sz w:val="20"/>
                <w:szCs w:val="20"/>
                <w:color w:val="auto"/>
              </w:rPr>
            </w:pPr>
            <w:r>
              <w:rPr>
                <w:rFonts w:ascii="Arial" w:cs="Arial" w:eastAsia="Arial" w:hAnsi="Arial"/>
                <w:sz w:val="14"/>
                <w:szCs w:val="14"/>
                <w:color w:val="auto"/>
              </w:rPr>
              <w:t>Currency</w:t>
            </w:r>
          </w:p>
        </w:tc>
        <w:tc>
          <w:tcPr>
            <w:tcW w:w="1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6.0%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Acquisitions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0.4%</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00" w:type="dxa"/>
            <w:vAlign w:val="bottom"/>
            <w:gridSpan w:val="3"/>
          </w:tcPr>
          <w:p>
            <w:pPr>
              <w:ind w:left="6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gridSpan w:val="4"/>
          </w:tcPr>
          <w:p>
            <w:pPr>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April 30, 2008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22,692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17,477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36,245</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4"/>
                <w:szCs w:val="14"/>
                <w:color w:val="auto"/>
              </w:rPr>
              <w:t>11,055</w:t>
            </w:r>
          </w:p>
        </w:tc>
        <w:tc>
          <w:tcPr>
            <w:tcW w:w="24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87,469</w:t>
            </w:r>
          </w:p>
        </w:tc>
        <w:tc>
          <w:tcPr>
            <w:tcW w:w="2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($1,816)</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85,653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rPr>
                <w:sz w:val="20"/>
                <w:szCs w:val="20"/>
                <w:color w:val="auto"/>
              </w:rPr>
            </w:pPr>
            <w:r>
              <w:rPr>
                <w:rFonts w:ascii="Arial" w:cs="Arial" w:eastAsia="Arial" w:hAnsi="Arial"/>
                <w:sz w:val="14"/>
                <w:szCs w:val="14"/>
                <w:color w:val="auto"/>
              </w:rPr>
              <w:t>April 30, 2007</w:t>
            </w:r>
          </w:p>
        </w:tc>
        <w:tc>
          <w:tcPr>
            <w:tcW w:w="14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20,245</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17,768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29,370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3"/>
              <w:spacing w:after="0"/>
              <w:rPr>
                <w:sz w:val="20"/>
                <w:szCs w:val="20"/>
                <w:color w:val="auto"/>
              </w:rPr>
            </w:pPr>
            <w:r>
              <w:rPr>
                <w:rFonts w:ascii="Arial" w:cs="Arial" w:eastAsia="Arial" w:hAnsi="Arial"/>
                <w:sz w:val="14"/>
                <w:szCs w:val="14"/>
                <w:color w:val="auto"/>
              </w:rPr>
              <w:t>11,861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79,244</w:t>
            </w:r>
          </w:p>
        </w:tc>
        <w:tc>
          <w:tcPr>
            <w:tcW w:w="220" w:type="dxa"/>
            <w:vAlign w:val="bottom"/>
          </w:tcPr>
          <w:p>
            <w:pPr>
              <w:spacing w:after="0"/>
              <w:rPr>
                <w:sz w:val="14"/>
                <w:szCs w:val="14"/>
                <w:color w:val="auto"/>
              </w:rPr>
            </w:pP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(1,858)</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3"/>
              <w:spacing w:after="0"/>
              <w:rPr>
                <w:sz w:val="20"/>
                <w:szCs w:val="20"/>
                <w:color w:val="auto"/>
              </w:rPr>
            </w:pPr>
            <w:r>
              <w:rPr>
                <w:rFonts w:ascii="Arial" w:cs="Arial" w:eastAsia="Arial" w:hAnsi="Arial"/>
                <w:sz w:val="14"/>
                <w:szCs w:val="14"/>
                <w:color w:val="auto"/>
              </w:rPr>
              <w:t>77,386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00" w:type="dxa"/>
            <w:vAlign w:val="bottom"/>
            <w:gridSpan w:val="3"/>
            <w:shd w:val="clear" w:color="auto" w:fill="CCEEFF"/>
          </w:tcPr>
          <w:p>
            <w:pPr>
              <w:ind w:left="600"/>
              <w:spacing w:after="0" w:line="153" w:lineRule="exact"/>
              <w:rPr>
                <w:sz w:val="20"/>
                <w:szCs w:val="20"/>
                <w:color w:val="auto"/>
              </w:rPr>
            </w:pPr>
            <w:r>
              <w:rPr>
                <w:rFonts w:ascii="Arial" w:cs="Arial" w:eastAsia="Arial" w:hAnsi="Arial"/>
                <w:sz w:val="14"/>
                <w:szCs w:val="14"/>
                <w:i w:val="1"/>
                <w:iCs w:val="1"/>
                <w:color w:val="auto"/>
              </w:rPr>
              <w:t>Percentage increase</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3"/>
            <w:shd w:val="clear" w:color="auto" w:fill="CCEEFF"/>
          </w:tcPr>
          <w:p>
            <w:pPr>
              <w:ind w:left="800"/>
              <w:spacing w:after="0"/>
              <w:rPr>
                <w:sz w:val="20"/>
                <w:szCs w:val="20"/>
                <w:color w:val="auto"/>
              </w:rPr>
            </w:pPr>
            <w:r>
              <w:rPr>
                <w:rFonts w:ascii="Arial" w:cs="Arial" w:eastAsia="Arial" w:hAnsi="Arial"/>
                <w:sz w:val="14"/>
                <w:szCs w:val="14"/>
                <w:i w:val="1"/>
                <w:iCs w:val="1"/>
                <w:color w:val="auto"/>
              </w:rPr>
              <w:t>(decrease)</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320" w:type="dxa"/>
            <w:vAlign w:val="bottom"/>
            <w:gridSpan w:val="4"/>
          </w:tcPr>
          <w:p>
            <w:pPr>
              <w:spacing w:after="0"/>
              <w:rPr>
                <w:sz w:val="20"/>
                <w:szCs w:val="20"/>
                <w:color w:val="auto"/>
              </w:rPr>
            </w:pPr>
            <w:r>
              <w:rPr>
                <w:rFonts w:ascii="Arial" w:cs="Arial" w:eastAsia="Arial" w:hAnsi="Arial"/>
                <w:sz w:val="14"/>
                <w:szCs w:val="14"/>
                <w:color w:val="auto"/>
              </w:rPr>
              <w:t>Nine months ended: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April 30, 2008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66,667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49,645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97,212</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4"/>
                <w:szCs w:val="14"/>
                <w:color w:val="auto"/>
              </w:rPr>
              <w:t>43,105</w:t>
            </w:r>
          </w:p>
        </w:tc>
        <w:tc>
          <w:tcPr>
            <w:tcW w:w="24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256,629</w:t>
            </w:r>
          </w:p>
        </w:tc>
        <w:tc>
          <w:tcPr>
            <w:tcW w:w="2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($6,400)</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4"/>
                <w:szCs w:val="14"/>
                <w:color w:val="auto"/>
              </w:rPr>
              <w:t>250,229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rPr>
                <w:sz w:val="20"/>
                <w:szCs w:val="20"/>
                <w:color w:val="auto"/>
              </w:rPr>
            </w:pPr>
            <w:r>
              <w:rPr>
                <w:rFonts w:ascii="Arial" w:cs="Arial" w:eastAsia="Arial" w:hAnsi="Arial"/>
                <w:sz w:val="14"/>
                <w:szCs w:val="14"/>
                <w:color w:val="auto"/>
              </w:rPr>
              <w:t>April 30, 2007</w:t>
            </w:r>
          </w:p>
        </w:tc>
        <w:tc>
          <w:tcPr>
            <w:tcW w:w="14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55,433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49,491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74,979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3"/>
              <w:spacing w:after="0"/>
              <w:rPr>
                <w:sz w:val="20"/>
                <w:szCs w:val="20"/>
                <w:color w:val="auto"/>
              </w:rPr>
            </w:pPr>
            <w:r>
              <w:rPr>
                <w:rFonts w:ascii="Arial" w:cs="Arial" w:eastAsia="Arial" w:hAnsi="Arial"/>
                <w:sz w:val="14"/>
                <w:szCs w:val="14"/>
                <w:color w:val="auto"/>
              </w:rPr>
              <w:t>46,392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226,295</w:t>
            </w:r>
          </w:p>
        </w:tc>
        <w:tc>
          <w:tcPr>
            <w:tcW w:w="220" w:type="dxa"/>
            <w:vAlign w:val="bottom"/>
          </w:tcPr>
          <w:p>
            <w:pPr>
              <w:spacing w:after="0"/>
              <w:rPr>
                <w:sz w:val="14"/>
                <w:szCs w:val="14"/>
                <w:color w:val="auto"/>
              </w:rPr>
            </w:pPr>
          </w:p>
        </w:tc>
        <w:tc>
          <w:tcPr>
            <w:tcW w:w="1220" w:type="dxa"/>
            <w:vAlign w:val="bottom"/>
            <w:gridSpan w:val="3"/>
          </w:tcPr>
          <w:p>
            <w:pPr>
              <w:jc w:val="right"/>
              <w:ind w:right="28"/>
              <w:spacing w:after="0"/>
              <w:rPr>
                <w:sz w:val="20"/>
                <w:szCs w:val="20"/>
                <w:color w:val="auto"/>
              </w:rPr>
            </w:pPr>
            <w:r>
              <w:rPr>
                <w:rFonts w:ascii="Arial" w:cs="Arial" w:eastAsia="Arial" w:hAnsi="Arial"/>
                <w:sz w:val="14"/>
                <w:szCs w:val="14"/>
                <w:color w:val="auto"/>
              </w:rPr>
              <w:t>(7,496)</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3"/>
              <w:spacing w:after="0"/>
              <w:rPr>
                <w:sz w:val="20"/>
                <w:szCs w:val="20"/>
                <w:color w:val="auto"/>
              </w:rPr>
            </w:pPr>
            <w:r>
              <w:rPr>
                <w:rFonts w:ascii="Arial" w:cs="Arial" w:eastAsia="Arial" w:hAnsi="Arial"/>
                <w:sz w:val="14"/>
                <w:szCs w:val="14"/>
                <w:color w:val="auto"/>
              </w:rPr>
              <w:t>218,799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00" w:type="dxa"/>
            <w:vAlign w:val="bottom"/>
            <w:gridSpan w:val="3"/>
            <w:shd w:val="clear" w:color="auto" w:fill="CCEEFF"/>
          </w:tcPr>
          <w:p>
            <w:pPr>
              <w:ind w:left="600"/>
              <w:spacing w:after="0" w:line="153" w:lineRule="exact"/>
              <w:rPr>
                <w:sz w:val="20"/>
                <w:szCs w:val="20"/>
                <w:color w:val="auto"/>
              </w:rPr>
            </w:pPr>
            <w:r>
              <w:rPr>
                <w:rFonts w:ascii="Arial" w:cs="Arial" w:eastAsia="Arial" w:hAnsi="Arial"/>
                <w:sz w:val="14"/>
                <w:szCs w:val="14"/>
                <w:i w:val="1"/>
                <w:iCs w:val="1"/>
                <w:color w:val="auto"/>
              </w:rPr>
              <w:t>Percentage increase</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3"/>
            <w:shd w:val="clear" w:color="auto" w:fill="CCEEFF"/>
          </w:tcPr>
          <w:p>
            <w:pPr>
              <w:ind w:left="800"/>
              <w:spacing w:after="0"/>
              <w:rPr>
                <w:sz w:val="20"/>
                <w:szCs w:val="20"/>
                <w:color w:val="auto"/>
              </w:rPr>
            </w:pPr>
            <w:r>
              <w:rPr>
                <w:rFonts w:ascii="Arial" w:cs="Arial" w:eastAsia="Arial" w:hAnsi="Arial"/>
                <w:sz w:val="14"/>
                <w:szCs w:val="14"/>
                <w:i w:val="1"/>
                <w:iCs w:val="1"/>
                <w:color w:val="auto"/>
              </w:rPr>
              <w:t>(decrease)</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w:t>
            </w:r>
          </w:p>
        </w:tc>
        <w:tc>
          <w:tcPr>
            <w:tcW w:w="2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466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284"/>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Borders>
              <w:bottom w:val="single" w:sz="8" w:color="auto"/>
            </w:tcBorders>
            <w:gridSpan w:val="6"/>
          </w:tcPr>
          <w:p>
            <w:pPr>
              <w:jc w:val="right"/>
              <w:ind w:right="383"/>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color w:val="auto"/>
              </w:rPr>
              <w:t>April 30,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color w:val="auto"/>
              </w:rPr>
              <w:t>April 30,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rPr>
              <w:t>April 30,</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April 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3"/>
              <w:spacing w:after="0" w:line="157" w:lineRule="exact"/>
              <w:rPr>
                <w:sz w:val="20"/>
                <w:szCs w:val="20"/>
                <w:color w:val="auto"/>
              </w:rPr>
            </w:pPr>
            <w:r>
              <w:rPr>
                <w:rFonts w:ascii="Arial" w:cs="Arial" w:eastAsia="Arial" w:hAnsi="Arial"/>
                <w:sz w:val="14"/>
                <w:szCs w:val="14"/>
                <w:color w:val="auto"/>
              </w:rPr>
              <w:t>2008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2007</w:t>
            </w:r>
          </w:p>
        </w:tc>
        <w:tc>
          <w:tcPr>
            <w:tcW w:w="22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7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2008</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3"/>
              <w:spacing w:after="0" w:line="157"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rPr>
              <w:t>Total profit for reportable segments</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87,469</w:t>
            </w:r>
          </w:p>
        </w:tc>
        <w:tc>
          <w:tcPr>
            <w:tcW w:w="1360" w:type="dxa"/>
            <w:vAlign w:val="bottom"/>
            <w:gridSpan w:val="4"/>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$ 79,244</w:t>
            </w:r>
          </w:p>
        </w:tc>
        <w:tc>
          <w:tcPr>
            <w:tcW w:w="1400" w:type="dxa"/>
            <w:vAlign w:val="bottom"/>
            <w:gridSpan w:val="4"/>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$256,629</w:t>
            </w:r>
          </w:p>
        </w:tc>
        <w:tc>
          <w:tcPr>
            <w:tcW w:w="1360" w:type="dxa"/>
            <w:vAlign w:val="bottom"/>
            <w:gridSpan w:val="5"/>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$226,295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3"/>
          </w:tcPr>
          <w:p>
            <w:pPr>
              <w:spacing w:after="0" w:line="202" w:lineRule="exact"/>
              <w:rPr>
                <w:sz w:val="20"/>
                <w:szCs w:val="20"/>
                <w:color w:val="auto"/>
              </w:rPr>
            </w:pPr>
            <w:r>
              <w:rPr>
                <w:rFonts w:ascii="Arial" w:cs="Arial" w:eastAsia="Arial" w:hAnsi="Arial"/>
                <w:sz w:val="18"/>
                <w:szCs w:val="18"/>
                <w:color w:val="auto"/>
              </w:rPr>
              <w:t>Corporate and eliminations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(1,816)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(1,858)</w:t>
            </w:r>
          </w:p>
        </w:tc>
        <w:tc>
          <w:tcPr>
            <w:tcW w:w="140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($6,400)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(33,071)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(31,083)</w:t>
            </w:r>
          </w:p>
        </w:tc>
        <w:tc>
          <w:tcPr>
            <w:tcW w:w="140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(96,865)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gridSpan w:val="5"/>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920</w:t>
            </w:r>
          </w:p>
        </w:tc>
        <w:tc>
          <w:tcPr>
            <w:tcW w:w="2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3,307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(6,962)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(6,428)</w:t>
            </w:r>
          </w:p>
        </w:tc>
        <w:tc>
          <w:tcPr>
            <w:tcW w:w="140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(20,429)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46,540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40,260</w:t>
            </w:r>
          </w:p>
        </w:tc>
        <w:tc>
          <w:tcPr>
            <w:tcW w:w="140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136,242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115,478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3"/>
          </w:tcPr>
          <w:p>
            <w:pPr>
              <w:spacing w:after="0" w:line="202" w:lineRule="exact"/>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(12,187)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(11,273)</w:t>
            </w:r>
          </w:p>
        </w:tc>
        <w:tc>
          <w:tcPr>
            <w:tcW w:w="140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(38,829)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3"/>
            <w:shd w:val="clear" w:color="auto" w:fill="CCEEFF"/>
          </w:tcPr>
          <w:p>
            <w:pPr>
              <w:ind w:left="400"/>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34,353</w:t>
            </w:r>
          </w:p>
        </w:tc>
        <w:tc>
          <w:tcPr>
            <w:tcW w:w="24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$ 28,987</w:t>
            </w:r>
          </w:p>
        </w:tc>
        <w:tc>
          <w:tcPr>
            <w:tcW w:w="140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$ 97,413</w:t>
            </w:r>
          </w:p>
        </w:tc>
        <w:tc>
          <w:tcPr>
            <w:tcW w:w="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1" w:name="page12"/>
    <w:bookmarkEnd w:id="11"/>
    <w:p>
      <w:pPr>
        <w:ind w:right="5540"/>
        <w:spacing w:after="0" w:line="271"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Fiscal 2007</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6"/>
        </w:trPr>
        <w:tc>
          <w:tcPr>
            <w:tcW w:w="4300" w:type="dxa"/>
            <w:vAlign w:val="bottom"/>
          </w:tcPr>
          <w:p>
            <w:pPr>
              <w:spacing w:after="0"/>
              <w:rPr>
                <w:sz w:val="13"/>
                <w:szCs w:val="13"/>
                <w:color w:val="auto"/>
              </w:rPr>
            </w:pPr>
          </w:p>
        </w:tc>
        <w:tc>
          <w:tcPr>
            <w:tcW w:w="11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Q1</w:t>
            </w:r>
          </w:p>
        </w:tc>
        <w:tc>
          <w:tcPr>
            <w:tcW w:w="440" w:type="dxa"/>
            <w:vAlign w:val="bottom"/>
          </w:tcPr>
          <w:p>
            <w:pPr>
              <w:spacing w:after="0"/>
              <w:rPr>
                <w:sz w:val="13"/>
                <w:szCs w:val="13"/>
                <w:color w:val="auto"/>
              </w:rPr>
            </w:pPr>
          </w:p>
        </w:tc>
        <w:tc>
          <w:tcPr>
            <w:tcW w:w="11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Q2</w:t>
            </w:r>
          </w:p>
        </w:tc>
        <w:tc>
          <w:tcPr>
            <w:tcW w:w="440" w:type="dxa"/>
            <w:vAlign w:val="bottom"/>
          </w:tcPr>
          <w:p>
            <w:pPr>
              <w:spacing w:after="0"/>
              <w:rPr>
                <w:sz w:val="13"/>
                <w:szCs w:val="13"/>
                <w:color w:val="auto"/>
              </w:rPr>
            </w:pPr>
          </w:p>
        </w:tc>
        <w:tc>
          <w:tcPr>
            <w:tcW w:w="11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Q3</w:t>
            </w:r>
          </w:p>
        </w:tc>
        <w:tc>
          <w:tcPr>
            <w:tcW w:w="440" w:type="dxa"/>
            <w:vAlign w:val="bottom"/>
          </w:tcPr>
          <w:p>
            <w:pPr>
              <w:spacing w:after="0"/>
              <w:rPr>
                <w:sz w:val="13"/>
                <w:szCs w:val="13"/>
                <w:color w:val="auto"/>
              </w:rPr>
            </w:pPr>
          </w:p>
        </w:tc>
        <w:tc>
          <w:tcPr>
            <w:tcW w:w="7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color w:val="auto"/>
              </w:rPr>
              <w:t>Q4</w:t>
            </w:r>
          </w:p>
        </w:tc>
        <w:tc>
          <w:tcPr>
            <w:tcW w:w="4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$34,448</w:t>
            </w:r>
          </w:p>
        </w:tc>
        <w:tc>
          <w:tcPr>
            <w:tcW w:w="15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$19,709</w:t>
            </w:r>
          </w:p>
        </w:tc>
        <w:tc>
          <w:tcPr>
            <w:tcW w:w="15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$28,987</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83,144</w:t>
            </w:r>
          </w:p>
        </w:tc>
      </w:tr>
      <w:tr>
        <w:trPr>
          <w:trHeight w:val="203"/>
        </w:trPr>
        <w:tc>
          <w:tcPr>
            <w:tcW w:w="4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4,735</w:t>
            </w:r>
          </w:p>
        </w:tc>
        <w:tc>
          <w:tcPr>
            <w:tcW w:w="15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5,244</w:t>
            </w:r>
          </w:p>
        </w:tc>
        <w:tc>
          <w:tcPr>
            <w:tcW w:w="15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6,428</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16,407</w:t>
            </w:r>
          </w:p>
        </w:tc>
      </w:tr>
      <w:tr>
        <w:trPr>
          <w:trHeight w:val="203"/>
        </w:trPr>
        <w:tc>
          <w:tcPr>
            <w:tcW w:w="430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1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13,396</w:t>
            </w:r>
          </w:p>
        </w:tc>
        <w:tc>
          <w:tcPr>
            <w:tcW w:w="15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7,665</w:t>
            </w:r>
          </w:p>
        </w:tc>
        <w:tc>
          <w:tcPr>
            <w:tcW w:w="15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11,273</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32,334</w:t>
            </w:r>
          </w:p>
        </w:tc>
      </w:tr>
      <w:tr>
        <w:trPr>
          <w:trHeight w:val="203"/>
        </w:trPr>
        <w:tc>
          <w:tcPr>
            <w:tcW w:w="4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2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12,927</w:t>
            </w:r>
          </w:p>
        </w:tc>
        <w:tc>
          <w:tcPr>
            <w:tcW w:w="1540" w:type="dxa"/>
            <w:vAlign w:val="bottom"/>
            <w:tcBorders>
              <w:bottom w:val="single" w:sz="8" w:color="auto"/>
            </w:tcBorders>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13,169</w:t>
            </w:r>
          </w:p>
        </w:tc>
        <w:tc>
          <w:tcPr>
            <w:tcW w:w="1560" w:type="dxa"/>
            <w:vAlign w:val="bottom"/>
            <w:tcBorders>
              <w:bottom w:val="single" w:sz="8" w:color="auto"/>
            </w:tcBorders>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14,307</w:t>
            </w: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40,403</w:t>
            </w: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$ 65,506</w:t>
            </w:r>
          </w:p>
        </w:tc>
        <w:tc>
          <w:tcPr>
            <w:tcW w:w="1540" w:type="dxa"/>
            <w:vAlign w:val="bottom"/>
            <w:gridSpan w:val="2"/>
          </w:tcPr>
          <w:p>
            <w:pPr>
              <w:jc w:val="right"/>
              <w:ind w:right="188"/>
              <w:spacing w:after="0"/>
              <w:rPr>
                <w:sz w:val="20"/>
                <w:szCs w:val="20"/>
                <w:color w:val="auto"/>
              </w:rPr>
            </w:pPr>
            <w:r>
              <w:rPr>
                <w:rFonts w:ascii="Arial" w:cs="Arial" w:eastAsia="Arial" w:hAnsi="Arial"/>
                <w:sz w:val="18"/>
                <w:szCs w:val="18"/>
                <w:color w:val="auto"/>
              </w:rPr>
              <w:t>$ 45,787</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$ 60,995</w:t>
            </w:r>
          </w:p>
        </w:tc>
        <w:tc>
          <w:tcPr>
            <w:tcW w:w="440" w:type="dxa"/>
            <w:vAlign w:val="bottom"/>
          </w:tcPr>
          <w:p>
            <w:pPr>
              <w:spacing w:after="0"/>
              <w:rPr>
                <w:sz w:val="19"/>
                <w:szCs w:val="19"/>
                <w:color w:val="auto"/>
              </w:rPr>
            </w:pPr>
          </w:p>
        </w:tc>
        <w:tc>
          <w:tcPr>
            <w:tcW w:w="760" w:type="dxa"/>
            <w:vAlign w:val="bottom"/>
          </w:tcPr>
          <w:p>
            <w:pPr>
              <w:jc w:val="right"/>
              <w:ind w:right="199"/>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172,288</w:t>
            </w:r>
          </w:p>
        </w:tc>
      </w:tr>
      <w:tr>
        <w:trPr>
          <w:trHeight w:val="351"/>
        </w:trPr>
        <w:tc>
          <w:tcPr>
            <w:tcW w:w="4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Fiscal 2008</w:t>
            </w: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6"/>
        </w:trPr>
        <w:tc>
          <w:tcPr>
            <w:tcW w:w="4300" w:type="dxa"/>
            <w:vAlign w:val="bottom"/>
          </w:tcPr>
          <w:p>
            <w:pPr>
              <w:spacing w:after="0"/>
              <w:rPr>
                <w:sz w:val="13"/>
                <w:szCs w:val="13"/>
                <w:color w:val="auto"/>
              </w:rPr>
            </w:pPr>
          </w:p>
        </w:tc>
        <w:tc>
          <w:tcPr>
            <w:tcW w:w="11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Q1</w:t>
            </w:r>
          </w:p>
        </w:tc>
        <w:tc>
          <w:tcPr>
            <w:tcW w:w="440" w:type="dxa"/>
            <w:vAlign w:val="bottom"/>
          </w:tcPr>
          <w:p>
            <w:pPr>
              <w:spacing w:after="0"/>
              <w:rPr>
                <w:sz w:val="13"/>
                <w:szCs w:val="13"/>
                <w:color w:val="auto"/>
              </w:rPr>
            </w:pPr>
          </w:p>
        </w:tc>
        <w:tc>
          <w:tcPr>
            <w:tcW w:w="11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Q2</w:t>
            </w:r>
          </w:p>
        </w:tc>
        <w:tc>
          <w:tcPr>
            <w:tcW w:w="440" w:type="dxa"/>
            <w:vAlign w:val="bottom"/>
          </w:tcPr>
          <w:p>
            <w:pPr>
              <w:spacing w:after="0"/>
              <w:rPr>
                <w:sz w:val="13"/>
                <w:szCs w:val="13"/>
                <w:color w:val="auto"/>
              </w:rPr>
            </w:pPr>
          </w:p>
        </w:tc>
        <w:tc>
          <w:tcPr>
            <w:tcW w:w="11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Q3</w:t>
            </w:r>
          </w:p>
        </w:tc>
        <w:tc>
          <w:tcPr>
            <w:tcW w:w="440" w:type="dxa"/>
            <w:vAlign w:val="bottom"/>
          </w:tcPr>
          <w:p>
            <w:pPr>
              <w:spacing w:after="0"/>
              <w:rPr>
                <w:sz w:val="13"/>
                <w:szCs w:val="13"/>
                <w:color w:val="auto"/>
              </w:rPr>
            </w:pPr>
          </w:p>
        </w:tc>
        <w:tc>
          <w:tcPr>
            <w:tcW w:w="7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color w:val="auto"/>
              </w:rPr>
              <w:t>Q4</w:t>
            </w:r>
          </w:p>
        </w:tc>
        <w:tc>
          <w:tcPr>
            <w:tcW w:w="4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color w:val="auto"/>
              </w:rPr>
              <w:t>Total</w:t>
            </w:r>
          </w:p>
        </w:tc>
      </w:tr>
      <w:tr>
        <w:trPr>
          <w:trHeight w:val="196"/>
        </w:trPr>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430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1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$36,370</w:t>
            </w:r>
          </w:p>
        </w:tc>
        <w:tc>
          <w:tcPr>
            <w:tcW w:w="15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$26,690</w:t>
            </w:r>
          </w:p>
        </w:tc>
        <w:tc>
          <w:tcPr>
            <w:tcW w:w="15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$34,353</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97,413</w:t>
            </w:r>
          </w:p>
        </w:tc>
      </w:tr>
      <w:tr>
        <w:trPr>
          <w:trHeight w:val="203"/>
        </w:trPr>
        <w:tc>
          <w:tcPr>
            <w:tcW w:w="4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expense</w:t>
            </w:r>
          </w:p>
        </w:tc>
        <w:tc>
          <w:tcPr>
            <w:tcW w:w="112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6,720</w:t>
            </w:r>
          </w:p>
        </w:tc>
        <w:tc>
          <w:tcPr>
            <w:tcW w:w="15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6,747</w:t>
            </w:r>
          </w:p>
        </w:tc>
        <w:tc>
          <w:tcPr>
            <w:tcW w:w="156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6,962</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20,429</w:t>
            </w:r>
          </w:p>
        </w:tc>
      </w:tr>
      <w:tr>
        <w:trPr>
          <w:trHeight w:val="203"/>
        </w:trPr>
        <w:tc>
          <w:tcPr>
            <w:tcW w:w="4300" w:type="dxa"/>
            <w:vAlign w:val="bottom"/>
          </w:tcPr>
          <w:p>
            <w:pPr>
              <w:ind w:left="420"/>
              <w:spacing w:after="0" w:line="202" w:lineRule="exact"/>
              <w:rPr>
                <w:sz w:val="20"/>
                <w:szCs w:val="20"/>
                <w:color w:val="auto"/>
              </w:rPr>
            </w:pPr>
            <w:r>
              <w:rPr>
                <w:rFonts w:ascii="Arial" w:cs="Arial" w:eastAsia="Arial" w:hAnsi="Arial"/>
                <w:sz w:val="18"/>
                <w:szCs w:val="18"/>
                <w:color w:val="auto"/>
              </w:rPr>
              <w:t>Income taxes</w:t>
            </w:r>
          </w:p>
        </w:tc>
        <w:tc>
          <w:tcPr>
            <w:tcW w:w="11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15,366</w:t>
            </w:r>
          </w:p>
        </w:tc>
        <w:tc>
          <w:tcPr>
            <w:tcW w:w="15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11,276</w:t>
            </w:r>
          </w:p>
        </w:tc>
        <w:tc>
          <w:tcPr>
            <w:tcW w:w="156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12,187</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38,829</w:t>
            </w:r>
          </w:p>
        </w:tc>
      </w:tr>
      <w:tr>
        <w:trPr>
          <w:trHeight w:val="203"/>
        </w:trPr>
        <w:tc>
          <w:tcPr>
            <w:tcW w:w="4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12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14,168</w:t>
            </w:r>
          </w:p>
        </w:tc>
        <w:tc>
          <w:tcPr>
            <w:tcW w:w="1540" w:type="dxa"/>
            <w:vAlign w:val="bottom"/>
            <w:tcBorders>
              <w:bottom w:val="single" w:sz="8" w:color="auto"/>
            </w:tcBorders>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15,501</w:t>
            </w:r>
          </w:p>
        </w:tc>
        <w:tc>
          <w:tcPr>
            <w:tcW w:w="1560" w:type="dxa"/>
            <w:vAlign w:val="bottom"/>
            <w:tcBorders>
              <w:bottom w:val="single" w:sz="8" w:color="auto"/>
            </w:tcBorders>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16,013</w:t>
            </w: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45,682</w:t>
            </w:r>
          </w:p>
        </w:tc>
      </w:tr>
      <w:tr>
        <w:trPr>
          <w:trHeight w:val="223"/>
        </w:trPr>
        <w:tc>
          <w:tcPr>
            <w:tcW w:w="430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$72,624</w:t>
            </w:r>
          </w:p>
        </w:tc>
        <w:tc>
          <w:tcPr>
            <w:tcW w:w="1540" w:type="dxa"/>
            <w:vAlign w:val="bottom"/>
            <w:gridSpan w:val="2"/>
          </w:tcPr>
          <w:p>
            <w:pPr>
              <w:jc w:val="right"/>
              <w:ind w:right="188"/>
              <w:spacing w:after="0"/>
              <w:rPr>
                <w:sz w:val="20"/>
                <w:szCs w:val="20"/>
                <w:color w:val="auto"/>
              </w:rPr>
            </w:pPr>
            <w:r>
              <w:rPr>
                <w:rFonts w:ascii="Arial" w:cs="Arial" w:eastAsia="Arial" w:hAnsi="Arial"/>
                <w:sz w:val="18"/>
                <w:szCs w:val="18"/>
                <w:color w:val="auto"/>
              </w:rPr>
              <w:t>$60,214</w:t>
            </w:r>
          </w:p>
        </w:tc>
        <w:tc>
          <w:tcPr>
            <w:tcW w:w="1560" w:type="dxa"/>
            <w:vAlign w:val="bottom"/>
            <w:gridSpan w:val="2"/>
          </w:tcPr>
          <w:p>
            <w:pPr>
              <w:jc w:val="right"/>
              <w:ind w:right="208"/>
              <w:spacing w:after="0"/>
              <w:rPr>
                <w:sz w:val="20"/>
                <w:szCs w:val="20"/>
                <w:color w:val="auto"/>
              </w:rPr>
            </w:pPr>
            <w:r>
              <w:rPr>
                <w:rFonts w:ascii="Arial" w:cs="Arial" w:eastAsia="Arial" w:hAnsi="Arial"/>
                <w:sz w:val="18"/>
                <w:szCs w:val="18"/>
                <w:color w:val="auto"/>
              </w:rPr>
              <w:t>$69,515</w:t>
            </w:r>
          </w:p>
        </w:tc>
        <w:tc>
          <w:tcPr>
            <w:tcW w:w="440" w:type="dxa"/>
            <w:vAlign w:val="bottom"/>
          </w:tcPr>
          <w:p>
            <w:pPr>
              <w:spacing w:after="0"/>
              <w:rPr>
                <w:sz w:val="19"/>
                <w:szCs w:val="19"/>
                <w:color w:val="auto"/>
              </w:rPr>
            </w:pPr>
          </w:p>
        </w:tc>
        <w:tc>
          <w:tcPr>
            <w:tcW w:w="76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3"/>
              <w:spacing w:after="0"/>
              <w:rPr>
                <w:sz w:val="20"/>
                <w:szCs w:val="20"/>
                <w:color w:val="auto"/>
              </w:rPr>
            </w:pPr>
            <w:r>
              <w:rPr>
                <w:rFonts w:ascii="Arial" w:cs="Arial" w:eastAsia="Arial" w:hAnsi="Arial"/>
                <w:sz w:val="18"/>
                <w:szCs w:val="18"/>
                <w:color w:val="auto"/>
                <w:w w:val="98"/>
              </w:rPr>
              <w:t>202,353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20" w:hanging="452"/>
        <w:spacing w:after="0" w:line="23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4"/>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2019-12-11T14:29:52Z</dcterms:created>
  <dcterms:modified xsi:type="dcterms:W3CDTF">2019-12-11T14:29:52Z</dcterms:modified>
</cp:coreProperties>
</file>