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8"/>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58"/>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8"/>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192405</wp:posOffset>
            </wp:positionV>
            <wp:extent cx="16008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37" w:lineRule="exact"/>
        <w:rPr>
          <w:sz w:val="24"/>
          <w:szCs w:val="24"/>
          <w:color w:val="auto"/>
        </w:rPr>
      </w:pPr>
    </w:p>
    <w:p>
      <w:pPr>
        <w:jc w:val="center"/>
        <w:ind w:right="-58"/>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167640</wp:posOffset>
            </wp:positionV>
            <wp:extent cx="16008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3" w:lineRule="exact"/>
        <w:rPr>
          <w:sz w:val="24"/>
          <w:szCs w:val="24"/>
          <w:color w:val="auto"/>
        </w:rPr>
      </w:pPr>
    </w:p>
    <w:p>
      <w:pPr>
        <w:jc w:val="center"/>
        <w:ind w:right="-58"/>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54" w:lineRule="exact"/>
        <w:rPr>
          <w:sz w:val="24"/>
          <w:szCs w:val="24"/>
          <w:color w:val="auto"/>
        </w:rPr>
      </w:pPr>
    </w:p>
    <w:p>
      <w:pPr>
        <w:jc w:val="center"/>
        <w:ind w:right="-58"/>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w:t>
      </w:r>
    </w:p>
    <w:p>
      <w:pPr>
        <w:spacing w:after="0" w:line="37" w:lineRule="exact"/>
        <w:rPr>
          <w:sz w:val="24"/>
          <w:szCs w:val="24"/>
          <w:color w:val="auto"/>
        </w:rPr>
      </w:pPr>
    </w:p>
    <w:p>
      <w:pPr>
        <w:jc w:val="center"/>
        <w:ind w:right="-58"/>
        <w:spacing w:after="0"/>
        <w:rPr>
          <w:sz w:val="20"/>
          <w:szCs w:val="20"/>
          <w:color w:val="auto"/>
        </w:rPr>
      </w:pPr>
      <w:r>
        <w:rPr>
          <w:rFonts w:ascii="Times New Roman" w:cs="Times New Roman" w:eastAsia="Times New Roman" w:hAnsi="Times New Roman"/>
          <w:sz w:val="19"/>
          <w:szCs w:val="19"/>
          <w:b w:val="1"/>
          <w:bCs w:val="1"/>
          <w:color w:val="auto"/>
        </w:rPr>
        <w:t>Securities Exchange Act of 1934</w:t>
      </w:r>
    </w:p>
    <w:p>
      <w:pPr>
        <w:spacing w:after="0" w:line="129" w:lineRule="exact"/>
        <w:rPr>
          <w:sz w:val="24"/>
          <w:szCs w:val="24"/>
          <w:color w:val="auto"/>
        </w:rPr>
      </w:pPr>
    </w:p>
    <w:p>
      <w:pPr>
        <w:jc w:val="center"/>
        <w:ind w:right="-58"/>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November 16,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201295</wp:posOffset>
            </wp:positionV>
            <wp:extent cx="16008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48" w:lineRule="exact"/>
        <w:rPr>
          <w:sz w:val="24"/>
          <w:szCs w:val="24"/>
          <w:color w:val="auto"/>
        </w:rPr>
      </w:pPr>
    </w:p>
    <w:tbl>
      <w:tblPr>
        <w:tblLayout w:type="fixed"/>
        <w:tblInd w:w="2379" w:type="dxa"/>
        <w:tblCellMar>
          <w:top w:w="0" w:type="dxa"/>
          <w:left w:w="0" w:type="dxa"/>
          <w:bottom w:w="0" w:type="dxa"/>
          <w:right w:w="0" w:type="dxa"/>
        </w:tblCellMar>
      </w:tblPr>
      <w:tr>
        <w:trPr>
          <w:trHeight w:val="474"/>
        </w:trPr>
        <w:tc>
          <w:tcPr>
            <w:tcW w:w="960" w:type="dxa"/>
            <w:vAlign w:val="bottom"/>
          </w:tcPr>
          <w:p>
            <w:pPr>
              <w:spacing w:after="0"/>
              <w:rPr>
                <w:sz w:val="24"/>
                <w:szCs w:val="24"/>
                <w:color w:val="auto"/>
              </w:rPr>
            </w:pPr>
          </w:p>
        </w:tc>
        <w:tc>
          <w:tcPr>
            <w:tcW w:w="5840" w:type="dxa"/>
            <w:vAlign w:val="bottom"/>
            <w:gridSpan w:val="3"/>
          </w:tcPr>
          <w:p>
            <w:pPr>
              <w:jc w:val="center"/>
              <w:ind w:right="1076"/>
              <w:spacing w:after="0"/>
              <w:rPr>
                <w:sz w:val="20"/>
                <w:szCs w:val="20"/>
                <w:color w:val="auto"/>
              </w:rPr>
            </w:pPr>
            <w:r>
              <w:rPr>
                <w:rFonts w:ascii="Times New Roman" w:cs="Times New Roman" w:eastAsia="Times New Roman" w:hAnsi="Times New Roman"/>
                <w:sz w:val="39"/>
                <w:szCs w:val="39"/>
                <w:b w:val="1"/>
                <w:bCs w:val="1"/>
                <w:color w:val="auto"/>
                <w:w w:val="98"/>
              </w:rPr>
              <w:t>BRADY CORPORATION</w:t>
            </w:r>
          </w:p>
        </w:tc>
      </w:tr>
      <w:tr>
        <w:trPr>
          <w:trHeight w:val="211"/>
        </w:trPr>
        <w:tc>
          <w:tcPr>
            <w:tcW w:w="960" w:type="dxa"/>
            <w:vAlign w:val="bottom"/>
          </w:tcPr>
          <w:p>
            <w:pPr>
              <w:spacing w:after="0"/>
              <w:rPr>
                <w:sz w:val="18"/>
                <w:szCs w:val="18"/>
                <w:color w:val="auto"/>
              </w:rPr>
            </w:pPr>
          </w:p>
        </w:tc>
        <w:tc>
          <w:tcPr>
            <w:tcW w:w="5840" w:type="dxa"/>
            <w:vAlign w:val="bottom"/>
            <w:gridSpan w:val="3"/>
          </w:tcPr>
          <w:p>
            <w:pPr>
              <w:jc w:val="center"/>
              <w:ind w:right="1076"/>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229"/>
        </w:trPr>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220" w:type="dxa"/>
            <w:vAlign w:val="bottom"/>
          </w:tcPr>
          <w:p>
            <w:pPr>
              <w:spacing w:after="0"/>
              <w:rPr>
                <w:sz w:val="19"/>
                <w:szCs w:val="19"/>
                <w:color w:val="auto"/>
              </w:rPr>
            </w:pPr>
          </w:p>
        </w:tc>
      </w:tr>
      <w:tr>
        <w:trPr>
          <w:trHeight w:val="257"/>
        </w:trPr>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740" w:type="dxa"/>
            <w:vAlign w:val="bottom"/>
            <w:gridSpan w:val="2"/>
          </w:tcPr>
          <w:p>
            <w:pPr>
              <w:jc w:val="center"/>
              <w:ind w:right="2176"/>
              <w:spacing w:after="0"/>
              <w:rPr>
                <w:sz w:val="20"/>
                <w:szCs w:val="20"/>
                <w:color w:val="auto"/>
              </w:rPr>
            </w:pPr>
            <w:r>
              <w:rPr>
                <w:rFonts w:ascii="Times New Roman" w:cs="Times New Roman" w:eastAsia="Times New Roman" w:hAnsi="Times New Roman"/>
                <w:sz w:val="16"/>
                <w:szCs w:val="16"/>
                <w:b w:val="1"/>
                <w:bCs w:val="1"/>
                <w:color w:val="auto"/>
              </w:rPr>
              <w:t>Commission File Number 1-14959</w:t>
            </w:r>
          </w:p>
        </w:tc>
      </w:tr>
      <w:tr>
        <w:trPr>
          <w:trHeight w:val="627"/>
        </w:trPr>
        <w:tc>
          <w:tcPr>
            <w:tcW w:w="96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Wisconsin</w:t>
            </w:r>
          </w:p>
        </w:tc>
        <w:tc>
          <w:tcPr>
            <w:tcW w:w="5840" w:type="dxa"/>
            <w:vAlign w:val="bottom"/>
            <w:gridSpan w:val="3"/>
          </w:tcPr>
          <w:p>
            <w:pPr>
              <w:jc w:val="center"/>
              <w:ind w:left="4720"/>
              <w:spacing w:after="0"/>
              <w:rPr>
                <w:sz w:val="20"/>
                <w:szCs w:val="20"/>
                <w:color w:val="auto"/>
              </w:rPr>
            </w:pPr>
            <w:r>
              <w:rPr>
                <w:rFonts w:ascii="Times New Roman" w:cs="Times New Roman" w:eastAsia="Times New Roman" w:hAnsi="Times New Roman"/>
                <w:sz w:val="16"/>
                <w:szCs w:val="16"/>
                <w:b w:val="1"/>
                <w:bCs w:val="1"/>
                <w:color w:val="auto"/>
              </w:rPr>
              <w:t>39-0971239</w:t>
            </w:r>
          </w:p>
        </w:tc>
      </w:tr>
      <w:tr>
        <w:trPr>
          <w:trHeight w:val="159"/>
        </w:trPr>
        <w:tc>
          <w:tcPr>
            <w:tcW w:w="96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8"/>
              </w:rPr>
              <w:t>(State of</w:t>
            </w:r>
          </w:p>
        </w:tc>
        <w:tc>
          <w:tcPr>
            <w:tcW w:w="1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20" w:type="dxa"/>
            <w:vAlign w:val="bottom"/>
          </w:tcPr>
          <w:p>
            <w:pPr>
              <w:jc w:val="center"/>
              <w:ind w:left="1136"/>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0"/>
        </w:trPr>
        <w:tc>
          <w:tcPr>
            <w:tcW w:w="96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7"/>
              </w:rPr>
              <w:t>Incorporation)</w:t>
            </w:r>
          </w:p>
        </w:tc>
        <w:tc>
          <w:tcPr>
            <w:tcW w:w="1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20" w:type="dxa"/>
            <w:vAlign w:val="bottom"/>
          </w:tcPr>
          <w:p>
            <w:pPr>
              <w:jc w:val="center"/>
              <w:ind w:left="1136"/>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193"/>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Times New Roman" w:cs="Times New Roman" w:eastAsia="Times New Roman" w:hAnsi="Times New Roman"/>
                <w:sz w:val="16"/>
                <w:szCs w:val="16"/>
                <w:b w:val="1"/>
                <w:bCs w:val="1"/>
                <w:color w:val="auto"/>
              </w:rPr>
              <w:t>6555 West Good Hope Road</w:t>
            </w:r>
          </w:p>
        </w:tc>
      </w:tr>
      <w:tr>
        <w:trPr>
          <w:trHeight w:val="190"/>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Times New Roman" w:cs="Times New Roman" w:eastAsia="Times New Roman" w:hAnsi="Times New Roman"/>
                <w:sz w:val="16"/>
                <w:szCs w:val="16"/>
                <w:b w:val="1"/>
                <w:bCs w:val="1"/>
                <w:color w:val="auto"/>
              </w:rPr>
              <w:t>Milwaukee, Wisconsin 53223</w:t>
            </w:r>
          </w:p>
        </w:tc>
      </w:tr>
      <w:tr>
        <w:trPr>
          <w:trHeight w:val="169"/>
        </w:trPr>
        <w:tc>
          <w:tcPr>
            <w:tcW w:w="960" w:type="dxa"/>
            <w:vAlign w:val="bottom"/>
          </w:tcPr>
          <w:p>
            <w:pPr>
              <w:spacing w:after="0"/>
              <w:rPr>
                <w:sz w:val="14"/>
                <w:szCs w:val="14"/>
                <w:color w:val="auto"/>
              </w:rPr>
            </w:pPr>
          </w:p>
        </w:tc>
        <w:tc>
          <w:tcPr>
            <w:tcW w:w="5840" w:type="dxa"/>
            <w:vAlign w:val="bottom"/>
            <w:gridSpan w:val="3"/>
          </w:tcPr>
          <w:p>
            <w:pPr>
              <w:jc w:val="center"/>
              <w:ind w:right="1076"/>
              <w:spacing w:after="0"/>
              <w:rPr>
                <w:sz w:val="20"/>
                <w:szCs w:val="20"/>
                <w:color w:val="auto"/>
              </w:rPr>
            </w:pPr>
            <w:r>
              <w:rPr>
                <w:rFonts w:ascii="Times New Roman" w:cs="Times New Roman" w:eastAsia="Times New Roman" w:hAnsi="Times New Roman"/>
                <w:sz w:val="13"/>
                <w:szCs w:val="13"/>
                <w:b w:val="1"/>
                <w:bCs w:val="1"/>
                <w:color w:val="auto"/>
                <w:w w:val="98"/>
              </w:rPr>
              <w:t>(Address of Principal Executive Offices and Zip Code)</w:t>
            </w:r>
          </w:p>
        </w:tc>
      </w:tr>
      <w:tr>
        <w:trPr>
          <w:trHeight w:val="336"/>
        </w:trPr>
        <w:tc>
          <w:tcPr>
            <w:tcW w:w="960" w:type="dxa"/>
            <w:vAlign w:val="bottom"/>
          </w:tcPr>
          <w:p>
            <w:pPr>
              <w:spacing w:after="0"/>
              <w:rPr>
                <w:sz w:val="24"/>
                <w:szCs w:val="24"/>
                <w:color w:val="auto"/>
              </w:rPr>
            </w:pPr>
          </w:p>
        </w:tc>
        <w:tc>
          <w:tcPr>
            <w:tcW w:w="3620" w:type="dxa"/>
            <w:vAlign w:val="bottom"/>
            <w:gridSpan w:val="2"/>
          </w:tcPr>
          <w:p>
            <w:pPr>
              <w:jc w:val="center"/>
              <w:ind w:left="1000"/>
              <w:spacing w:after="0"/>
              <w:rPr>
                <w:sz w:val="20"/>
                <w:szCs w:val="20"/>
                <w:color w:val="auto"/>
              </w:rPr>
            </w:pPr>
            <w:r>
              <w:rPr>
                <w:rFonts w:ascii="Times New Roman" w:cs="Times New Roman" w:eastAsia="Times New Roman" w:hAnsi="Times New Roman"/>
                <w:sz w:val="16"/>
                <w:szCs w:val="16"/>
                <w:b w:val="1"/>
                <w:bCs w:val="1"/>
                <w:color w:val="auto"/>
                <w:w w:val="99"/>
              </w:rPr>
              <w:t>(414) 358-6600</w:t>
            </w:r>
          </w:p>
        </w:tc>
        <w:tc>
          <w:tcPr>
            <w:tcW w:w="222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40" w:type="dxa"/>
            <w:vAlign w:val="bottom"/>
            <w:gridSpan w:val="2"/>
          </w:tcPr>
          <w:p>
            <w:pPr>
              <w:jc w:val="center"/>
              <w:ind w:right="2156"/>
              <w:spacing w:after="0"/>
              <w:rPr>
                <w:sz w:val="20"/>
                <w:szCs w:val="20"/>
                <w:color w:val="auto"/>
              </w:rPr>
            </w:pPr>
            <w:r>
              <w:rPr>
                <w:rFonts w:ascii="Times New Roman" w:cs="Times New Roman" w:eastAsia="Times New Roman" w:hAnsi="Times New Roman"/>
                <w:sz w:val="13"/>
                <w:szCs w:val="13"/>
                <w:b w:val="1"/>
                <w:bCs w:val="1"/>
                <w:color w:val="auto"/>
                <w:w w:val="98"/>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159385</wp:posOffset>
            </wp:positionV>
            <wp:extent cx="16008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299" w:lineRule="exact"/>
        <w:rPr>
          <w:sz w:val="24"/>
          <w:szCs w:val="24"/>
          <w:color w:val="auto"/>
        </w:rPr>
      </w:pPr>
    </w:p>
    <w:p>
      <w:pPr>
        <w:ind w:left="479"/>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ectPr>
          <w:pgSz w:w="11900" w:h="16838" w:orient="portrait"/>
          <w:cols w:equalWidth="0" w:num="1">
            <w:col w:w="11319"/>
          </w:cols>
          <w:pgMar w:left="261" w:top="664" w:right="319" w:bottom="1440" w:gutter="0" w:footer="0" w:header="0"/>
        </w:sectPr>
      </w:pPr>
    </w:p>
    <w:bookmarkStart w:id="1" w:name="page2"/>
    <w:bookmarkEnd w:id="1"/>
    <w:p>
      <w:pPr>
        <w:ind w:left="20"/>
        <w:spacing w:after="0"/>
        <w:tabs>
          <w:tab w:leader="none" w:pos="940" w:val="left"/>
        </w:tabs>
        <w:rPr>
          <w:sz w:val="20"/>
          <w:szCs w:val="20"/>
          <w:color w:val="auto"/>
        </w:rPr>
      </w:pPr>
      <w:r>
        <w:rPr>
          <w:rFonts w:ascii="Times New Roman" w:cs="Times New Roman" w:eastAsia="Times New Roman" w:hAnsi="Times New Roman"/>
          <w:sz w:val="16"/>
          <w:szCs w:val="16"/>
          <w:color w:val="auto"/>
        </w:rPr>
        <w:t>Item 2.02</w:t>
      </w:r>
      <w:r>
        <w:rPr>
          <w:sz w:val="20"/>
          <w:szCs w:val="20"/>
          <w:color w:val="auto"/>
        </w:rPr>
        <w:tab/>
      </w:r>
      <w:r>
        <w:rPr>
          <w:rFonts w:ascii="Times New Roman" w:cs="Times New Roman" w:eastAsia="Times New Roman" w:hAnsi="Times New Roman"/>
          <w:sz w:val="15"/>
          <w:szCs w:val="15"/>
          <w:color w:val="auto"/>
        </w:rPr>
        <w:t>RESULTS OF OPERATIONS AND FINANCIAL CONDITION</w:t>
      </w:r>
    </w:p>
    <w:p>
      <w:pPr>
        <w:spacing w:after="0" w:line="226" w:lineRule="exact"/>
        <w:rPr>
          <w:sz w:val="20"/>
          <w:szCs w:val="20"/>
          <w:color w:val="auto"/>
        </w:rPr>
      </w:pPr>
    </w:p>
    <w:p>
      <w:pPr>
        <w:jc w:val="both"/>
        <w:ind w:right="20" w:firstLine="290"/>
        <w:spacing w:after="0" w:line="284" w:lineRule="auto"/>
        <w:rPr>
          <w:sz w:val="20"/>
          <w:szCs w:val="20"/>
          <w:color w:val="auto"/>
        </w:rPr>
      </w:pPr>
      <w:r>
        <w:rPr>
          <w:rFonts w:ascii="Times New Roman" w:cs="Times New Roman" w:eastAsia="Times New Roman" w:hAnsi="Times New Roman"/>
          <w:sz w:val="16"/>
          <w:szCs w:val="16"/>
          <w:color w:val="auto"/>
        </w:rPr>
        <w:t>On November 16, 2016, Brady Corporation (the “Company”) issued a press release announcing its fiscal 2017 first quarter financial results. A copy of the press release is being furnished to the Securities and Exchange Commission as Exhibit 99.1 attached hereto and is incorporated herein by reference.</w:t>
      </w: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6"/>
          <w:szCs w:val="16"/>
          <w:color w:val="auto"/>
        </w:rPr>
        <w:t>Item 7.01</w:t>
      </w:r>
      <w:r>
        <w:rPr>
          <w:sz w:val="20"/>
          <w:szCs w:val="20"/>
          <w:color w:val="auto"/>
        </w:rPr>
        <w:tab/>
      </w:r>
      <w:r>
        <w:rPr>
          <w:rFonts w:ascii="Times New Roman" w:cs="Times New Roman" w:eastAsia="Times New Roman" w:hAnsi="Times New Roman"/>
          <w:sz w:val="15"/>
          <w:szCs w:val="15"/>
          <w:color w:val="auto"/>
        </w:rPr>
        <w:t>REGULATION FD DISCLOSURE</w:t>
      </w:r>
    </w:p>
    <w:p>
      <w:pPr>
        <w:spacing w:after="0" w:line="226" w:lineRule="exact"/>
        <w:rPr>
          <w:sz w:val="20"/>
          <w:szCs w:val="20"/>
          <w:color w:val="auto"/>
        </w:rPr>
      </w:pPr>
    </w:p>
    <w:p>
      <w:pPr>
        <w:jc w:val="both"/>
        <w:ind w:right="20" w:firstLine="290"/>
        <w:spacing w:after="0" w:line="268" w:lineRule="auto"/>
        <w:rPr>
          <w:sz w:val="20"/>
          <w:szCs w:val="20"/>
          <w:color w:val="auto"/>
        </w:rPr>
      </w:pPr>
      <w:r>
        <w:rPr>
          <w:rFonts w:ascii="Times New Roman" w:cs="Times New Roman" w:eastAsia="Times New Roman" w:hAnsi="Times New Roman"/>
          <w:sz w:val="16"/>
          <w:szCs w:val="16"/>
          <w:color w:val="auto"/>
        </w:rPr>
        <w:t>On November 16, 2016, the Company hosted a conference call related to its fiscal 2017 first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312"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6"/>
          <w:szCs w:val="16"/>
          <w:color w:val="auto"/>
        </w:rPr>
        <w:t>Item 9.01</w:t>
      </w:r>
      <w:r>
        <w:rPr>
          <w:sz w:val="20"/>
          <w:szCs w:val="20"/>
          <w:color w:val="auto"/>
        </w:rPr>
        <w:tab/>
      </w:r>
      <w:r>
        <w:rPr>
          <w:rFonts w:ascii="Times New Roman" w:cs="Times New Roman" w:eastAsia="Times New Roman" w:hAnsi="Times New Roman"/>
          <w:sz w:val="15"/>
          <w:szCs w:val="15"/>
          <w:color w:val="auto"/>
        </w:rPr>
        <w:t>FINANCIAL STATEMENTS AND EXHIBITS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filed as Exhibits to this Report.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Exhibit No. Description of Exhibit</w:t>
            </w:r>
          </w:p>
        </w:tc>
        <w:tc>
          <w:tcPr>
            <w:tcW w:w="0" w:type="dxa"/>
            <w:vAlign w:val="bottom"/>
          </w:tcPr>
          <w:p>
            <w:pPr>
              <w:spacing w:after="0"/>
              <w:rPr>
                <w:sz w:val="1"/>
                <w:szCs w:val="1"/>
                <w:color w:val="auto"/>
              </w:rPr>
            </w:pPr>
          </w:p>
        </w:tc>
      </w:tr>
      <w:tr>
        <w:trPr>
          <w:trHeight w:val="24"/>
        </w:trPr>
        <w:tc>
          <w:tcPr>
            <w:tcW w:w="580" w:type="dxa"/>
            <w:vAlign w:val="bottom"/>
            <w:tcBorders>
              <w:bottom w:val="single" w:sz="8" w:color="auto"/>
            </w:tcBorders>
          </w:tcPr>
          <w:p>
            <w:pPr>
              <w:spacing w:after="0"/>
              <w:rPr>
                <w:sz w:val="2"/>
                <w:szCs w:val="2"/>
                <w:color w:val="auto"/>
              </w:rPr>
            </w:pPr>
          </w:p>
        </w:tc>
        <w:tc>
          <w:tcPr>
            <w:tcW w:w="8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99.1</w:t>
            </w:r>
          </w:p>
        </w:tc>
        <w:tc>
          <w:tcPr>
            <w:tcW w:w="810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Press Release of Brady Corporation, dated November 16, 2016, relating to first quarter fiscal 2017 financial results.</w:t>
            </w:r>
          </w:p>
        </w:tc>
        <w:tc>
          <w:tcPr>
            <w:tcW w:w="0" w:type="dxa"/>
            <w:vAlign w:val="bottom"/>
          </w:tcPr>
          <w:p>
            <w:pPr>
              <w:spacing w:after="0"/>
              <w:rPr>
                <w:sz w:val="1"/>
                <w:szCs w:val="1"/>
                <w:color w:val="auto"/>
              </w:rPr>
            </w:pPr>
          </w:p>
        </w:tc>
      </w:tr>
      <w:tr>
        <w:trPr>
          <w:trHeight w:val="72"/>
        </w:trPr>
        <w:tc>
          <w:tcPr>
            <w:tcW w:w="580" w:type="dxa"/>
            <w:vAlign w:val="bottom"/>
          </w:tcPr>
          <w:p>
            <w:pPr>
              <w:spacing w:after="0"/>
              <w:rPr>
                <w:sz w:val="6"/>
                <w:szCs w:val="6"/>
                <w:color w:val="auto"/>
              </w:rPr>
            </w:pPr>
          </w:p>
        </w:tc>
        <w:tc>
          <w:tcPr>
            <w:tcW w:w="8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99.2</w:t>
            </w:r>
          </w:p>
        </w:tc>
        <w:tc>
          <w:tcPr>
            <w:tcW w:w="8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Informational slides provided by Brady Corporation, dated November 16, 2016, relating to first quarter fiscal 2017</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81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financial results.</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w:t>
      </w:r>
    </w:p>
    <w:p>
      <w:pPr>
        <w:spacing w:after="0" w:line="15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6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BRADY CORPORATION</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 November 16, 2016</w:t>
      </w:r>
    </w:p>
    <w:p>
      <w:pPr>
        <w:spacing w:after="0" w:line="34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31750</wp:posOffset>
            </wp:positionV>
            <wp:extent cx="34848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4880" cy="7620"/>
                    </a:xfrm>
                    <a:prstGeom prst="rect">
                      <a:avLst/>
                    </a:prstGeom>
                    <a:noFill/>
                  </pic:spPr>
                </pic:pic>
              </a:graphicData>
            </a:graphic>
          </wp:anchor>
        </w:drawing>
      </w:r>
    </w:p>
    <w:p>
      <w:pPr>
        <w:spacing w:after="0" w:line="4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Aaron J. Pearce</w:t>
      </w:r>
    </w:p>
    <w:p>
      <w:pPr>
        <w:spacing w:after="0" w:line="5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Chief Financial Officer and Treasurer</w:t>
      </w:r>
    </w:p>
    <w:p>
      <w:pPr>
        <w:sectPr>
          <w:pgSz w:w="11900" w:h="16838" w:orient="portrait"/>
          <w:cols w:equalWidth="0" w:num="1">
            <w:col w:w="11440"/>
          </w:cols>
          <w:pgMar w:left="240" w:top="678"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9"/>
        </w:trPr>
        <w:tc>
          <w:tcPr>
            <w:tcW w:w="900" w:type="dxa"/>
            <w:vAlign w:val="bottom"/>
          </w:tcPr>
          <w:p>
            <w:pPr>
              <w:spacing w:after="0"/>
              <w:rPr>
                <w:sz w:val="18"/>
                <w:szCs w:val="18"/>
                <w:color w:val="auto"/>
              </w:rPr>
            </w:pPr>
          </w:p>
        </w:tc>
        <w:tc>
          <w:tcPr>
            <w:tcW w:w="7780" w:type="dxa"/>
            <w:vAlign w:val="bottom"/>
          </w:tcPr>
          <w:p>
            <w:pPr>
              <w:ind w:left="4220"/>
              <w:spacing w:after="0"/>
              <w:rPr>
                <w:sz w:val="20"/>
                <w:szCs w:val="20"/>
                <w:color w:val="auto"/>
              </w:rPr>
            </w:pPr>
            <w:r>
              <w:rPr>
                <w:rFonts w:ascii="Times New Roman" w:cs="Times New Roman" w:eastAsia="Times New Roman" w:hAnsi="Times New Roman"/>
                <w:sz w:val="16"/>
                <w:szCs w:val="16"/>
                <w:color w:val="auto"/>
              </w:rPr>
              <w:t>EXHIBIT INDEX</w:t>
            </w:r>
          </w:p>
        </w:tc>
        <w:tc>
          <w:tcPr>
            <w:tcW w:w="0" w:type="dxa"/>
            <w:vAlign w:val="bottom"/>
          </w:tcPr>
          <w:p>
            <w:pPr>
              <w:spacing w:after="0"/>
              <w:rPr>
                <w:sz w:val="1"/>
                <w:szCs w:val="1"/>
                <w:color w:val="auto"/>
              </w:rPr>
            </w:pPr>
          </w:p>
        </w:tc>
      </w:tr>
      <w:tr>
        <w:trPr>
          <w:trHeight w:val="507"/>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EXHIBIT</w:t>
            </w:r>
          </w:p>
        </w:tc>
        <w:tc>
          <w:tcPr>
            <w:tcW w:w="77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DESCRIPTION</w:t>
            </w:r>
          </w:p>
        </w:tc>
        <w:tc>
          <w:tcPr>
            <w:tcW w:w="0" w:type="dxa"/>
            <w:vAlign w:val="bottom"/>
          </w:tcPr>
          <w:p>
            <w:pPr>
              <w:spacing w:after="0"/>
              <w:rPr>
                <w:sz w:val="1"/>
                <w:szCs w:val="1"/>
                <w:color w:val="auto"/>
              </w:rPr>
            </w:pPr>
          </w:p>
        </w:tc>
      </w:tr>
      <w:tr>
        <w:trPr>
          <w:trHeight w:val="193"/>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w:t>
            </w:r>
          </w:p>
        </w:tc>
        <w:tc>
          <w:tcPr>
            <w:tcW w:w="7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00" w:type="dxa"/>
            <w:vAlign w:val="bottom"/>
            <w:tcBorders>
              <w:bottom w:val="single" w:sz="8" w:color="auto"/>
            </w:tcBorders>
          </w:tcPr>
          <w:p>
            <w:pPr>
              <w:spacing w:after="0"/>
              <w:rPr>
                <w:sz w:val="2"/>
                <w:szCs w:val="2"/>
                <w:color w:val="auto"/>
              </w:rPr>
            </w:pPr>
          </w:p>
        </w:tc>
        <w:tc>
          <w:tcPr>
            <w:tcW w:w="7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99.1</w:t>
            </w:r>
          </w:p>
        </w:tc>
        <w:tc>
          <w:tcPr>
            <w:tcW w:w="77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Press Release of Brady Corporation, dated November 16, 2016, relating to first quarter fiscal 2017 financial results.</w:t>
            </w:r>
          </w:p>
        </w:tc>
        <w:tc>
          <w:tcPr>
            <w:tcW w:w="0" w:type="dxa"/>
            <w:vAlign w:val="bottom"/>
          </w:tcPr>
          <w:p>
            <w:pPr>
              <w:spacing w:after="0"/>
              <w:rPr>
                <w:sz w:val="1"/>
                <w:szCs w:val="1"/>
                <w:color w:val="auto"/>
              </w:rPr>
            </w:pPr>
          </w:p>
        </w:tc>
      </w:tr>
      <w:tr>
        <w:trPr>
          <w:trHeight w:val="72"/>
        </w:trPr>
        <w:tc>
          <w:tcPr>
            <w:tcW w:w="900" w:type="dxa"/>
            <w:vAlign w:val="bottom"/>
          </w:tcPr>
          <w:p>
            <w:pPr>
              <w:spacing w:after="0"/>
              <w:rPr>
                <w:sz w:val="6"/>
                <w:szCs w:val="6"/>
                <w:color w:val="auto"/>
              </w:rPr>
            </w:pPr>
          </w:p>
        </w:tc>
        <w:tc>
          <w:tcPr>
            <w:tcW w:w="7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99.2</w:t>
            </w:r>
          </w:p>
        </w:tc>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Informational slides provided by Brady Corporation, dated November 16, 2016, relating to first quarter fiscal 2017</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77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financial results.</w:t>
            </w:r>
          </w:p>
        </w:tc>
        <w:tc>
          <w:tcPr>
            <w:tcW w:w="0" w:type="dxa"/>
            <w:vAlign w:val="bottom"/>
          </w:tcPr>
          <w:p>
            <w:pPr>
              <w:spacing w:after="0"/>
              <w:rPr>
                <w:sz w:val="1"/>
                <w:szCs w:val="1"/>
                <w:color w:val="auto"/>
              </w:rPr>
            </w:pPr>
          </w:p>
        </w:tc>
      </w:tr>
    </w:tbl>
    <w:p>
      <w:pPr>
        <w:sectPr>
          <w:pgSz w:w="11900" w:h="16838" w:orient="portrait"/>
          <w:cols w:equalWidth="0" w:num="1">
            <w:col w:w="10219"/>
          </w:cols>
          <w:pgMar w:left="240" w:top="726"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99.1</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More Information: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 Ann Thornton 414-438-6887</w:t>
      </w:r>
    </w:p>
    <w:p>
      <w:pPr>
        <w:spacing w:after="0"/>
        <w:rPr>
          <w:sz w:val="20"/>
          <w:szCs w:val="20"/>
          <w:color w:val="auto"/>
        </w:rPr>
      </w:pPr>
      <w:r>
        <w:rPr>
          <w:rFonts w:ascii="Times New Roman" w:cs="Times New Roman" w:eastAsia="Times New Roman" w:hAnsi="Times New Roman"/>
          <w:sz w:val="18"/>
          <w:szCs w:val="18"/>
          <w:color w:val="auto"/>
        </w:rPr>
        <w:t>Media contact: Kate Venne 414-358-5176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immediate release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Brady Corporation Reports Fiscal 2017 First Quarter Results</w:t>
      </w:r>
    </w:p>
    <w:p>
      <w:pPr>
        <w:spacing w:after="0" w:line="326" w:lineRule="exact"/>
        <w:rPr>
          <w:sz w:val="20"/>
          <w:szCs w:val="20"/>
          <w:color w:val="auto"/>
        </w:rPr>
      </w:pPr>
    </w:p>
    <w:p>
      <w:pPr>
        <w:ind w:left="580" w:right="80" w:hanging="294"/>
        <w:spacing w:after="0" w:line="349" w:lineRule="auto"/>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Earnings per diluted Class A Nonvoting Common Share increased 18.9 percent to $0.44 in the first quarter of fiscal 2017 compared to $0.37 in the same quarter of the prior year.</w:t>
      </w:r>
    </w:p>
    <w:p>
      <w:pPr>
        <w:spacing w:after="0" w:line="1" w:lineRule="exact"/>
        <w:rPr>
          <w:rFonts w:ascii="Times New Roman" w:cs="Times New Roman" w:eastAsia="Times New Roman" w:hAnsi="Times New Roman"/>
          <w:sz w:val="16"/>
          <w:szCs w:val="16"/>
          <w:color w:val="auto"/>
        </w:rPr>
      </w:pPr>
    </w:p>
    <w:p>
      <w:pPr>
        <w:ind w:left="580" w:hanging="294"/>
        <w:spacing w:after="0"/>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Organic revenues declined 0.2 percent for the quarter ended October 31, 2016.</w:t>
      </w:r>
    </w:p>
    <w:p>
      <w:pPr>
        <w:spacing w:after="0" w:line="94" w:lineRule="exact"/>
        <w:rPr>
          <w:rFonts w:ascii="Times New Roman" w:cs="Times New Roman" w:eastAsia="Times New Roman" w:hAnsi="Times New Roman"/>
          <w:sz w:val="16"/>
          <w:szCs w:val="16"/>
          <w:color w:val="auto"/>
        </w:rPr>
      </w:pPr>
    </w:p>
    <w:p>
      <w:pPr>
        <w:ind w:left="580" w:right="640" w:hanging="294"/>
        <w:spacing w:after="0" w:line="378" w:lineRule="auto"/>
        <w:tabs>
          <w:tab w:leader="none" w:pos="5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Net cash provided by operating activities was $34.0 million in the first quarter of fiscal 2017 and net debt was $49.7 million at October 31, 2016 providing flexibility for future investments.</w:t>
      </w:r>
    </w:p>
    <w:p>
      <w:pPr>
        <w:spacing w:after="0" w:line="229" w:lineRule="exact"/>
        <w:rPr>
          <w:sz w:val="20"/>
          <w:szCs w:val="20"/>
          <w:color w:val="auto"/>
        </w:rPr>
      </w:pPr>
    </w:p>
    <w:p>
      <w:pPr>
        <w:ind w:right="180"/>
        <w:spacing w:after="0" w:line="378" w:lineRule="auto"/>
        <w:rPr>
          <w:sz w:val="20"/>
          <w:szCs w:val="20"/>
          <w:color w:val="auto"/>
        </w:rPr>
      </w:pPr>
      <w:r>
        <w:rPr>
          <w:rFonts w:ascii="Times New Roman" w:cs="Times New Roman" w:eastAsia="Times New Roman" w:hAnsi="Times New Roman"/>
          <w:sz w:val="18"/>
          <w:szCs w:val="18"/>
          <w:color w:val="auto"/>
        </w:rPr>
        <w:t>MILWAUKEE (November 16, 2016)--Brady Corporation (NYSE: BRC) (“Brady” or “Company”), a world leader in identification solutions, today reported its financial results for its fiscal 2017 first quarter ended October 31, 2016.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Ended October 31, 2016 Financial Results:</w:t>
      </w:r>
    </w:p>
    <w:p>
      <w:pPr>
        <w:spacing w:after="0" w:line="97" w:lineRule="exact"/>
        <w:rPr>
          <w:sz w:val="20"/>
          <w:szCs w:val="20"/>
          <w:color w:val="auto"/>
        </w:rPr>
      </w:pPr>
    </w:p>
    <w:p>
      <w:pPr>
        <w:ind w:left="580" w:right="240"/>
        <w:spacing w:after="0" w:line="370" w:lineRule="auto"/>
        <w:rPr>
          <w:sz w:val="20"/>
          <w:szCs w:val="20"/>
          <w:color w:val="auto"/>
        </w:rPr>
      </w:pPr>
      <w:r>
        <w:rPr>
          <w:rFonts w:ascii="Times New Roman" w:cs="Times New Roman" w:eastAsia="Times New Roman" w:hAnsi="Times New Roman"/>
          <w:sz w:val="17"/>
          <w:szCs w:val="17"/>
          <w:color w:val="auto"/>
        </w:rPr>
        <w:t>Net earnings for the quarter ended October 31, 2016, increased 20.6 percent to $22.6 million compared to $18.7 million in the same quarter last year. Earnings per diluted Class A Nonvoting Common Share increased 18.9 percent to $0.44 for the quarter ended October 31, 2016, compared to $0.37 in</w:t>
      </w:r>
    </w:p>
    <w:p>
      <w:pPr>
        <w:spacing w:after="0"/>
        <w:rPr>
          <w:sz w:val="20"/>
          <w:szCs w:val="20"/>
          <w:color w:val="auto"/>
        </w:rPr>
      </w:pPr>
      <w:r>
        <w:rPr>
          <w:rFonts w:ascii="Times New Roman" w:cs="Times New Roman" w:eastAsia="Times New Roman" w:hAnsi="Times New Roman"/>
          <w:sz w:val="18"/>
          <w:szCs w:val="18"/>
          <w:color w:val="auto"/>
        </w:rPr>
        <w:t>the same quarter last year.</w:t>
      </w:r>
    </w:p>
    <w:p>
      <w:pPr>
        <w:spacing w:after="0" w:line="95" w:lineRule="exact"/>
        <w:rPr>
          <w:sz w:val="20"/>
          <w:szCs w:val="20"/>
          <w:color w:val="auto"/>
        </w:rPr>
      </w:pPr>
    </w:p>
    <w:p>
      <w:pPr>
        <w:ind w:right="140" w:firstLine="579"/>
        <w:spacing w:after="0" w:line="363" w:lineRule="auto"/>
        <w:rPr>
          <w:sz w:val="20"/>
          <w:szCs w:val="20"/>
          <w:color w:val="auto"/>
        </w:rPr>
      </w:pPr>
      <w:r>
        <w:rPr>
          <w:rFonts w:ascii="Times New Roman" w:cs="Times New Roman" w:eastAsia="Times New Roman" w:hAnsi="Times New Roman"/>
          <w:sz w:val="18"/>
          <w:szCs w:val="18"/>
          <w:color w:val="auto"/>
        </w:rPr>
        <w:t>Sales for the quarter ended October 31, 2016, decreased 1.0 percent to $280.2 million compared to $283.1 million in the same quarter last year. Total organic sales decreased 0.2 percent and foreign currency translation decreased sales by 0.8 percent. By segment, organic sales grew 0.7 percent in Identification Solutions and decreased 2.5 percent in Workplace Safety.</w:t>
      </w:r>
    </w:p>
    <w:p>
      <w:pPr>
        <w:spacing w:after="0" w:line="243" w:lineRule="exact"/>
        <w:rPr>
          <w:sz w:val="20"/>
          <w:szCs w:val="20"/>
          <w:color w:val="auto"/>
        </w:rPr>
      </w:pPr>
    </w:p>
    <w:p>
      <w:pPr>
        <w:ind w:right="120" w:firstLine="579"/>
        <w:spacing w:after="0" w:line="349" w:lineRule="auto"/>
        <w:rPr>
          <w:sz w:val="20"/>
          <w:szCs w:val="20"/>
          <w:color w:val="auto"/>
        </w:rPr>
      </w:pPr>
      <w:r>
        <w:rPr>
          <w:rFonts w:ascii="Times New Roman" w:cs="Times New Roman" w:eastAsia="Times New Roman" w:hAnsi="Times New Roman"/>
          <w:sz w:val="18"/>
          <w:szCs w:val="18"/>
          <w:color w:val="auto"/>
        </w:rPr>
        <w:t>During the quarter ended October 31, 2016, the Company recast its historical segment financial information in response to two changes in its evaluation of segment financial performance.</w:t>
      </w:r>
    </w:p>
    <w:p>
      <w:pPr>
        <w:spacing w:after="0" w:line="1" w:lineRule="exact"/>
        <w:rPr>
          <w:sz w:val="20"/>
          <w:szCs w:val="20"/>
          <w:color w:val="auto"/>
        </w:rPr>
      </w:pPr>
    </w:p>
    <w:p>
      <w:pPr>
        <w:jc w:val="both"/>
        <w:ind w:right="260" w:firstLine="579"/>
        <w:spacing w:after="0" w:line="349" w:lineRule="auto"/>
        <w:rPr>
          <w:sz w:val="20"/>
          <w:szCs w:val="20"/>
          <w:color w:val="auto"/>
        </w:rPr>
      </w:pPr>
      <w:r>
        <w:rPr>
          <w:rFonts w:ascii="Times New Roman" w:cs="Times New Roman" w:eastAsia="Times New Roman" w:hAnsi="Times New Roman"/>
          <w:sz w:val="18"/>
          <w:szCs w:val="18"/>
          <w:color w:val="auto"/>
        </w:rPr>
        <w:t>First, the Company realigned certain businesses between its Workplace Safety segment and its Identification Solutions segment, resulting in increased revenues and segment profit in the Identification Solutions segment and equal and offsetting declines in revenues and segment profit in the Workplace Safety segment.</w:t>
      </w:r>
    </w:p>
    <w:p>
      <w:pPr>
        <w:spacing w:after="0" w:line="2" w:lineRule="exact"/>
        <w:rPr>
          <w:sz w:val="20"/>
          <w:szCs w:val="20"/>
          <w:color w:val="auto"/>
        </w:rPr>
      </w:pPr>
    </w:p>
    <w:p>
      <w:pPr>
        <w:ind w:right="120" w:firstLine="579"/>
        <w:spacing w:after="0" w:line="363" w:lineRule="auto"/>
        <w:rPr>
          <w:sz w:val="20"/>
          <w:szCs w:val="20"/>
          <w:color w:val="auto"/>
        </w:rPr>
      </w:pPr>
      <w:r>
        <w:rPr>
          <w:rFonts w:ascii="Times New Roman" w:cs="Times New Roman" w:eastAsia="Times New Roman" w:hAnsi="Times New Roman"/>
          <w:sz w:val="18"/>
          <w:szCs w:val="18"/>
          <w:color w:val="auto"/>
        </w:rPr>
        <w:t>Second, the Company changed how it evaluates segment profit performance. Previously, administrative costs were excluded from the measure of segment profit. The Company’s evaluation of segment profit has been recast to include certain administrative costs within each of the segments, such as the cost of finance, information</w:t>
      </w:r>
    </w:p>
    <w:p>
      <w:pPr>
        <w:sectPr>
          <w:pgSz w:w="11900" w:h="16838" w:orient="portrait"/>
          <w:cols w:equalWidth="0" w:num="1">
            <w:col w:w="11440"/>
          </w:cols>
          <w:pgMar w:left="240" w:top="732" w:right="219" w:bottom="1440" w:gutter="0" w:footer="0" w:header="0"/>
        </w:sectPr>
      </w:pPr>
    </w:p>
    <w:bookmarkStart w:id="4" w:name="page5"/>
    <w:bookmarkEnd w:id="4"/>
    <w:p>
      <w:pPr>
        <w:ind w:right="700"/>
        <w:spacing w:after="0" w:line="349" w:lineRule="auto"/>
        <w:rPr>
          <w:sz w:val="20"/>
          <w:szCs w:val="20"/>
          <w:color w:val="auto"/>
        </w:rPr>
      </w:pPr>
      <w:r>
        <w:rPr>
          <w:rFonts w:ascii="Times New Roman" w:cs="Times New Roman" w:eastAsia="Times New Roman" w:hAnsi="Times New Roman"/>
          <w:sz w:val="18"/>
          <w:szCs w:val="18"/>
          <w:color w:val="auto"/>
        </w:rPr>
        <w:t>technology, human resources, and certain other administrative costs. Interest expense, investment and other income (expense), income taxes and certain corporate administrative expenses continue to be excluded when evaluating segment performance.</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Included in the accompanying financial information are the recast segment results for fiscal 2016.</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Commentary:</w:t>
      </w:r>
    </w:p>
    <w:p>
      <w:pPr>
        <w:spacing w:after="0" w:line="97" w:lineRule="exact"/>
        <w:rPr>
          <w:sz w:val="20"/>
          <w:szCs w:val="20"/>
          <w:color w:val="auto"/>
        </w:rPr>
      </w:pPr>
    </w:p>
    <w:p>
      <w:pPr>
        <w:ind w:right="100" w:firstLine="579"/>
        <w:spacing w:after="0" w:line="349" w:lineRule="auto"/>
        <w:rPr>
          <w:sz w:val="20"/>
          <w:szCs w:val="20"/>
          <w:color w:val="auto"/>
        </w:rPr>
      </w:pPr>
      <w:r>
        <w:rPr>
          <w:rFonts w:ascii="Times New Roman" w:cs="Times New Roman" w:eastAsia="Times New Roman" w:hAnsi="Times New Roman"/>
          <w:sz w:val="18"/>
          <w:szCs w:val="18"/>
          <w:color w:val="auto"/>
        </w:rPr>
        <w:t>“The Brady team is focused on producing high-quality products, providing excellent customer service, developing efficient and effective manufacturing processes, pushing for efficiencies in our SG&amp;A structure, and building a culture where local teams are empowered to own and are held accountable for their financial results. This focus is working as evidenced by our fifth consecutive quarter of year-on-year earnings growth,” said Brady’s President and Chief Executive Officer, J. Michael Nauman. “Looking to the remainder of this fiscal year, we do not see a clear catalyst to accelerate global economic growth. In an environment such as this, focus and execution are critical. Our top priorities remain unchanged, which are to serve our customers extremely well, to grow our pipeline of innovative new products, and to deliver operational efficiencies in every facet of our business. We believe that our consistent focus on our long-term strategy has positioned Brady to compete effectively and deliver improved results to our shareholders.”</w:t>
      </w:r>
    </w:p>
    <w:p>
      <w:pPr>
        <w:spacing w:after="0" w:line="4" w:lineRule="exact"/>
        <w:rPr>
          <w:sz w:val="20"/>
          <w:szCs w:val="20"/>
          <w:color w:val="auto"/>
        </w:rPr>
      </w:pPr>
    </w:p>
    <w:p>
      <w:pPr>
        <w:ind w:firstLine="579"/>
        <w:spacing w:after="0" w:line="355" w:lineRule="auto"/>
        <w:rPr>
          <w:sz w:val="20"/>
          <w:szCs w:val="20"/>
          <w:color w:val="auto"/>
        </w:rPr>
      </w:pPr>
      <w:r>
        <w:rPr>
          <w:rFonts w:ascii="Times New Roman" w:cs="Times New Roman" w:eastAsia="Times New Roman" w:hAnsi="Times New Roman"/>
          <w:sz w:val="18"/>
          <w:szCs w:val="18"/>
          <w:color w:val="auto"/>
        </w:rPr>
        <w:t>“Although organic sales declined by 0.2 percent this quarter, profitability improved compared to last year as our focus on driving operational efficiencies and actively reducing our general and administrative structure provided financial benefits again this quarter. We also remain focused on the business fundamentals that drive cash generation in the short- and long-term. Cash provided by operating activities was $34.0 million this quarter and we finished with net debt of $49.7 million as of October 31, 2016 compared to net debt of $75.7 million at the beginning of the quarter,” said Brady’s Chief Financial Officer, Aaron Pearce. “As a result of our strong cash generation, our balance sheet provides significant flexibility for future investment and returning funds to our shareholders.”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2017 Guidance:</w:t>
      </w:r>
    </w:p>
    <w:p>
      <w:pPr>
        <w:spacing w:after="0" w:line="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Company’s earnings per diluted Class A Nonvoting Common Share guidance for the year ending July 31, 2017 remains unchanged at $1.55 to</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$1.70. Included in this guidance are organic sales ranging from a low single-digit decline to slightly positive growth for the year ending July 31, 2017, which 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reflective of economic challenges in certain industrial markets and geographies, including North America. Offsetting this challenging revenue environment are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ongoing efficiency gains in the Company’s manufacturing facilities and selling, general, and administrative expenses. This guidance is based upon foreign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currency exchange rates as of October 31, 2016, a full-year income tax rate of approximately 27 percent to 29 percent, capital expenditures approximating $25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and depreciation and amortization expense of $30 million.</w:t>
      </w:r>
    </w:p>
    <w:p>
      <w:pPr>
        <w:spacing w:after="0" w:line="3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A webcast regarding Brady’s fiscal 2017 first quarter financial results will be available at </w:t>
      </w:r>
      <w:r>
        <w:rPr>
          <w:rFonts w:ascii="Times New Roman" w:cs="Times New Roman" w:eastAsia="Times New Roman" w:hAnsi="Times New Roman"/>
          <w:sz w:val="18"/>
          <w:szCs w:val="18"/>
          <w:u w:val="single" w:color="auto"/>
          <w:color w:val="0000FF"/>
        </w:rPr>
        <w:t>www.bradycorp.com</w:t>
      </w:r>
      <w:r>
        <w:rPr>
          <w:rFonts w:ascii="Times New Roman" w:cs="Times New Roman" w:eastAsia="Times New Roman" w:hAnsi="Times New Roman"/>
          <w:sz w:val="18"/>
          <w:szCs w:val="18"/>
          <w:color w:val="auto"/>
        </w:rPr>
        <w:t xml:space="preserve"> beginning at 9:30 a.m. Central Time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today.</w:t>
      </w:r>
    </w:p>
    <w:p>
      <w:pPr>
        <w:sectPr>
          <w:pgSz w:w="11900" w:h="16838" w:orient="portrait"/>
          <w:cols w:equalWidth="0" w:num="1">
            <w:col w:w="11420"/>
          </w:cols>
          <w:pgMar w:left="240" w:top="577" w:right="239" w:bottom="1440" w:gutter="0" w:footer="0" w:header="0"/>
        </w:sectPr>
      </w:pPr>
    </w:p>
    <w:bookmarkStart w:id="5" w:name="page6"/>
    <w:bookmarkEnd w:id="5"/>
    <w:p>
      <w:pPr>
        <w:ind w:right="80" w:firstLine="579"/>
        <w:spacing w:after="0" w:line="355" w:lineRule="auto"/>
        <w:rPr>
          <w:sz w:val="20"/>
          <w:szCs w:val="20"/>
          <w:color w:val="auto"/>
        </w:rPr>
      </w:pPr>
      <w:r>
        <w:rPr>
          <w:rFonts w:ascii="Times New Roman" w:cs="Times New Roman" w:eastAsia="Times New Roman" w:hAnsi="Times New Roman"/>
          <w:sz w:val="18"/>
          <w:szCs w:val="18"/>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2016, employed approximately 6,500 people in its worldwide businesses. Brady’s fiscal 2016 sales were approximately $1.12 billion. Brady stock trades on the New York Stock Exchange under the symbol BRC. More information is available on the Internet at </w:t>
      </w:r>
      <w:r>
        <w:rPr>
          <w:rFonts w:ascii="Times New Roman" w:cs="Times New Roman" w:eastAsia="Times New Roman" w:hAnsi="Times New Roman"/>
          <w:sz w:val="18"/>
          <w:szCs w:val="18"/>
          <w:u w:val="single" w:color="auto"/>
          <w:color w:val="0000FF"/>
        </w:rPr>
        <w:t>www.bradycorp.com.</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6"/>
          <w:szCs w:val="16"/>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our ability to compete effectively or to successfully execute our strategy; Brady’s ability to develop technologically advanced products that meet customer demands; difficulties in protecting our websites, networks, and systems against security breaches; deterioration or instability in the global economy and financial markets; decreased demand for our products; Brady’s ability to retain large customers; risks associated with the loss of key employees; Brady’s ability to execute facility consolidations and maintain acceptable operational service metrics; extensive regulations by U.S. and non-U.S. governmental and self-regulatory entities; litigation, including product liability claims; divestitures and contingent liabilities from divestitures; Brady’s ability to properly identify, integrate, and grow acquired companies; foreign currency fluctuations; potential write-offs of Brady’s substantial intangible assets; changes in tax legislation and tax rates; differing interests of voting and non-voting shareholders; Brady’s ability to meet certain financial covenants required by our debt agreements;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2016.</w:t>
      </w:r>
    </w:p>
    <w:p>
      <w:pPr>
        <w:spacing w:after="0" w:line="172"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6"/>
          <w:szCs w:val="16"/>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20"/>
          </w:cols>
          <w:pgMar w:left="240" w:top="855"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BRADY CORPORATION AND SUBSIDIARIES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EARNINGS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 Dollars in thousands,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color w:val="auto"/>
              </w:rPr>
              <w:t>Three months ended October 31,</w:t>
            </w:r>
          </w:p>
        </w:tc>
      </w:tr>
      <w:tr>
        <w:trPr>
          <w:trHeight w:val="28"/>
        </w:trPr>
        <w:tc>
          <w:tcPr>
            <w:tcW w:w="6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5"/>
        </w:trPr>
        <w:tc>
          <w:tcPr>
            <w:tcW w:w="6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2015</w:t>
            </w:r>
          </w:p>
        </w:tc>
      </w:tr>
      <w:tr>
        <w:trPr>
          <w:trHeight w:val="28"/>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1"/>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280,176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283,073</w:t>
            </w: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products sold</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139,818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143,724</w:t>
            </w:r>
          </w:p>
        </w:tc>
      </w:tr>
      <w:tr>
        <w:trPr>
          <w:trHeight w:val="28"/>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1"/>
        </w:trPr>
        <w:tc>
          <w:tcPr>
            <w:tcW w:w="6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Gross margin</w:t>
            </w:r>
          </w:p>
        </w:tc>
        <w:tc>
          <w:tcPr>
            <w:tcW w:w="2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140,358</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139,349</w:t>
            </w: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8"/>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9,146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8,569</w:t>
            </w:r>
          </w:p>
        </w:tc>
      </w:tr>
      <w:tr>
        <w:trPr>
          <w:trHeight w:val="213"/>
        </w:trPr>
        <w:tc>
          <w:tcPr>
            <w:tcW w:w="6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98,004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100,678</w:t>
            </w:r>
          </w:p>
        </w:tc>
      </w:tr>
      <w:tr>
        <w:trPr>
          <w:trHeight w:val="28"/>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107,150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109,247</w:t>
            </w:r>
          </w:p>
        </w:tc>
      </w:tr>
      <w:tr>
        <w:trPr>
          <w:trHeight w:val="241"/>
        </w:trPr>
        <w:tc>
          <w:tcPr>
            <w:tcW w:w="6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1"/>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33,208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30,102</w:t>
            </w:r>
          </w:p>
        </w:tc>
      </w:tr>
      <w:tr>
        <w:trPr>
          <w:trHeight w:val="241"/>
        </w:trPr>
        <w:tc>
          <w:tcPr>
            <w:tcW w:w="6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1"/>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income:</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3"/>
        </w:trPr>
        <w:tc>
          <w:tcPr>
            <w:tcW w:w="6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Investment and other (expense) income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w:t>
            </w:r>
          </w:p>
        </w:tc>
      </w:tr>
      <w:tr>
        <w:trPr>
          <w:trHeight w:val="28"/>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w:t>
            </w:r>
          </w:p>
        </w:tc>
      </w:tr>
      <w:tr>
        <w:trPr>
          <w:trHeight w:val="233"/>
        </w:trPr>
        <w:tc>
          <w:tcPr>
            <w:tcW w:w="6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21"/>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30,987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27,192</w:t>
            </w:r>
          </w:p>
        </w:tc>
      </w:tr>
      <w:tr>
        <w:trPr>
          <w:trHeight w:val="241"/>
        </w:trPr>
        <w:tc>
          <w:tcPr>
            <w:tcW w:w="6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1"/>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8,489</w:t>
            </w:r>
          </w:p>
        </w:tc>
      </w:tr>
      <w:tr>
        <w:trPr>
          <w:trHeight w:val="233"/>
        </w:trPr>
        <w:tc>
          <w:tcPr>
            <w:tcW w:w="62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21"/>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22,553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18,703</w:t>
            </w:r>
          </w:p>
        </w:tc>
      </w:tr>
      <w:tr>
        <w:trPr>
          <w:trHeight w:val="20"/>
        </w:trPr>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5"/>
        </w:trPr>
        <w:tc>
          <w:tcPr>
            <w:tcW w:w="6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1"/>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Earnings per Class A Nonvoting Common Share:</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3"/>
        </w:trPr>
        <w:tc>
          <w:tcPr>
            <w:tcW w:w="6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0.37</w:t>
            </w:r>
          </w:p>
        </w:tc>
      </w:tr>
      <w:tr>
        <w:trPr>
          <w:trHeight w:val="28"/>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Diluted</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0.44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0.37</w:t>
            </w:r>
          </w:p>
        </w:tc>
      </w:tr>
      <w:tr>
        <w:trPr>
          <w:trHeight w:val="213"/>
        </w:trPr>
        <w:tc>
          <w:tcPr>
            <w:tcW w:w="6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Dividends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0.20</w:t>
            </w:r>
          </w:p>
        </w:tc>
      </w:tr>
      <w:tr>
        <w:trPr>
          <w:trHeight w:val="28"/>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1"/>
        </w:trPr>
        <w:tc>
          <w:tcPr>
            <w:tcW w:w="6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13"/>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per Class B Voting Common Share: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8"/>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0.43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0.35</w:t>
            </w:r>
          </w:p>
        </w:tc>
      </w:tr>
      <w:tr>
        <w:trPr>
          <w:trHeight w:val="213"/>
        </w:trPr>
        <w:tc>
          <w:tcPr>
            <w:tcW w:w="6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Diluted</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0.42</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0.35</w:t>
            </w:r>
          </w:p>
        </w:tc>
      </w:tr>
      <w:tr>
        <w:trPr>
          <w:trHeight w:val="28"/>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1"/>
        </w:trPr>
        <w:tc>
          <w:tcPr>
            <w:tcW w:w="6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Dividends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0.19</w:t>
            </w:r>
          </w:p>
        </w:tc>
      </w:tr>
      <w:tr>
        <w:trPr>
          <w:trHeight w:val="241"/>
        </w:trPr>
        <w:tc>
          <w:tcPr>
            <w:tcW w:w="6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1"/>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common shares outstanding (in thousands):</w:t>
            </w:r>
          </w:p>
        </w:tc>
        <w:tc>
          <w:tcPr>
            <w:tcW w:w="2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13"/>
        </w:trPr>
        <w:tc>
          <w:tcPr>
            <w:tcW w:w="6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Basic</w:t>
            </w:r>
          </w:p>
        </w:tc>
        <w:tc>
          <w:tcPr>
            <w:tcW w:w="200" w:type="dxa"/>
            <w:vAlign w:val="bottom"/>
          </w:tcPr>
          <w:p>
            <w:pPr>
              <w:spacing w:after="0"/>
              <w:rPr>
                <w:sz w:val="18"/>
                <w:szCs w:val="18"/>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50,634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51,029</w:t>
            </w:r>
          </w:p>
        </w:tc>
      </w:tr>
      <w:tr>
        <w:trPr>
          <w:trHeight w:val="28"/>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3"/>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Diluted</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51,455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51,089</w:t>
            </w:r>
          </w:p>
        </w:tc>
      </w:tr>
      <w:tr>
        <w:trPr>
          <w:trHeight w:val="28"/>
        </w:trPr>
        <w:tc>
          <w:tcPr>
            <w:tcW w:w="6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ectPr>
          <w:pgSz w:w="11900" w:h="16838" w:orient="portrait"/>
          <w:cols w:equalWidth="0" w:num="1">
            <w:col w:w="10219"/>
          </w:cols>
          <w:pgMar w:left="240" w:top="535"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BRADY CORPORATION AND SUBSIDIARIES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 Dollars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October 31, 2016</w:t>
            </w:r>
          </w:p>
        </w:tc>
        <w:tc>
          <w:tcPr>
            <w:tcW w:w="140" w:type="dxa"/>
            <w:vAlign w:val="bottom"/>
          </w:tcPr>
          <w:p>
            <w:pPr>
              <w:spacing w:after="0"/>
              <w:rPr>
                <w:sz w:val="16"/>
                <w:szCs w:val="16"/>
                <w:color w:val="auto"/>
              </w:rPr>
            </w:pPr>
          </w:p>
        </w:tc>
        <w:tc>
          <w:tcPr>
            <w:tcW w:w="10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July 31, 2016</w:t>
            </w:r>
          </w:p>
        </w:tc>
      </w:tr>
      <w:tr>
        <w:trPr>
          <w:trHeight w:val="28"/>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3"/>
        </w:trPr>
        <w:tc>
          <w:tcPr>
            <w:tcW w:w="13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40" w:type="dxa"/>
            <w:vAlign w:val="bottom"/>
            <w:tcBorders>
              <w:bottom w:val="single" w:sz="8" w:color="CCEEFF"/>
            </w:tcBorders>
            <w:gridSpan w:val="2"/>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213"/>
        </w:trPr>
        <w:tc>
          <w:tcPr>
            <w:tcW w:w="62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166,301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141,228</w:t>
            </w:r>
          </w:p>
        </w:tc>
      </w:tr>
      <w:tr>
        <w:trPr>
          <w:trHeight w:val="213"/>
        </w:trPr>
        <w:tc>
          <w:tcPr>
            <w:tcW w:w="624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Accounts receivable—net</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145,831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147,333</w:t>
            </w:r>
          </w:p>
        </w:tc>
      </w:tr>
      <w:tr>
        <w:trPr>
          <w:trHeight w:val="28"/>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13"/>
        </w:trPr>
        <w:tc>
          <w:tcPr>
            <w:tcW w:w="624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Finished products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61,616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64,313</w:t>
            </w:r>
          </w:p>
        </w:tc>
      </w:tr>
      <w:tr>
        <w:trPr>
          <w:trHeight w:val="28"/>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Work-in-process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16,971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16,678</w:t>
            </w:r>
          </w:p>
        </w:tc>
      </w:tr>
      <w:tr>
        <w:trPr>
          <w:trHeight w:val="213"/>
        </w:trPr>
        <w:tc>
          <w:tcPr>
            <w:tcW w:w="624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Raw materials and supplies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18,815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18,436</w:t>
            </w:r>
          </w:p>
        </w:tc>
      </w:tr>
      <w:tr>
        <w:trPr>
          <w:trHeight w:val="28"/>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1"/>
        </w:trPr>
        <w:tc>
          <w:tcPr>
            <w:tcW w:w="6240" w:type="dxa"/>
            <w:vAlign w:val="bottom"/>
            <w:tcBorders>
              <w:bottom w:val="single" w:sz="8" w:color="CCEEFF"/>
            </w:tcBorders>
            <w:gridSpan w:val="5"/>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Total inventories</w:t>
            </w: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97,402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99,427</w:t>
            </w:r>
          </w:p>
        </w:tc>
      </w:tr>
      <w:tr>
        <w:trPr>
          <w:trHeight w:val="213"/>
        </w:trPr>
        <w:tc>
          <w:tcPr>
            <w:tcW w:w="624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20,392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19,436</w:t>
            </w:r>
          </w:p>
        </w:tc>
      </w:tr>
      <w:tr>
        <w:trPr>
          <w:trHeight w:val="28"/>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1"/>
        </w:trPr>
        <w:tc>
          <w:tcPr>
            <w:tcW w:w="6240" w:type="dxa"/>
            <w:vAlign w:val="bottom"/>
            <w:tcBorders>
              <w:bottom w:val="single" w:sz="8" w:color="CCEEFF"/>
            </w:tcBorders>
            <w:gridSpan w:val="5"/>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429,926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407,424</w:t>
            </w:r>
          </w:p>
        </w:tc>
      </w:tr>
      <w:tr>
        <w:trPr>
          <w:trHeight w:val="213"/>
        </w:trPr>
        <w:tc>
          <w:tcPr>
            <w:tcW w:w="62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Goodwill</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424,345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429,871</w:t>
            </w:r>
          </w:p>
        </w:tc>
      </w:tr>
      <w:tr>
        <w:trPr>
          <w:trHeight w:val="213"/>
        </w:trPr>
        <w:tc>
          <w:tcPr>
            <w:tcW w:w="624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Other intangible assets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57,590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59,806</w:t>
            </w:r>
          </w:p>
        </w:tc>
      </w:tr>
      <w:tr>
        <w:trPr>
          <w:trHeight w:val="28"/>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23,032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27,238</w:t>
            </w:r>
          </w:p>
        </w:tc>
      </w:tr>
      <w:tr>
        <w:trPr>
          <w:trHeight w:val="213"/>
        </w:trPr>
        <w:tc>
          <w:tcPr>
            <w:tcW w:w="624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15,550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17,181</w:t>
            </w:r>
          </w:p>
        </w:tc>
      </w:tr>
      <w:tr>
        <w:trPr>
          <w:trHeight w:val="28"/>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plant and equipment:</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13"/>
        </w:trPr>
        <w:tc>
          <w:tcPr>
            <w:tcW w:w="624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Cost:</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Land</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7,267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5,809</w:t>
            </w:r>
          </w:p>
        </w:tc>
      </w:tr>
      <w:tr>
        <w:trPr>
          <w:trHeight w:val="213"/>
        </w:trPr>
        <w:tc>
          <w:tcPr>
            <w:tcW w:w="624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95,288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95,355</w:t>
            </w:r>
          </w:p>
        </w:tc>
      </w:tr>
      <w:tr>
        <w:trPr>
          <w:trHeight w:val="28"/>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Machinery and equipment</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255,544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256,549</w:t>
            </w:r>
          </w:p>
        </w:tc>
      </w:tr>
      <w:tr>
        <w:trPr>
          <w:trHeight w:val="213"/>
        </w:trPr>
        <w:tc>
          <w:tcPr>
            <w:tcW w:w="624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2,842</w:t>
            </w:r>
          </w:p>
        </w:tc>
      </w:tr>
      <w:tr>
        <w:trPr>
          <w:trHeight w:val="28"/>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1"/>
        </w:trPr>
        <w:tc>
          <w:tcPr>
            <w:tcW w:w="13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360,192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360,555</w:t>
            </w:r>
          </w:p>
        </w:tc>
      </w:tr>
      <w:tr>
        <w:trPr>
          <w:trHeight w:val="213"/>
        </w:trPr>
        <w:tc>
          <w:tcPr>
            <w:tcW w:w="624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260,368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258,111</w:t>
            </w:r>
          </w:p>
        </w:tc>
      </w:tr>
      <w:tr>
        <w:trPr>
          <w:trHeight w:val="28"/>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Property, plant and equipment—net</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99,824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102,444</w:t>
            </w:r>
          </w:p>
        </w:tc>
      </w:tr>
      <w:tr>
        <w:trPr>
          <w:trHeight w:val="253"/>
        </w:trPr>
        <w:tc>
          <w:tcPr>
            <w:tcW w:w="624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1,050,267</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1,043,964</w:t>
            </w:r>
          </w:p>
        </w:tc>
      </w:tr>
      <w:tr>
        <w:trPr>
          <w:trHeight w:val="205"/>
        </w:trPr>
        <w:tc>
          <w:tcPr>
            <w:tcW w:w="1340" w:type="dxa"/>
            <w:vAlign w:val="bottom"/>
            <w:tcBorders>
              <w:bottom w:val="single" w:sz="8" w:color="CCEEFF"/>
            </w:tcBorders>
            <w:shd w:val="clear" w:color="auto" w:fill="CCEEFF"/>
          </w:tcPr>
          <w:p>
            <w:pPr>
              <w:spacing w:after="0"/>
              <w:rPr>
                <w:sz w:val="17"/>
                <w:szCs w:val="17"/>
                <w:color w:val="auto"/>
              </w:rPr>
            </w:pPr>
          </w:p>
        </w:tc>
        <w:tc>
          <w:tcPr>
            <w:tcW w:w="356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 AND STOCKHOLDERS’ INVESTMENT</w:t>
            </w:r>
          </w:p>
        </w:tc>
        <w:tc>
          <w:tcPr>
            <w:tcW w:w="13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213"/>
        </w:trPr>
        <w:tc>
          <w:tcPr>
            <w:tcW w:w="62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Notes payable</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5,354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4,928</w:t>
            </w:r>
          </w:p>
        </w:tc>
      </w:tr>
      <w:tr>
        <w:trPr>
          <w:trHeight w:val="213"/>
        </w:trPr>
        <w:tc>
          <w:tcPr>
            <w:tcW w:w="624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58,011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62,245</w:t>
            </w:r>
          </w:p>
        </w:tc>
      </w:tr>
      <w:tr>
        <w:trPr>
          <w:trHeight w:val="28"/>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Wages and amounts withheld from employees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49,510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45,998</w:t>
            </w:r>
          </w:p>
        </w:tc>
      </w:tr>
      <w:tr>
        <w:trPr>
          <w:trHeight w:val="213"/>
        </w:trPr>
        <w:tc>
          <w:tcPr>
            <w:tcW w:w="624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7,403</w:t>
            </w:r>
          </w:p>
        </w:tc>
      </w:tr>
      <w:tr>
        <w:trPr>
          <w:trHeight w:val="28"/>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income taxes</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3,219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6,136</w:t>
            </w:r>
          </w:p>
        </w:tc>
      </w:tr>
      <w:tr>
        <w:trPr>
          <w:trHeight w:val="213"/>
        </w:trPr>
        <w:tc>
          <w:tcPr>
            <w:tcW w:w="624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42,031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40,017</w:t>
            </w:r>
          </w:p>
        </w:tc>
      </w:tr>
      <w:tr>
        <w:trPr>
          <w:trHeight w:val="28"/>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1"/>
        </w:trPr>
        <w:tc>
          <w:tcPr>
            <w:tcW w:w="6240" w:type="dxa"/>
            <w:vAlign w:val="bottom"/>
            <w:tcBorders>
              <w:bottom w:val="single" w:sz="8" w:color="CCEEFF"/>
            </w:tcBorders>
            <w:gridSpan w:val="5"/>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165,498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166,727</w:t>
            </w:r>
          </w:p>
        </w:tc>
      </w:tr>
      <w:tr>
        <w:trPr>
          <w:trHeight w:val="213"/>
        </w:trPr>
        <w:tc>
          <w:tcPr>
            <w:tcW w:w="62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obligations, less current maturities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210,608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211,982</w:t>
            </w:r>
          </w:p>
        </w:tc>
      </w:tr>
      <w:tr>
        <w:trPr>
          <w:trHeight w:val="28"/>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62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60,107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61,657</w:t>
            </w:r>
          </w:p>
        </w:tc>
      </w:tr>
      <w:tr>
        <w:trPr>
          <w:trHeight w:val="193"/>
        </w:trPr>
        <w:tc>
          <w:tcPr>
            <w:tcW w:w="62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3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436,213</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440,366</w:t>
            </w:r>
          </w:p>
        </w:tc>
      </w:tr>
      <w:tr>
        <w:trPr>
          <w:trHeight w:val="28"/>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investment:</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13"/>
        </w:trPr>
        <w:tc>
          <w:tcPr>
            <w:tcW w:w="624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Common stock:</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3"/>
        </w:trPr>
        <w:tc>
          <w:tcPr>
            <w:tcW w:w="624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Class A nonvoting common stock—Issued 51,261,487 and 51,261,487 shares, respectively and</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7"/>
        </w:trPr>
        <w:tc>
          <w:tcPr>
            <w:tcW w:w="6240" w:type="dxa"/>
            <w:vAlign w:val="bottom"/>
            <w:tcBorders>
              <w:bottom w:val="single" w:sz="8" w:color="CCEEFF"/>
            </w:tcBorders>
            <w:gridSpan w:val="5"/>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outstanding 47,334,496 and 46,920,974 shares, respectively</w:t>
            </w: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513</w:t>
            </w:r>
          </w:p>
        </w:tc>
      </w:tr>
      <w:tr>
        <w:trPr>
          <w:trHeight w:val="213"/>
        </w:trPr>
        <w:tc>
          <w:tcPr>
            <w:tcW w:w="6240" w:type="dxa"/>
            <w:vAlign w:val="bottom"/>
            <w:gridSpan w:val="5"/>
          </w:tcPr>
          <w:p>
            <w:pPr>
              <w:ind w:left="520"/>
              <w:spacing w:after="0"/>
              <w:rPr>
                <w:sz w:val="20"/>
                <w:szCs w:val="20"/>
                <w:color w:val="auto"/>
              </w:rPr>
            </w:pPr>
            <w:r>
              <w:rPr>
                <w:rFonts w:ascii="Times New Roman" w:cs="Times New Roman" w:eastAsia="Times New Roman" w:hAnsi="Times New Roman"/>
                <w:sz w:val="14"/>
                <w:szCs w:val="14"/>
                <w:color w:val="auto"/>
              </w:rPr>
              <w:t>Class B voting common stock—Issued and outstanding, 3,538,628 shares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r>
      <w:tr>
        <w:trPr>
          <w:trHeight w:val="28"/>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317,044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317,001</w:t>
            </w:r>
          </w:p>
        </w:tc>
      </w:tr>
      <w:tr>
        <w:trPr>
          <w:trHeight w:val="213"/>
        </w:trPr>
        <w:tc>
          <w:tcPr>
            <w:tcW w:w="624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Earnings retained in the business</w:t>
            </w:r>
          </w:p>
        </w:tc>
        <w:tc>
          <w:tcPr>
            <w:tcW w:w="32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465,554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453,371</w:t>
            </w:r>
          </w:p>
        </w:tc>
      </w:tr>
      <w:tr>
        <w:trPr>
          <w:trHeight w:val="28"/>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93"/>
        </w:trPr>
        <w:tc>
          <w:tcPr>
            <w:tcW w:w="62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Treasury stock—3,926,991 and 4,340,513 shares, respectively of Class A nonvoting common stock,</w:t>
            </w:r>
          </w:p>
        </w:tc>
        <w:tc>
          <w:tcPr>
            <w:tcW w:w="3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97"/>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at cost</w:t>
            </w: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(97,840)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(108,714)</w:t>
            </w:r>
          </w:p>
        </w:tc>
      </w:tr>
      <w:tr>
        <w:trPr>
          <w:trHeight w:val="213"/>
        </w:trPr>
        <w:tc>
          <w:tcPr>
            <w:tcW w:w="6240" w:type="dxa"/>
            <w:vAlign w:val="bottom"/>
            <w:gridSpan w:val="5"/>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(54,745)</w:t>
            </w:r>
          </w:p>
        </w:tc>
      </w:tr>
      <w:tr>
        <w:trPr>
          <w:trHeight w:val="28"/>
        </w:trPr>
        <w:tc>
          <w:tcPr>
            <w:tcW w:w="1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1"/>
        </w:trPr>
        <w:tc>
          <w:tcPr>
            <w:tcW w:w="624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(3,863)</w:t>
            </w:r>
          </w:p>
        </w:tc>
      </w:tr>
      <w:tr>
        <w:trPr>
          <w:trHeight w:val="193"/>
        </w:trPr>
        <w:tc>
          <w:tcPr>
            <w:tcW w:w="62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Total stockholders’ investment</w:t>
            </w:r>
          </w:p>
        </w:tc>
        <w:tc>
          <w:tcPr>
            <w:tcW w:w="3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614,054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603,598</w:t>
            </w:r>
          </w:p>
        </w:tc>
      </w:tr>
      <w:tr>
        <w:trPr>
          <w:trHeight w:val="28"/>
        </w:trPr>
        <w:tc>
          <w:tcPr>
            <w:tcW w:w="13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3"/>
        </w:trPr>
        <w:tc>
          <w:tcPr>
            <w:tcW w:w="624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1,050,267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1,043,964</w:t>
            </w:r>
          </w:p>
        </w:tc>
      </w:tr>
      <w:tr>
        <w:trPr>
          <w:trHeight w:val="20"/>
        </w:trPr>
        <w:tc>
          <w:tcPr>
            <w:tcW w:w="1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35"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color w:val="auto"/>
        </w:rPr>
        <w:t>BRADY CORPORATION AND SUBSIDIARIES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 Dollars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color w:val="auto"/>
              </w:rPr>
              <w:t>Three months ended October 31,</w:t>
            </w:r>
          </w:p>
        </w:tc>
      </w:tr>
      <w:tr>
        <w:trPr>
          <w:trHeight w:val="28"/>
        </w:trPr>
        <w:tc>
          <w:tcPr>
            <w:tcW w:w="6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5"/>
        </w:trPr>
        <w:tc>
          <w:tcPr>
            <w:tcW w:w="6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2015</w:t>
            </w:r>
          </w:p>
        </w:tc>
      </w:tr>
      <w:tr>
        <w:trPr>
          <w:trHeight w:val="28"/>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22,553</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18,703</w:t>
            </w:r>
          </w:p>
        </w:tc>
      </w:tr>
      <w:tr>
        <w:trPr>
          <w:trHeight w:val="28"/>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3"/>
        </w:trPr>
        <w:tc>
          <w:tcPr>
            <w:tcW w:w="6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8,889</w:t>
            </w:r>
          </w:p>
        </w:tc>
      </w:tr>
      <w:tr>
        <w:trPr>
          <w:trHeight w:val="28"/>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Non-cash portion of stock-based compensation expense</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3,155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2,596</w:t>
            </w:r>
          </w:p>
        </w:tc>
      </w:tr>
      <w:tr>
        <w:trPr>
          <w:trHeight w:val="213"/>
        </w:trPr>
        <w:tc>
          <w:tcPr>
            <w:tcW w:w="6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726</w:t>
            </w:r>
          </w:p>
        </w:tc>
      </w:tr>
      <w:tr>
        <w:trPr>
          <w:trHeight w:val="28"/>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3"/>
        </w:trPr>
        <w:tc>
          <w:tcPr>
            <w:tcW w:w="64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Accounts receivable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(3,342)</w:t>
            </w:r>
          </w:p>
        </w:tc>
      </w:tr>
      <w:tr>
        <w:trPr>
          <w:trHeight w:val="28"/>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Inventories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1,368</w:t>
            </w:r>
          </w:p>
        </w:tc>
      </w:tr>
      <w:tr>
        <w:trPr>
          <w:trHeight w:val="213"/>
        </w:trPr>
        <w:tc>
          <w:tcPr>
            <w:tcW w:w="64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w:t>
            </w:r>
          </w:p>
        </w:tc>
      </w:tr>
      <w:tr>
        <w:trPr>
          <w:trHeight w:val="28"/>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2,546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2,402</w:t>
            </w:r>
          </w:p>
        </w:tc>
      </w:tr>
      <w:tr>
        <w:trPr>
          <w:trHeight w:val="213"/>
        </w:trPr>
        <w:tc>
          <w:tcPr>
            <w:tcW w:w="64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Income taxes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2,109</w:t>
            </w:r>
          </w:p>
        </w:tc>
      </w:tr>
      <w:tr>
        <w:trPr>
          <w:trHeight w:val="28"/>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64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33,993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30,370</w:t>
            </w:r>
          </w:p>
        </w:tc>
      </w:tr>
      <w:tr>
        <w:trPr>
          <w:trHeight w:val="253"/>
        </w:trPr>
        <w:tc>
          <w:tcPr>
            <w:tcW w:w="6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3"/>
        </w:trPr>
        <w:tc>
          <w:tcPr>
            <w:tcW w:w="6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(2,334)</w:t>
            </w:r>
          </w:p>
        </w:tc>
      </w:tr>
      <w:tr>
        <w:trPr>
          <w:trHeight w:val="28"/>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1,539</w:t>
            </w:r>
          </w:p>
        </w:tc>
      </w:tr>
      <w:tr>
        <w:trPr>
          <w:trHeight w:val="193"/>
        </w:trPr>
        <w:tc>
          <w:tcPr>
            <w:tcW w:w="6440" w:type="dxa"/>
            <w:vAlign w:val="bottom"/>
          </w:tcPr>
          <w:p>
            <w:pPr>
              <w:ind w:left="9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(2,448)</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w:t>
            </w:r>
          </w:p>
        </w:tc>
      </w:tr>
      <w:tr>
        <w:trPr>
          <w:trHeight w:val="28"/>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3"/>
        </w:trPr>
        <w:tc>
          <w:tcPr>
            <w:tcW w:w="64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8"/>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 of dividends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(10,183)</w:t>
            </w:r>
          </w:p>
        </w:tc>
      </w:tr>
      <w:tr>
        <w:trPr>
          <w:trHeight w:val="213"/>
        </w:trPr>
        <w:tc>
          <w:tcPr>
            <w:tcW w:w="6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8"/>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(16,160)</w:t>
            </w:r>
          </w:p>
        </w:tc>
      </w:tr>
      <w:tr>
        <w:trPr>
          <w:trHeight w:val="213"/>
        </w:trPr>
        <w:tc>
          <w:tcPr>
            <w:tcW w:w="6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proceeds (repayments) from borrowings on credit facilities</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(2,738)</w:t>
            </w:r>
          </w:p>
        </w:tc>
      </w:tr>
      <w:tr>
        <w:trPr>
          <w:trHeight w:val="28"/>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Debt issuance costs</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r>
      <w:tr>
        <w:trPr>
          <w:trHeight w:val="213"/>
        </w:trPr>
        <w:tc>
          <w:tcPr>
            <w:tcW w:w="64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tax on equity-based compensation, and other</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w:t>
            </w:r>
          </w:p>
        </w:tc>
      </w:tr>
      <w:tr>
        <w:trPr>
          <w:trHeight w:val="28"/>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644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(30,891)</w:t>
            </w:r>
          </w:p>
        </w:tc>
      </w:tr>
      <w:tr>
        <w:trPr>
          <w:trHeight w:val="253"/>
        </w:trPr>
        <w:tc>
          <w:tcPr>
            <w:tcW w:w="6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w:t>
            </w:r>
          </w:p>
        </w:tc>
      </w:tr>
      <w:tr>
        <w:trPr>
          <w:trHeight w:val="253"/>
        </w:trPr>
        <w:tc>
          <w:tcPr>
            <w:tcW w:w="6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25,073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(3,882)</w:t>
            </w:r>
          </w:p>
        </w:tc>
      </w:tr>
      <w:tr>
        <w:trPr>
          <w:trHeight w:val="21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141,228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114,492</w:t>
            </w:r>
          </w:p>
        </w:tc>
      </w:tr>
      <w:tr>
        <w:trPr>
          <w:trHeight w:val="28"/>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5"/>
        </w:trPr>
        <w:tc>
          <w:tcPr>
            <w:tcW w:w="6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221"/>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166,301</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110,610</w:t>
            </w:r>
          </w:p>
        </w:tc>
      </w:tr>
      <w:tr>
        <w:trPr>
          <w:trHeight w:val="20"/>
        </w:trPr>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35"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BRADY CORPORATION AND SUBSIDIARIES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 Dollars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Three months</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9"/>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ended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Three months ended</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99"/>
              </w:rPr>
              <w:t>Year ended</w:t>
            </w:r>
          </w:p>
        </w:tc>
      </w:tr>
      <w:tr>
        <w:trPr>
          <w:trHeight w:val="28"/>
        </w:trPr>
        <w:tc>
          <w:tcPr>
            <w:tcW w:w="28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5"/>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October 31,</w:t>
            </w: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October 31,</w:t>
            </w:r>
          </w:p>
        </w:tc>
        <w:tc>
          <w:tcPr>
            <w:tcW w:w="10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January 31,</w:t>
            </w:r>
          </w:p>
        </w:tc>
        <w:tc>
          <w:tcPr>
            <w:tcW w:w="1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April 30,</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2015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6"/>
                <w:szCs w:val="16"/>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July 31, 2016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July 31, 2016</w:t>
            </w:r>
          </w:p>
        </w:tc>
      </w:tr>
      <w:tr>
        <w:trPr>
          <w:trHeight w:val="28"/>
        </w:trPr>
        <w:tc>
          <w:tcPr>
            <w:tcW w:w="28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9"/>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SALES TO EXTERNAL CUSTOMERS</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r>
      <w:tr>
        <w:trPr>
          <w:trHeight w:val="213"/>
        </w:trPr>
        <w:tc>
          <w:tcPr>
            <w:tcW w:w="2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ID Solutions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201,264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201,020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189,780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201,482</w:t>
            </w:r>
          </w:p>
        </w:tc>
        <w:tc>
          <w:tcPr>
            <w:tcW w:w="1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203,229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795,511</w:t>
            </w:r>
          </w:p>
        </w:tc>
      </w:tr>
      <w:tr>
        <w:trPr>
          <w:trHeight w:val="28"/>
        </w:trPr>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1"/>
        </w:trPr>
        <w:tc>
          <w:tcPr>
            <w:tcW w:w="2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Workplace Safety</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78,912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82,053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78,850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85,334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78,877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325,114</w:t>
            </w:r>
          </w:p>
        </w:tc>
      </w:tr>
      <w:tr>
        <w:trPr>
          <w:trHeight w:val="253"/>
        </w:trPr>
        <w:tc>
          <w:tcPr>
            <w:tcW w:w="2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Company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280,176</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283,073</w:t>
            </w: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268,630</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286,816</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282,106</w:t>
            </w: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1,120,625</w:t>
            </w:r>
          </w:p>
        </w:tc>
      </w:tr>
      <w:tr>
        <w:trPr>
          <w:trHeight w:val="213"/>
        </w:trPr>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bl>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SALES INFORMATION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8"/>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9"/>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ID Solutions</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13"/>
        </w:trPr>
        <w:tc>
          <w:tcPr>
            <w:tcW w:w="2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Organic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(0.7)%</w:t>
            </w:r>
          </w:p>
        </w:tc>
      </w:tr>
      <w:tr>
        <w:trPr>
          <w:trHeight w:val="28"/>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1"/>
        </w:trPr>
        <w:tc>
          <w:tcPr>
            <w:tcW w:w="2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Currency</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(5.4)%</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(3.1)%</w:t>
            </w:r>
          </w:p>
        </w:tc>
      </w:tr>
      <w:tr>
        <w:trPr>
          <w:trHeight w:val="253"/>
        </w:trPr>
        <w:tc>
          <w:tcPr>
            <w:tcW w:w="2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(7.6)%</w:t>
            </w: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w:t>
            </w:r>
          </w:p>
        </w:tc>
      </w:tr>
      <w:tr>
        <w:trPr>
          <w:trHeight w:val="213"/>
        </w:trPr>
        <w:tc>
          <w:tcPr>
            <w:tcW w:w="2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1"/>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Workplace Safety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8"/>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1"/>
        </w:trPr>
        <w:tc>
          <w:tcPr>
            <w:tcW w:w="2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Organic</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(0.7)%</w:t>
            </w:r>
          </w:p>
        </w:tc>
      </w:tr>
      <w:tr>
        <w:trPr>
          <w:trHeight w:val="213"/>
        </w:trPr>
        <w:tc>
          <w:tcPr>
            <w:tcW w:w="2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Currency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w:t>
            </w:r>
          </w:p>
        </w:tc>
      </w:tr>
      <w:tr>
        <w:trPr>
          <w:trHeight w:val="28"/>
        </w:trPr>
        <w:tc>
          <w:tcPr>
            <w:tcW w:w="28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13"/>
        </w:trPr>
        <w:tc>
          <w:tcPr>
            <w:tcW w:w="2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(12.0)%</w:t>
            </w: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(5.7)%</w:t>
            </w:r>
          </w:p>
        </w:tc>
      </w:tr>
      <w:tr>
        <w:trPr>
          <w:trHeight w:val="20"/>
        </w:trPr>
        <w:tc>
          <w:tcPr>
            <w:tcW w:w="2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213"/>
        </w:trPr>
        <w:tc>
          <w:tcPr>
            <w:tcW w:w="2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Total Company</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13"/>
        </w:trPr>
        <w:tc>
          <w:tcPr>
            <w:tcW w:w="2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Organic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(0.7)%</w:t>
            </w:r>
          </w:p>
        </w:tc>
      </w:tr>
      <w:tr>
        <w:trPr>
          <w:trHeight w:val="28"/>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1"/>
        </w:trPr>
        <w:tc>
          <w:tcPr>
            <w:tcW w:w="2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Currency</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(6.6)%</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(3.7)%</w:t>
            </w:r>
          </w:p>
        </w:tc>
      </w:tr>
      <w:tr>
        <w:trPr>
          <w:trHeight w:val="253"/>
        </w:trPr>
        <w:tc>
          <w:tcPr>
            <w:tcW w:w="28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(8.8)%</w:t>
            </w:r>
          </w:p>
        </w:tc>
        <w:tc>
          <w:tcPr>
            <w:tcW w:w="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w:t>
            </w:r>
          </w:p>
        </w:tc>
      </w:tr>
      <w:tr>
        <w:trPr>
          <w:trHeight w:val="213"/>
        </w:trPr>
        <w:tc>
          <w:tcPr>
            <w:tcW w:w="2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1"/>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SEGMENT PROFIT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8"/>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1"/>
        </w:trPr>
        <w:tc>
          <w:tcPr>
            <w:tcW w:w="2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ID Solutions</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33,068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25,431</w:t>
            </w: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23,056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31,898</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31,891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112,276</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13"/>
        </w:trPr>
        <w:tc>
          <w:tcPr>
            <w:tcW w:w="2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Workplace Safety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6,450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9,382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6,296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6,012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9,102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30,792</w:t>
            </w:r>
          </w:p>
        </w:tc>
        <w:tc>
          <w:tcPr>
            <w:tcW w:w="40" w:type="dxa"/>
            <w:vAlign w:val="bottom"/>
          </w:tcPr>
          <w:p>
            <w:pPr>
              <w:spacing w:after="0"/>
              <w:rPr>
                <w:sz w:val="18"/>
                <w:szCs w:val="18"/>
                <w:color w:val="auto"/>
              </w:rPr>
            </w:pPr>
          </w:p>
        </w:tc>
      </w:tr>
      <w:tr>
        <w:trPr>
          <w:trHeight w:val="28"/>
        </w:trPr>
        <w:tc>
          <w:tcPr>
            <w:tcW w:w="28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13"/>
        </w:trPr>
        <w:tc>
          <w:tcPr>
            <w:tcW w:w="2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39,518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34,813</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29,352</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37,910</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40,993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143,068</w:t>
            </w:r>
          </w:p>
        </w:tc>
        <w:tc>
          <w:tcPr>
            <w:tcW w:w="40" w:type="dxa"/>
            <w:vAlign w:val="bottom"/>
            <w:tcBorders>
              <w:bottom w:val="single" w:sz="8" w:color="auto"/>
            </w:tcBorders>
            <w:shd w:val="clear" w:color="auto" w:fill="CCEEFF"/>
          </w:tcPr>
          <w:p>
            <w:pPr>
              <w:spacing w:after="0"/>
              <w:rPr>
                <w:sz w:val="18"/>
                <w:szCs w:val="18"/>
                <w:color w:val="auto"/>
              </w:rPr>
            </w:pPr>
          </w:p>
        </w:tc>
      </w:tr>
      <w:tr>
        <w:trPr>
          <w:trHeight w:val="20"/>
        </w:trPr>
        <w:tc>
          <w:tcPr>
            <w:tcW w:w="29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3"/>
        </w:trPr>
        <w:tc>
          <w:tcPr>
            <w:tcW w:w="28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r>
      <w:tr>
        <w:trPr>
          <w:trHeight w:val="209"/>
        </w:trPr>
        <w:tc>
          <w:tcPr>
            <w:tcW w:w="3960" w:type="dxa"/>
            <w:vAlign w:val="bottom"/>
            <w:tcBorders>
              <w:bottom w:val="single" w:sz="8" w:color="CCEEFF"/>
            </w:tcBorders>
            <w:gridSpan w:val="6"/>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SEGMENT PROFIT AS A PERCENT OF SALES</w:t>
            </w: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r>
        <w:trPr>
          <w:trHeight w:val="213"/>
        </w:trPr>
        <w:tc>
          <w:tcPr>
            <w:tcW w:w="2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ID Solutions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14.1 %</w:t>
            </w:r>
          </w:p>
        </w:tc>
      </w:tr>
      <w:tr>
        <w:trPr>
          <w:trHeight w:val="28"/>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1"/>
        </w:trPr>
        <w:tc>
          <w:tcPr>
            <w:tcW w:w="2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Workplace Safety</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11.4 %</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11.5 %</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9.5 %</w:t>
            </w:r>
          </w:p>
        </w:tc>
      </w:tr>
      <w:tr>
        <w:trPr>
          <w:trHeight w:val="213"/>
        </w:trPr>
        <w:tc>
          <w:tcPr>
            <w:tcW w:w="2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14.1 %</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12.3 %</w:t>
            </w: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14.5 %</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12.8 %</w:t>
            </w:r>
          </w:p>
        </w:tc>
      </w:tr>
      <w:tr>
        <w:trPr>
          <w:trHeight w:val="20"/>
        </w:trPr>
        <w:tc>
          <w:tcPr>
            <w:tcW w:w="2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491"/>
        </w:trPr>
        <w:tc>
          <w:tcPr>
            <w:tcW w:w="2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color w:val="auto"/>
              </w:rPr>
              <w:t>Three months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9"/>
        </w:trPr>
        <w:tc>
          <w:tcPr>
            <w:tcW w:w="2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ended</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8"/>
          </w:tcPr>
          <w:p>
            <w:pPr>
              <w:ind w:left="160"/>
              <w:spacing w:after="0"/>
              <w:rPr>
                <w:sz w:val="20"/>
                <w:szCs w:val="20"/>
                <w:color w:val="auto"/>
              </w:rPr>
            </w:pPr>
            <w:r>
              <w:rPr>
                <w:rFonts w:ascii="Times New Roman" w:cs="Times New Roman" w:eastAsia="Times New Roman" w:hAnsi="Times New Roman"/>
                <w:sz w:val="14"/>
                <w:szCs w:val="14"/>
                <w:color w:val="auto"/>
              </w:rPr>
              <w:t>Three months ended</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Year ended</w:t>
            </w:r>
          </w:p>
        </w:tc>
      </w:tr>
      <w:tr>
        <w:trPr>
          <w:trHeight w:val="28"/>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85"/>
        </w:trPr>
        <w:tc>
          <w:tcPr>
            <w:tcW w:w="2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color w:val="auto"/>
              </w:rPr>
              <w:t>October 31,</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October 31,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January 31,</w:t>
            </w:r>
          </w:p>
        </w:tc>
        <w:tc>
          <w:tcPr>
            <w:tcW w:w="120" w:type="dxa"/>
            <w:vAlign w:val="bottom"/>
          </w:tcPr>
          <w:p>
            <w:pPr>
              <w:spacing w:after="0"/>
              <w:rPr>
                <w:sz w:val="16"/>
                <w:szCs w:val="16"/>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April 30,</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2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2016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2015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2016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July 31, 2016</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July 31, 2016</w:t>
            </w:r>
          </w:p>
        </w:tc>
      </w:tr>
      <w:tr>
        <w:trPr>
          <w:trHeight w:val="28"/>
        </w:trPr>
        <w:tc>
          <w:tcPr>
            <w:tcW w:w="28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1"/>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segment profit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39,518</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34,813</w:t>
            </w: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29,352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37,910</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40,993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143,068</w:t>
            </w:r>
          </w:p>
        </w:tc>
        <w:tc>
          <w:tcPr>
            <w:tcW w:w="40" w:type="dxa"/>
            <w:vAlign w:val="bottom"/>
          </w:tcPr>
          <w:p>
            <w:pPr>
              <w:spacing w:after="0"/>
              <w:rPr>
                <w:sz w:val="17"/>
                <w:szCs w:val="17"/>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Unallocated amounts: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8"/>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1"/>
        </w:trPr>
        <w:tc>
          <w:tcPr>
            <w:tcW w:w="2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Administrative costs</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(4,711)</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(5,763)</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(7,126)</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(25,190)</w:t>
            </w:r>
          </w:p>
        </w:tc>
        <w:tc>
          <w:tcPr>
            <w:tcW w:w="40" w:type="dxa"/>
            <w:vAlign w:val="bottom"/>
          </w:tcPr>
          <w:p>
            <w:pPr>
              <w:spacing w:after="0"/>
              <w:rPr>
                <w:sz w:val="19"/>
                <w:szCs w:val="19"/>
                <w:color w:val="auto"/>
              </w:rPr>
            </w:pPr>
          </w:p>
        </w:tc>
      </w:tr>
      <w:tr>
        <w:trPr>
          <w:trHeight w:val="213"/>
        </w:trPr>
        <w:tc>
          <w:tcPr>
            <w:tcW w:w="2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Investment and other (expense)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40" w:type="dxa"/>
            <w:vAlign w:val="bottom"/>
          </w:tcPr>
          <w:p>
            <w:pPr>
              <w:spacing w:after="0"/>
              <w:rPr>
                <w:sz w:val="18"/>
                <w:szCs w:val="18"/>
                <w:color w:val="auto"/>
              </w:rPr>
            </w:pPr>
          </w:p>
        </w:tc>
      </w:tr>
      <w:tr>
        <w:trPr>
          <w:trHeight w:val="28"/>
        </w:trPr>
        <w:tc>
          <w:tcPr>
            <w:tcW w:w="2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1"/>
        </w:trPr>
        <w:tc>
          <w:tcPr>
            <w:tcW w:w="2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(7,824)</w:t>
            </w:r>
          </w:p>
        </w:tc>
        <w:tc>
          <w:tcPr>
            <w:tcW w:w="40" w:type="dxa"/>
            <w:vAlign w:val="bottom"/>
          </w:tcPr>
          <w:p>
            <w:pPr>
              <w:spacing w:after="0"/>
              <w:rPr>
                <w:sz w:val="20"/>
                <w:szCs w:val="20"/>
                <w:color w:val="auto"/>
              </w:rPr>
            </w:pPr>
          </w:p>
        </w:tc>
      </w:tr>
      <w:tr>
        <w:trPr>
          <w:trHeight w:val="213"/>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Earnings before income taxes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30,987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27,192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20,467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29,667</w:t>
            </w: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32,019</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109,345</w:t>
            </w:r>
          </w:p>
        </w:tc>
        <w:tc>
          <w:tcPr>
            <w:tcW w:w="40" w:type="dxa"/>
            <w:vAlign w:val="bottom"/>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0219"/>
          </w:cols>
          <w:pgMar w:left="240" w:top="535" w:right="1440"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5999480</wp:posOffset>
            </wp:positionV>
            <wp:extent cx="719709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2019-12-05T17:09:58Z</dcterms:created>
  <dcterms:modified xsi:type="dcterms:W3CDTF">2019-12-05T17:09:58Z</dcterms:modified>
</cp:coreProperties>
</file>