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 H Brady Co</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104674106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tbl>
      <w:tblPr>
        <w:tblLayout w:type="fixed"/>
        <w:tblInd w:w="3280" w:type="dxa"/>
        <w:tblCellMar>
          <w:top w:w="0" w:type="dxa"/>
          <w:left w:w="0" w:type="dxa"/>
          <w:bottom w:w="0" w:type="dxa"/>
          <w:right w:w="0" w:type="dxa"/>
        </w:tblCellMar>
      </w:tblPr>
      <w:tr>
        <w:trPr>
          <w:trHeight w:val="204"/>
        </w:trPr>
        <w:tc>
          <w:tcPr>
            <w:tcW w:w="1520" w:type="dxa"/>
            <w:vAlign w:val="bottom"/>
            <w:gridSpan w:val="3"/>
          </w:tcPr>
          <w:p>
            <w:pPr>
              <w:spacing w:after="0"/>
              <w:rPr>
                <w:sz w:val="20"/>
                <w:szCs w:val="20"/>
                <w:color w:val="auto"/>
              </w:rPr>
            </w:pPr>
            <w:r>
              <w:rPr>
                <w:rFonts w:ascii="Courier New" w:cs="Courier New" w:eastAsia="Courier New" w:hAnsi="Courier New"/>
                <w:sz w:val="18"/>
                <w:szCs w:val="18"/>
                <w:color w:val="auto"/>
                <w:w w:val="99"/>
              </w:rPr>
              <w:t>|X| Rule 13d-1</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(c)</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(d)</w:t>
            </w:r>
          </w:p>
        </w:tc>
      </w:tr>
    </w:tbl>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19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and I.R.S. Identification Nos.(entities only) of reporting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Neuberger Berman Inc.</w:t>
      </w:r>
    </w:p>
    <w:p>
      <w:pPr>
        <w:ind w:left="420"/>
        <w:spacing w:after="0" w:line="238" w:lineRule="auto"/>
        <w:rPr>
          <w:sz w:val="20"/>
          <w:szCs w:val="20"/>
          <w:color w:val="auto"/>
        </w:rPr>
      </w:pPr>
      <w:r>
        <w:rPr>
          <w:rFonts w:ascii="Courier New" w:cs="Courier New" w:eastAsia="Courier New" w:hAnsi="Courier New"/>
          <w:sz w:val="18"/>
          <w:szCs w:val="18"/>
          <w:color w:val="auto"/>
        </w:rPr>
        <w:t>061523639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99687</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4272600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5200873</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5200873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10.321%</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and I.R.S. Identification Nos.(entities only)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LLC</w:t>
      </w:r>
    </w:p>
    <w:p>
      <w:pPr>
        <w:ind w:left="420"/>
        <w:spacing w:after="0" w:line="238" w:lineRule="auto"/>
        <w:rPr>
          <w:sz w:val="20"/>
          <w:szCs w:val="20"/>
          <w:color w:val="auto"/>
        </w:rPr>
      </w:pPr>
      <w:r>
        <w:rPr>
          <w:rFonts w:ascii="Courier New" w:cs="Courier New" w:eastAsia="Courier New" w:hAnsi="Courier New"/>
          <w:sz w:val="18"/>
          <w:szCs w:val="18"/>
          <w:color w:val="auto"/>
        </w:rPr>
        <w:t>135521910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99687</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4272600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5200873</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5200873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10.321%</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and I.R.S. Identification Nos.(entities only)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Management Inc.</w:t>
      </w:r>
    </w:p>
    <w:p>
      <w:pPr>
        <w:ind w:left="420"/>
        <w:spacing w:after="0" w:line="238" w:lineRule="auto"/>
        <w:rPr>
          <w:sz w:val="20"/>
          <w:szCs w:val="20"/>
          <w:color w:val="auto"/>
        </w:rPr>
      </w:pPr>
      <w:r>
        <w:rPr>
          <w:rFonts w:ascii="Courier New" w:cs="Courier New" w:eastAsia="Courier New" w:hAnsi="Courier New"/>
          <w:sz w:val="18"/>
          <w:szCs w:val="18"/>
          <w:color w:val="auto"/>
        </w:rPr>
        <w:t>132667528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4272600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4272600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4272600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8.4793%</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104674106</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and I.R.S. Identification Nos.(entities only)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Equity Funds</w:t>
      </w:r>
    </w:p>
    <w:p>
      <w:pPr>
        <w:ind w:left="420"/>
        <w:spacing w:after="0" w:line="238" w:lineRule="auto"/>
        <w:rPr>
          <w:sz w:val="20"/>
          <w:szCs w:val="20"/>
          <w:color w:val="auto"/>
        </w:rPr>
      </w:pPr>
      <w:r>
        <w:rPr>
          <w:rFonts w:ascii="Courier New" w:cs="Courier New" w:eastAsia="Courier New" w:hAnsi="Courier New"/>
          <w:sz w:val="18"/>
          <w:szCs w:val="18"/>
          <w:color w:val="auto"/>
        </w:rPr>
        <w:t>134035886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4207300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4207300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4207300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8.3496%</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 H Brady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6555 W Good Hope Rd</w:t>
      </w:r>
    </w:p>
    <w:p>
      <w:pPr>
        <w:ind w:left="1160"/>
        <w:spacing w:after="0" w:line="238" w:lineRule="auto"/>
        <w:rPr>
          <w:sz w:val="20"/>
          <w:szCs w:val="20"/>
          <w:color w:val="auto"/>
        </w:rPr>
      </w:pPr>
      <w:r>
        <w:rPr>
          <w:rFonts w:ascii="Courier New" w:cs="Courier New" w:eastAsia="Courier New" w:hAnsi="Courier New"/>
          <w:sz w:val="18"/>
          <w:szCs w:val="18"/>
          <w:color w:val="auto"/>
        </w:rPr>
        <w:t>PO Box 571</w:t>
      </w:r>
    </w:p>
    <w:p>
      <w:pPr>
        <w:ind w:left="1160"/>
        <w:spacing w:after="0"/>
        <w:rPr>
          <w:sz w:val="20"/>
          <w:szCs w:val="20"/>
          <w:color w:val="auto"/>
        </w:rPr>
      </w:pPr>
      <w:r>
        <w:rPr>
          <w:rFonts w:ascii="Courier New" w:cs="Courier New" w:eastAsia="Courier New" w:hAnsi="Courier New"/>
          <w:sz w:val="18"/>
          <w:szCs w:val="18"/>
          <w:color w:val="auto"/>
        </w:rPr>
        <w:t>Milwaukee, WI 53201-0571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Inc.</w:t>
      </w:r>
    </w:p>
    <w:p>
      <w:pPr>
        <w:ind w:left="1160"/>
        <w:spacing w:after="0" w:line="238" w:lineRule="auto"/>
        <w:rPr>
          <w:sz w:val="20"/>
          <w:szCs w:val="20"/>
          <w:color w:val="auto"/>
        </w:rPr>
      </w:pPr>
      <w:r>
        <w:rPr>
          <w:rFonts w:ascii="Courier New" w:cs="Courier New" w:eastAsia="Courier New" w:hAnsi="Courier New"/>
          <w:sz w:val="18"/>
          <w:szCs w:val="18"/>
          <w:color w:val="auto"/>
        </w:rPr>
        <w:t>Neuberger Berman, LLC</w:t>
      </w:r>
    </w:p>
    <w:p>
      <w:pPr>
        <w:ind w:left="1160"/>
        <w:spacing w:after="0"/>
        <w:rPr>
          <w:sz w:val="20"/>
          <w:szCs w:val="20"/>
          <w:color w:val="auto"/>
        </w:rPr>
      </w:pPr>
      <w:r>
        <w:rPr>
          <w:rFonts w:ascii="Courier New" w:cs="Courier New" w:eastAsia="Courier New" w:hAnsi="Courier New"/>
          <w:sz w:val="18"/>
          <w:szCs w:val="18"/>
          <w:color w:val="auto"/>
        </w:rPr>
        <w:t>Neuberger Berman Management Inc.</w:t>
      </w:r>
    </w:p>
    <w:p>
      <w:pPr>
        <w:ind w:left="1160"/>
        <w:spacing w:after="0" w:line="237" w:lineRule="auto"/>
        <w:rPr>
          <w:sz w:val="20"/>
          <w:szCs w:val="20"/>
          <w:color w:val="auto"/>
        </w:rPr>
      </w:pPr>
      <w:r>
        <w:rPr>
          <w:rFonts w:ascii="Courier New" w:cs="Courier New" w:eastAsia="Courier New" w:hAnsi="Courier New"/>
          <w:sz w:val="18"/>
          <w:szCs w:val="18"/>
          <w:color w:val="auto"/>
        </w:rPr>
        <w:t>Neuberger Berman Equity Funds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605 Third Avenue</w:t>
      </w:r>
    </w:p>
    <w:p>
      <w:pPr>
        <w:ind w:left="1160"/>
        <w:spacing w:after="0" w:line="238" w:lineRule="auto"/>
        <w:rPr>
          <w:sz w:val="20"/>
          <w:szCs w:val="20"/>
          <w:color w:val="auto"/>
        </w:rPr>
      </w:pPr>
      <w:r>
        <w:rPr>
          <w:rFonts w:ascii="Courier New" w:cs="Courier New" w:eastAsia="Courier New" w:hAnsi="Courier New"/>
          <w:sz w:val="18"/>
          <w:szCs w:val="18"/>
          <w:color w:val="auto"/>
        </w:rPr>
        <w:t>New York, NY 10158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Delaware,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104674106</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ind w:left="1700" w:right="273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700" w:right="2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700" w:right="4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208" w:lineRule="exact"/>
        <w:rPr>
          <w:rFonts w:ascii="Courier New" w:cs="Courier New" w:eastAsia="Courier New" w:hAnsi="Courier New"/>
          <w:sz w:val="18"/>
          <w:szCs w:val="18"/>
          <w:color w:val="auto"/>
        </w:rPr>
      </w:pPr>
    </w:p>
    <w:p>
      <w:pPr>
        <w:ind w:left="1700" w:right="26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700" w:right="2319" w:hanging="849"/>
        <w:spacing w:after="0" w:line="236"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6639" w:hanging="431"/>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5200873</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10.321</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717" w:right="1440" w:bottom="0" w:gutter="0" w:footer="0" w:header="0"/>
        </w:sectPr>
      </w:pPr>
    </w:p>
    <w:bookmarkStart w:id="6" w:name="page7"/>
    <w:bookmarkEnd w:id="6"/>
    <w:p>
      <w:pPr>
        <w:ind w:left="1480" w:right="56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 99687</w:t>
      </w:r>
    </w:p>
    <w:p>
      <w:pPr>
        <w:spacing w:after="0" w:line="208" w:lineRule="exact"/>
        <w:rPr>
          <w:rFonts w:ascii="Courier New" w:cs="Courier New" w:eastAsia="Courier New" w:hAnsi="Courier New"/>
          <w:sz w:val="18"/>
          <w:szCs w:val="18"/>
          <w:color w:val="auto"/>
        </w:rPr>
      </w:pPr>
    </w:p>
    <w:p>
      <w:pPr>
        <w:ind w:left="1480" w:right="54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4272600</w:t>
      </w:r>
    </w:p>
    <w:p>
      <w:pPr>
        <w:spacing w:after="0" w:line="208" w:lineRule="exact"/>
        <w:rPr>
          <w:rFonts w:ascii="Courier New" w:cs="Courier New" w:eastAsia="Courier New" w:hAnsi="Courier New"/>
          <w:sz w:val="18"/>
          <w:szCs w:val="18"/>
          <w:color w:val="auto"/>
        </w:rPr>
      </w:pPr>
    </w:p>
    <w:p>
      <w:pPr>
        <w:ind w:left="1480" w:right="34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8" w:lineRule="exact"/>
        <w:rPr>
          <w:rFonts w:ascii="Courier New" w:cs="Courier New" w:eastAsia="Courier New" w:hAnsi="Courier New"/>
          <w:sz w:val="18"/>
          <w:szCs w:val="18"/>
          <w:color w:val="auto"/>
        </w:rPr>
      </w:pPr>
    </w:p>
    <w:p>
      <w:pPr>
        <w:ind w:left="1480" w:right="325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5200873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7" w:lineRule="exact"/>
        <w:rPr>
          <w:sz w:val="20"/>
          <w:szCs w:val="20"/>
          <w:color w:val="auto"/>
        </w:rPr>
      </w:pPr>
    </w:p>
    <w:p>
      <w:pPr>
        <w:ind w:left="860" w:right="17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Neuberger Berman, LLC is deemed to be a beneficial owner for purpose of Rule 13(d) since it has shared power to make decisions whether to retain or dispose, and in some cases the sole power to vote, the securities of many unrelated clients. Neuberger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2" w:lineRule="exact"/>
        <w:rPr>
          <w:sz w:val="20"/>
          <w:szCs w:val="20"/>
          <w:color w:val="auto"/>
        </w:rPr>
      </w:pPr>
    </w:p>
    <w:p>
      <w:pPr>
        <w:ind w:left="860" w:right="1779"/>
        <w:spacing w:after="0" w:line="238" w:lineRule="auto"/>
        <w:rPr>
          <w:sz w:val="20"/>
          <w:szCs w:val="20"/>
          <w:color w:val="auto"/>
        </w:rPr>
      </w:pPr>
      <w:r>
        <w:rPr>
          <w:rFonts w:ascii="Courier New" w:cs="Courier New" w:eastAsia="Courier New" w:hAnsi="Courier New"/>
          <w:sz w:val="18"/>
          <w:szCs w:val="18"/>
          <w:color w:val="auto"/>
        </w:rPr>
        <w:t>With regard to the shares set forth under item 4. (c) (II), Neuberger Berman, LLC and Neuberger Berman Management Inc. are deemed to be beneficial owners for purposes of Rule 13 (d) since they both have shared power to make decisions whether to retain or dispose and vote the securities. Neuberger Berman, LLC and Neuberger Berman Management Inc. serve as a sub-adviser and investment manager, respectively, of Neuberger Berman's various Mutual Funds which hold such shares in the ordinary course of their business and not with the purpose nor with the effect of changing or influencing the control of the issuer. The holdings of Lehman Brothers Asset Management LLC, an affiliate of Neuberger Berman LLC, are also aggregated to comprise the holdings referenced herein.</w:t>
      </w:r>
    </w:p>
    <w:p>
      <w:pPr>
        <w:spacing w:after="0" w:line="207" w:lineRule="exact"/>
        <w:rPr>
          <w:sz w:val="20"/>
          <w:szCs w:val="20"/>
          <w:color w:val="auto"/>
        </w:rPr>
      </w:pPr>
    </w:p>
    <w:p>
      <w:pPr>
        <w:ind w:left="860" w:right="1999"/>
        <w:spacing w:after="0" w:line="235" w:lineRule="auto"/>
        <w:rPr>
          <w:sz w:val="20"/>
          <w:szCs w:val="20"/>
          <w:color w:val="auto"/>
        </w:rPr>
      </w:pPr>
      <w:r>
        <w:rPr>
          <w:rFonts w:ascii="Courier New" w:cs="Courier New" w:eastAsia="Courier New" w:hAnsi="Courier New"/>
          <w:sz w:val="18"/>
          <w:szCs w:val="18"/>
          <w:color w:val="auto"/>
        </w:rPr>
        <w:t>No other Neuberger Berman, LLC advisory client has an interest of more than 5% of the issuer.</w:t>
      </w:r>
    </w:p>
    <w:p>
      <w:pPr>
        <w:spacing w:after="0" w:line="208"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It should be further noted that the share calculation under item 4. (c) (IV) is derived from a total combination of the shares set forth under Item 4. (c) (I and II). The remaining balance of shares, if any, are for the individual client accounts over which Neuberger Berman, LLC has shared power to dispose but not vote shares.</w:t>
      </w:r>
    </w:p>
    <w:p>
      <w:pPr>
        <w:spacing w:after="0" w:line="200" w:lineRule="exact"/>
        <w:rPr>
          <w:sz w:val="20"/>
          <w:szCs w:val="20"/>
          <w:color w:val="auto"/>
        </w:rPr>
      </w:pPr>
    </w:p>
    <w:p>
      <w:pPr>
        <w:spacing w:after="0" w:line="211"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Neuberger Berman Inc. makes this filing pursuant to the Rule 13d-1 (b)</w:t>
      </w:r>
    </w:p>
    <w:p>
      <w:pPr>
        <w:spacing w:after="0" w:line="4" w:lineRule="exact"/>
        <w:rPr>
          <w:sz w:val="20"/>
          <w:szCs w:val="20"/>
          <w:color w:val="auto"/>
        </w:rPr>
      </w:pPr>
    </w:p>
    <w:p>
      <w:pPr>
        <w:ind w:left="860" w:right="1879" w:hanging="9"/>
        <w:spacing w:after="0" w:line="236" w:lineRule="auto"/>
        <w:tabs>
          <w:tab w:leader="none" w:pos="138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 since it owns 100% of both Neuberger Berman, LLC and Neuberger Berman Management Inc. and does not own over 1% of the issuer, and is affiliated with Lehman Brothers Asset Management LLC.</w:t>
      </w:r>
    </w:p>
    <w:p>
      <w:pPr>
        <w:spacing w:after="0" w:line="6" w:lineRule="exact"/>
        <w:rPr>
          <w:rFonts w:ascii="Courier New" w:cs="Courier New" w:eastAsia="Courier New" w:hAnsi="Courier New"/>
          <w:sz w:val="18"/>
          <w:szCs w:val="18"/>
          <w:color w:val="auto"/>
        </w:rPr>
      </w:pPr>
    </w:p>
    <w:p>
      <w:pPr>
        <w:ind w:left="8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LLC, as investment advisor and broker/dealer with discretion Neuberger Berman Management Inc. as investment advisor to a series of Public Mutual Funds. Lehman Brothers Asset Management LLC as an investment advisor with discretion.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left="960" w:right="187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w:t>
      </w:r>
    </w:p>
    <w:p>
      <w:pPr>
        <w:sectPr>
          <w:pgSz w:w="11900" w:h="16838" w:orient="portrait"/>
          <w:cols w:equalWidth="0" w:num="1">
            <w:col w:w="10219"/>
          </w:cols>
          <w:pgMar w:left="240" w:top="142" w:right="1440" w:bottom="0" w:gutter="0" w:footer="0" w:header="0"/>
        </w:sectPr>
      </w:pPr>
    </w:p>
    <w:bookmarkStart w:id="7" w:name="page8"/>
    <w:bookmarkEnd w:id="7"/>
    <w:p>
      <w:pPr>
        <w:ind w:left="960" w:right="2319"/>
        <w:spacing w:after="0" w:line="235" w:lineRule="auto"/>
        <w:rPr>
          <w:sz w:val="20"/>
          <w:szCs w:val="20"/>
          <w:color w:val="auto"/>
        </w:rPr>
      </w:pPr>
      <w:r>
        <w:rPr>
          <w:rFonts w:ascii="Courier New" w:cs="Courier New" w:eastAsia="Courier New" w:hAnsi="Courier New"/>
          <w:sz w:val="18"/>
          <w:szCs w:val="18"/>
          <w:color w:val="auto"/>
        </w:rPr>
        <w:t>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142" w:right="1440" w:bottom="1440" w:gutter="0" w:footer="0" w:header="0"/>
        </w:sectPr>
      </w:pPr>
    </w:p>
    <w:bookmarkStart w:id="8" w:name="page9"/>
    <w:bookmarkEnd w:id="8"/>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Berman Inc.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02/13/2007</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52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Berman, 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02/13/2007</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52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Berman Management Inc.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02/13/2007</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Peter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Sundman</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Peter Sundman</w:t>
            </w:r>
          </w:p>
        </w:tc>
      </w:tr>
      <w:tr>
        <w:trPr>
          <w:trHeight w:val="203"/>
        </w:trPr>
        <w:tc>
          <w:tcPr>
            <w:tcW w:w="2860" w:type="dxa"/>
            <w:vAlign w:val="bottom"/>
          </w:tcPr>
          <w:p>
            <w:pPr>
              <w:spacing w:after="0"/>
              <w:rPr>
                <w:sz w:val="17"/>
                <w:szCs w:val="17"/>
                <w:color w:val="auto"/>
              </w:rPr>
            </w:pPr>
          </w:p>
        </w:tc>
        <w:tc>
          <w:tcPr>
            <w:tcW w:w="452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rPr>
              <w:t>Title: President</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Berman Equity Funds</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02/13/2007</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Peter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Sundman</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Peter Sundman</w:t>
            </w:r>
          </w:p>
        </w:tc>
      </w:tr>
      <w:tr>
        <w:trPr>
          <w:trHeight w:val="203"/>
        </w:trPr>
        <w:tc>
          <w:tcPr>
            <w:tcW w:w="2860" w:type="dxa"/>
            <w:vAlign w:val="bottom"/>
          </w:tcPr>
          <w:p>
            <w:pPr>
              <w:spacing w:after="0"/>
              <w:rPr>
                <w:sz w:val="17"/>
                <w:szCs w:val="17"/>
                <w:color w:val="auto"/>
              </w:rPr>
            </w:pPr>
          </w:p>
        </w:tc>
        <w:tc>
          <w:tcPr>
            <w:tcW w:w="452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6"/>
              </w:rPr>
              <w:t>Title: Chairman of the Board and</w:t>
            </w:r>
          </w:p>
        </w:tc>
      </w:tr>
      <w:tr>
        <w:trPr>
          <w:trHeight w:val="203"/>
        </w:trPr>
        <w:tc>
          <w:tcPr>
            <w:tcW w:w="2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Chief Executive Officer</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2)"/>
      <w:numFmt w:val="decimal"/>
      <w:start w:val="5"/>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2)"/>
      <w:numFmt w:val="decimal"/>
      <w:start w:val="5"/>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2)"/>
      <w:numFmt w:val="decimal"/>
      <w:start w:val="5"/>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lvl w:ilvl="1">
      <w:lvlJc w:val="left"/>
      <w:lvlText w:val="(%2)"/>
      <w:numFmt w:val="decimal"/>
      <w:start w:val="5"/>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2019-12-13T14:25:09Z</dcterms:created>
  <dcterms:modified xsi:type="dcterms:W3CDTF">2019-12-13T14:25:09Z</dcterms:modified>
</cp:coreProperties>
</file>