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38735</wp:posOffset>
            </wp:positionV>
            <wp:extent cx="159448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53340</wp:posOffset>
            </wp:positionV>
            <wp:extent cx="159448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Exchange Act of 1934</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November 17,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53340</wp:posOffset>
            </wp:positionV>
            <wp:extent cx="159448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BRADY CORPORATION</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37465</wp:posOffset>
            </wp:positionV>
            <wp:extent cx="159448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186" w:lineRule="exact"/>
        <w:rPr>
          <w:sz w:val="24"/>
          <w:szCs w:val="24"/>
          <w:color w:val="auto"/>
        </w:rPr>
      </w:pPr>
    </w:p>
    <w:tbl>
      <w:tblPr>
        <w:tblLayout w:type="fixed"/>
        <w:tblInd w:w="1520" w:type="dxa"/>
        <w:tblCellMar>
          <w:top w:w="0" w:type="dxa"/>
          <w:left w:w="0" w:type="dxa"/>
          <w:bottom w:w="0" w:type="dxa"/>
          <w:right w:w="0" w:type="dxa"/>
        </w:tblCellMar>
      </w:tblPr>
      <w:tr>
        <w:trPr>
          <w:trHeight w:val="159"/>
        </w:trPr>
        <w:tc>
          <w:tcPr>
            <w:tcW w:w="2840" w:type="dxa"/>
            <w:vAlign w:val="bottom"/>
          </w:tcPr>
          <w:p>
            <w:pPr>
              <w:spacing w:after="0"/>
              <w:rPr>
                <w:sz w:val="13"/>
                <w:szCs w:val="13"/>
                <w:color w:val="auto"/>
              </w:rPr>
            </w:pPr>
          </w:p>
        </w:tc>
        <w:tc>
          <w:tcPr>
            <w:tcW w:w="4920" w:type="dxa"/>
            <w:vAlign w:val="bottom"/>
            <w:gridSpan w:val="2"/>
          </w:tcPr>
          <w:p>
            <w:pPr>
              <w:jc w:val="center"/>
              <w:ind w:right="2292"/>
              <w:spacing w:after="0"/>
              <w:rPr>
                <w:sz w:val="20"/>
                <w:szCs w:val="20"/>
                <w:color w:val="auto"/>
              </w:rPr>
            </w:pPr>
            <w:r>
              <w:rPr>
                <w:rFonts w:ascii="Times New Roman" w:cs="Times New Roman" w:eastAsia="Times New Roman" w:hAnsi="Times New Roman"/>
                <w:sz w:val="12"/>
                <w:szCs w:val="12"/>
                <w:b w:val="1"/>
                <w:bCs w:val="1"/>
                <w:color w:val="auto"/>
                <w:w w:val="99"/>
              </w:rPr>
              <w:t>Commission File Number 1-14959</w:t>
            </w:r>
          </w:p>
        </w:tc>
      </w:tr>
      <w:tr>
        <w:trPr>
          <w:trHeight w:val="263"/>
        </w:trPr>
        <w:tc>
          <w:tcPr>
            <w:tcW w:w="2840" w:type="dxa"/>
            <w:vAlign w:val="bottom"/>
          </w:tcPr>
          <w:p>
            <w:pPr>
              <w:jc w:val="center"/>
              <w:ind w:right="306"/>
              <w:spacing w:after="0"/>
              <w:rPr>
                <w:sz w:val="20"/>
                <w:szCs w:val="20"/>
                <w:color w:val="auto"/>
              </w:rPr>
            </w:pPr>
            <w:r>
              <w:rPr>
                <w:rFonts w:ascii="Times New Roman" w:cs="Times New Roman" w:eastAsia="Times New Roman" w:hAnsi="Times New Roman"/>
                <w:sz w:val="12"/>
                <w:szCs w:val="12"/>
                <w:b w:val="1"/>
                <w:bCs w:val="1"/>
                <w:color w:val="auto"/>
                <w:w w:val="98"/>
              </w:rPr>
              <w:t>Wisconsin</w:t>
            </w:r>
          </w:p>
        </w:tc>
        <w:tc>
          <w:tcPr>
            <w:tcW w:w="4920" w:type="dxa"/>
            <w:vAlign w:val="bottom"/>
            <w:gridSpan w:val="2"/>
          </w:tcPr>
          <w:p>
            <w:pPr>
              <w:jc w:val="right"/>
              <w:ind w:right="372"/>
              <w:spacing w:after="0"/>
              <w:rPr>
                <w:sz w:val="20"/>
                <w:szCs w:val="20"/>
                <w:color w:val="auto"/>
              </w:rPr>
            </w:pPr>
            <w:r>
              <w:rPr>
                <w:rFonts w:ascii="Times New Roman" w:cs="Times New Roman" w:eastAsia="Times New Roman" w:hAnsi="Times New Roman"/>
                <w:sz w:val="12"/>
                <w:szCs w:val="12"/>
                <w:b w:val="1"/>
                <w:bCs w:val="1"/>
                <w:color w:val="auto"/>
              </w:rPr>
              <w:t>39-0178960</w:t>
            </w:r>
          </w:p>
        </w:tc>
      </w:tr>
      <w:tr>
        <w:trPr>
          <w:trHeight w:val="125"/>
        </w:trPr>
        <w:tc>
          <w:tcPr>
            <w:tcW w:w="2840" w:type="dxa"/>
            <w:vAlign w:val="bottom"/>
          </w:tcPr>
          <w:p>
            <w:pPr>
              <w:jc w:val="center"/>
              <w:ind w:right="306"/>
              <w:spacing w:after="0"/>
              <w:rPr>
                <w:sz w:val="20"/>
                <w:szCs w:val="20"/>
                <w:color w:val="auto"/>
              </w:rPr>
            </w:pPr>
            <w:r>
              <w:rPr>
                <w:rFonts w:ascii="Times New Roman" w:cs="Times New Roman" w:eastAsia="Times New Roman" w:hAnsi="Times New Roman"/>
                <w:sz w:val="10"/>
                <w:szCs w:val="10"/>
                <w:b w:val="1"/>
                <w:bCs w:val="1"/>
                <w:color w:val="auto"/>
                <w:w w:val="96"/>
              </w:rPr>
              <w:t>(State or other jurisdiction of incorporation or organization)</w:t>
            </w:r>
          </w:p>
        </w:tc>
        <w:tc>
          <w:tcPr>
            <w:tcW w:w="2520" w:type="dxa"/>
            <w:vAlign w:val="bottom"/>
          </w:tcPr>
          <w:p>
            <w:pPr>
              <w:spacing w:after="0"/>
              <w:rPr>
                <w:sz w:val="10"/>
                <w:szCs w:val="10"/>
                <w:color w:val="auto"/>
              </w:rPr>
            </w:pPr>
          </w:p>
        </w:tc>
        <w:tc>
          <w:tcPr>
            <w:tcW w:w="2400" w:type="dxa"/>
            <w:vAlign w:val="bottom"/>
          </w:tcPr>
          <w:p>
            <w:pPr>
              <w:jc w:val="center"/>
              <w:ind w:left="952"/>
              <w:spacing w:after="0"/>
              <w:rPr>
                <w:sz w:val="20"/>
                <w:szCs w:val="20"/>
                <w:color w:val="auto"/>
              </w:rPr>
            </w:pPr>
            <w:r>
              <w:rPr>
                <w:rFonts w:ascii="Times New Roman" w:cs="Times New Roman" w:eastAsia="Times New Roman" w:hAnsi="Times New Roman"/>
                <w:sz w:val="10"/>
                <w:szCs w:val="10"/>
                <w:b w:val="1"/>
                <w:bCs w:val="1"/>
                <w:color w:val="auto"/>
                <w:w w:val="96"/>
              </w:rPr>
              <w:t>(IRS Employer Identification No.)</w:t>
            </w:r>
          </w:p>
        </w:tc>
      </w:tr>
      <w:tr>
        <w:trPr>
          <w:trHeight w:val="272"/>
        </w:trPr>
        <w:tc>
          <w:tcPr>
            <w:tcW w:w="2840" w:type="dxa"/>
            <w:vAlign w:val="bottom"/>
          </w:tcPr>
          <w:p>
            <w:pPr>
              <w:spacing w:after="0"/>
              <w:rPr>
                <w:sz w:val="23"/>
                <w:szCs w:val="23"/>
                <w:color w:val="auto"/>
              </w:rPr>
            </w:pPr>
          </w:p>
        </w:tc>
        <w:tc>
          <w:tcPr>
            <w:tcW w:w="4920" w:type="dxa"/>
            <w:vAlign w:val="bottom"/>
            <w:gridSpan w:val="2"/>
          </w:tcPr>
          <w:p>
            <w:pPr>
              <w:jc w:val="center"/>
              <w:ind w:right="2312"/>
              <w:spacing w:after="0"/>
              <w:rPr>
                <w:sz w:val="20"/>
                <w:szCs w:val="20"/>
                <w:color w:val="auto"/>
              </w:rPr>
            </w:pPr>
            <w:r>
              <w:rPr>
                <w:rFonts w:ascii="Times New Roman" w:cs="Times New Roman" w:eastAsia="Times New Roman" w:hAnsi="Times New Roman"/>
                <w:sz w:val="12"/>
                <w:szCs w:val="12"/>
                <w:b w:val="1"/>
                <w:bCs w:val="1"/>
                <w:color w:val="auto"/>
                <w:w w:val="99"/>
              </w:rPr>
              <w:t>6555 West Good Hope Road</w:t>
            </w:r>
          </w:p>
        </w:tc>
      </w:tr>
      <w:tr>
        <w:trPr>
          <w:trHeight w:val="142"/>
        </w:trPr>
        <w:tc>
          <w:tcPr>
            <w:tcW w:w="2840" w:type="dxa"/>
            <w:vAlign w:val="bottom"/>
          </w:tcPr>
          <w:p>
            <w:pPr>
              <w:spacing w:after="0"/>
              <w:rPr>
                <w:sz w:val="12"/>
                <w:szCs w:val="12"/>
                <w:color w:val="auto"/>
              </w:rPr>
            </w:pPr>
          </w:p>
        </w:tc>
        <w:tc>
          <w:tcPr>
            <w:tcW w:w="4920" w:type="dxa"/>
            <w:vAlign w:val="bottom"/>
            <w:gridSpan w:val="2"/>
          </w:tcPr>
          <w:p>
            <w:pPr>
              <w:jc w:val="center"/>
              <w:ind w:right="2312"/>
              <w:spacing w:after="0"/>
              <w:rPr>
                <w:sz w:val="20"/>
                <w:szCs w:val="20"/>
                <w:color w:val="auto"/>
              </w:rPr>
            </w:pPr>
            <w:r>
              <w:rPr>
                <w:rFonts w:ascii="Times New Roman" w:cs="Times New Roman" w:eastAsia="Times New Roman" w:hAnsi="Times New Roman"/>
                <w:sz w:val="12"/>
                <w:szCs w:val="12"/>
                <w:b w:val="1"/>
                <w:bCs w:val="1"/>
                <w:color w:val="auto"/>
                <w:w w:val="99"/>
              </w:rPr>
              <w:t>Milwaukee, Wisconsin 53223</w:t>
            </w:r>
          </w:p>
        </w:tc>
      </w:tr>
      <w:tr>
        <w:trPr>
          <w:trHeight w:val="125"/>
        </w:trPr>
        <w:tc>
          <w:tcPr>
            <w:tcW w:w="2840" w:type="dxa"/>
            <w:vAlign w:val="bottom"/>
          </w:tcPr>
          <w:p>
            <w:pPr>
              <w:spacing w:after="0"/>
              <w:rPr>
                <w:sz w:val="10"/>
                <w:szCs w:val="10"/>
                <w:color w:val="auto"/>
              </w:rPr>
            </w:pPr>
          </w:p>
        </w:tc>
        <w:tc>
          <w:tcPr>
            <w:tcW w:w="4920" w:type="dxa"/>
            <w:vAlign w:val="bottom"/>
            <w:gridSpan w:val="2"/>
          </w:tcPr>
          <w:p>
            <w:pPr>
              <w:jc w:val="center"/>
              <w:ind w:right="2312"/>
              <w:spacing w:after="0"/>
              <w:rPr>
                <w:sz w:val="20"/>
                <w:szCs w:val="20"/>
                <w:color w:val="auto"/>
              </w:rPr>
            </w:pPr>
            <w:r>
              <w:rPr>
                <w:rFonts w:ascii="Times New Roman" w:cs="Times New Roman" w:eastAsia="Times New Roman" w:hAnsi="Times New Roman"/>
                <w:sz w:val="10"/>
                <w:szCs w:val="10"/>
                <w:b w:val="1"/>
                <w:bCs w:val="1"/>
                <w:color w:val="auto"/>
                <w:w w:val="95"/>
              </w:rPr>
              <w:t>(Address of principal executive offices and Zip Code)</w:t>
            </w:r>
          </w:p>
        </w:tc>
      </w:tr>
      <w:tr>
        <w:trPr>
          <w:trHeight w:val="208"/>
        </w:trPr>
        <w:tc>
          <w:tcPr>
            <w:tcW w:w="2840" w:type="dxa"/>
            <w:vAlign w:val="bottom"/>
          </w:tcPr>
          <w:p>
            <w:pPr>
              <w:spacing w:after="0"/>
              <w:rPr>
                <w:sz w:val="18"/>
                <w:szCs w:val="18"/>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(414) 358-6600</w:t>
            </w:r>
          </w:p>
        </w:tc>
        <w:tc>
          <w:tcPr>
            <w:tcW w:w="2400" w:type="dxa"/>
            <w:vAlign w:val="bottom"/>
          </w:tcPr>
          <w:p>
            <w:pPr>
              <w:spacing w:after="0"/>
              <w:rPr>
                <w:sz w:val="18"/>
                <w:szCs w:val="18"/>
                <w:color w:val="auto"/>
              </w:rPr>
            </w:pPr>
          </w:p>
        </w:tc>
      </w:tr>
      <w:tr>
        <w:trPr>
          <w:trHeight w:val="125"/>
        </w:trPr>
        <w:tc>
          <w:tcPr>
            <w:tcW w:w="2840" w:type="dxa"/>
            <w:vAlign w:val="bottom"/>
          </w:tcPr>
          <w:p>
            <w:pPr>
              <w:spacing w:after="0"/>
              <w:rPr>
                <w:sz w:val="10"/>
                <w:szCs w:val="10"/>
                <w:color w:val="auto"/>
              </w:rPr>
            </w:pPr>
          </w:p>
        </w:tc>
        <w:tc>
          <w:tcPr>
            <w:tcW w:w="4920" w:type="dxa"/>
            <w:vAlign w:val="bottom"/>
            <w:gridSpan w:val="2"/>
          </w:tcPr>
          <w:p>
            <w:pPr>
              <w:jc w:val="center"/>
              <w:ind w:right="2312"/>
              <w:spacing w:after="0"/>
              <w:rPr>
                <w:sz w:val="20"/>
                <w:szCs w:val="20"/>
                <w:color w:val="auto"/>
              </w:rPr>
            </w:pPr>
            <w:r>
              <w:rPr>
                <w:rFonts w:ascii="Times New Roman" w:cs="Times New Roman" w:eastAsia="Times New Roman" w:hAnsi="Times New Roman"/>
                <w:sz w:val="10"/>
                <w:szCs w:val="10"/>
                <w:b w:val="1"/>
                <w:bCs w:val="1"/>
                <w:color w:val="auto"/>
                <w:w w:val="94"/>
              </w:rPr>
              <w:t>(Registrant’s Telephone Number)</w:t>
            </w:r>
          </w:p>
        </w:tc>
      </w:tr>
      <w:tr>
        <w:trPr>
          <w:trHeight w:val="62"/>
        </w:trPr>
        <w:tc>
          <w:tcPr>
            <w:tcW w:w="2840" w:type="dxa"/>
            <w:vAlign w:val="bottom"/>
          </w:tcPr>
          <w:p>
            <w:pPr>
              <w:spacing w:after="0"/>
              <w:rPr>
                <w:sz w:val="5"/>
                <w:szCs w:val="5"/>
                <w:color w:val="auto"/>
              </w:rPr>
            </w:pPr>
          </w:p>
        </w:tc>
        <w:tc>
          <w:tcPr>
            <w:tcW w:w="2520" w:type="dxa"/>
            <w:vAlign w:val="bottom"/>
            <w:tcBorders>
              <w:bottom w:val="single" w:sz="8" w:color="auto"/>
            </w:tcBorders>
          </w:tcPr>
          <w:p>
            <w:pPr>
              <w:spacing w:after="0"/>
              <w:rPr>
                <w:sz w:val="5"/>
                <w:szCs w:val="5"/>
                <w:color w:val="auto"/>
              </w:rPr>
            </w:pPr>
          </w:p>
        </w:tc>
        <w:tc>
          <w:tcPr>
            <w:tcW w:w="2400" w:type="dxa"/>
            <w:vAlign w:val="bottom"/>
          </w:tcPr>
          <w:p>
            <w:pPr>
              <w:spacing w:after="0"/>
              <w:rPr>
                <w:sz w:val="5"/>
                <w:szCs w:val="5"/>
                <w:color w:val="auto"/>
              </w:rPr>
            </w:pPr>
          </w:p>
        </w:tc>
      </w:tr>
    </w:tbl>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32" w:lineRule="exact"/>
        <w:rPr>
          <w:sz w:val="24"/>
          <w:szCs w:val="2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69" w:lineRule="exact"/>
        <w:rPr>
          <w:rFonts w:ascii="MS PGothic" w:cs="MS PGothic" w:eastAsia="MS PGothic" w:hAnsi="MS PGothic"/>
          <w:sz w:val="14"/>
          <w:szCs w:val="1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9" w:lineRule="exact"/>
        <w:rPr>
          <w:rFonts w:ascii="MS PGothic" w:cs="MS PGothic" w:eastAsia="MS PGothic" w:hAnsi="MS PGothic"/>
          <w:sz w:val="14"/>
          <w:szCs w:val="1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69" w:lineRule="exact"/>
        <w:rPr>
          <w:rFonts w:ascii="MS PGothic" w:cs="MS PGothic" w:eastAsia="MS PGothic" w:hAnsi="MS PGothic"/>
          <w:sz w:val="14"/>
          <w:szCs w:val="1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78"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114" w:lineRule="exact"/>
        <w:rPr>
          <w:sz w:val="24"/>
          <w:szCs w:val="24"/>
          <w:color w:val="auto"/>
        </w:rPr>
      </w:pPr>
    </w:p>
    <w:tbl>
      <w:tblPr>
        <w:tblLayout w:type="fixed"/>
        <w:tblInd w:w="10" w:type="dxa"/>
        <w:tblCellMar>
          <w:top w:w="0" w:type="dxa"/>
          <w:left w:w="0" w:type="dxa"/>
          <w:bottom w:w="0" w:type="dxa"/>
          <w:right w:w="0" w:type="dxa"/>
        </w:tblCellMar>
      </w:tblPr>
      <w:tr>
        <w:trPr>
          <w:trHeight w:val="162"/>
        </w:trPr>
        <w:tc>
          <w:tcPr>
            <w:tcW w:w="61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1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Trading Symbol</w:t>
            </w:r>
          </w:p>
        </w:tc>
        <w:tc>
          <w:tcPr>
            <w:tcW w:w="35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r>
      <w:tr>
        <w:trPr>
          <w:trHeight w:val="142"/>
        </w:trPr>
        <w:tc>
          <w:tcPr>
            <w:tcW w:w="6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Class A Nonvoting Common Stock, par value $0.01 per share</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BRC</w:t>
            </w:r>
          </w:p>
        </w:tc>
        <w:tc>
          <w:tcPr>
            <w:tcW w:w="3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New York Stock Exchange</w:t>
            </w:r>
          </w:p>
        </w:tc>
      </w:tr>
    </w:tbl>
    <w:p>
      <w:pPr>
        <w:spacing w:after="0" w:line="142" w:lineRule="exact"/>
        <w:rPr>
          <w:sz w:val="24"/>
          <w:szCs w:val="24"/>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1"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4"/>
          <w:szCs w:val="14"/>
          <w:color w:val="auto"/>
        </w:rPr>
        <w:t>☐</w:t>
      </w:r>
    </w:p>
    <w:p>
      <w:pPr>
        <w:spacing w:after="0" w:line="103" w:lineRule="exact"/>
        <w:rPr>
          <w:sz w:val="24"/>
          <w:szCs w:val="24"/>
          <w:color w:val="auto"/>
        </w:rPr>
      </w:pPr>
    </w:p>
    <w:p>
      <w:pPr>
        <w:jc w:val="both"/>
        <w:ind w:right="20"/>
        <w:spacing w:after="0" w:line="178"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340360</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2" w:right="299" w:bottom="1440" w:gutter="0" w:footer="0" w:header="0"/>
        </w:sectPr>
      </w:pPr>
    </w:p>
    <w:bookmarkStart w:id="1" w:name="page2"/>
    <w:bookmarkEnd w:id="1"/>
    <w:p>
      <w:pPr>
        <w:spacing w:after="0"/>
        <w:tabs>
          <w:tab w:leader="none" w:pos="980" w:val="left"/>
        </w:tabs>
        <w:rPr>
          <w:sz w:val="20"/>
          <w:szCs w:val="20"/>
          <w:color w:val="auto"/>
        </w:rPr>
      </w:pPr>
      <w:r>
        <w:rPr>
          <w:rFonts w:ascii="Times New Roman" w:cs="Times New Roman" w:eastAsia="Times New Roman" w:hAnsi="Times New Roman"/>
          <w:sz w:val="12"/>
          <w:szCs w:val="12"/>
          <w:color w:val="auto"/>
        </w:rPr>
        <w:t>Item 2.02</w:t>
      </w:r>
      <w:r>
        <w:rPr>
          <w:sz w:val="20"/>
          <w:szCs w:val="20"/>
          <w:color w:val="auto"/>
        </w:rPr>
        <w:tab/>
      </w:r>
      <w:r>
        <w:rPr>
          <w:rFonts w:ascii="Times New Roman" w:cs="Times New Roman" w:eastAsia="Times New Roman" w:hAnsi="Times New Roman"/>
          <w:sz w:val="11"/>
          <w:szCs w:val="11"/>
          <w:color w:val="auto"/>
        </w:rPr>
        <w:t>RESULTS OF OPERATIONS AND FINANCIAL CONDITION</w:t>
      </w:r>
    </w:p>
    <w:p>
      <w:pPr>
        <w:spacing w:after="0" w:line="231"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On November 17, 2025, Brady Corporation (the “Company”) issued a press release announcing its fiscal 2026 first quarter financial results. A copy of the press release is being furnished to the Securities and Exchange Commission as Exhibit 99.1 attached hereto and is incorporated herein by reference.</w:t>
      </w:r>
    </w:p>
    <w:p>
      <w:pPr>
        <w:spacing w:after="0" w:line="264"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2"/>
          <w:szCs w:val="12"/>
          <w:color w:val="auto"/>
        </w:rPr>
        <w:t>Item 7.01</w:t>
      </w:r>
      <w:r>
        <w:rPr>
          <w:sz w:val="20"/>
          <w:szCs w:val="20"/>
          <w:color w:val="auto"/>
        </w:rPr>
        <w:tab/>
      </w:r>
      <w:r>
        <w:rPr>
          <w:rFonts w:ascii="Times New Roman" w:cs="Times New Roman" w:eastAsia="Times New Roman" w:hAnsi="Times New Roman"/>
          <w:sz w:val="11"/>
          <w:szCs w:val="11"/>
          <w:color w:val="auto"/>
        </w:rPr>
        <w:t>REGULATION FD DISCLOSURE</w:t>
      </w:r>
    </w:p>
    <w:p>
      <w:pPr>
        <w:spacing w:after="0" w:line="222"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On November 17, 2025, the Company hosted a conference call related to its fiscal 2026 first quarter financial results. A copy of the slides referenced in the conference call, which is also posted on the Corporation’s website, is being furnished to the Securities and Exchange Commission as Exhibit 99.2 attached hereto and is incorporated herein by reference.</w:t>
      </w:r>
    </w:p>
    <w:p>
      <w:pPr>
        <w:spacing w:after="0" w:line="26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2"/>
          <w:szCs w:val="12"/>
          <w:color w:val="auto"/>
        </w:rPr>
        <w:t>Item 9.01</w:t>
      </w:r>
      <w:r>
        <w:rPr>
          <w:sz w:val="20"/>
          <w:szCs w:val="20"/>
          <w:color w:val="auto"/>
        </w:rPr>
        <w:tab/>
      </w:r>
      <w:r>
        <w:rPr>
          <w:rFonts w:ascii="Times New Roman" w:cs="Times New Roman" w:eastAsia="Times New Roman" w:hAnsi="Times New Roman"/>
          <w:sz w:val="11"/>
          <w:szCs w:val="11"/>
          <w:color w:val="auto"/>
        </w:rPr>
        <w:t>FINANCIAL STATEMENTS AND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(d) Exhibits</w:t>
            </w:r>
          </w:p>
        </w:tc>
        <w:tc>
          <w:tcPr>
            <w:tcW w:w="5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0" w:type="dxa"/>
            <w:vAlign w:val="bottom"/>
          </w:tcPr>
          <w:p>
            <w:pPr>
              <w:spacing w:after="0"/>
              <w:rPr>
                <w:sz w:val="13"/>
                <w:szCs w:val="13"/>
                <w:color w:val="auto"/>
              </w:rPr>
            </w:pPr>
          </w:p>
        </w:tc>
      </w:tr>
      <w:tr>
        <w:trPr>
          <w:trHeight w:val="279"/>
        </w:trPr>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EXHIBIT NUMBER</w:t>
            </w:r>
          </w:p>
        </w:tc>
        <w:tc>
          <w:tcPr>
            <w:tcW w:w="101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2"/>
                <w:szCs w:val="12"/>
                <w:color w:val="auto"/>
              </w:rPr>
              <w:t>DESCRIPTION</w:t>
            </w:r>
          </w:p>
        </w:tc>
      </w:tr>
      <w:tr>
        <w:trPr>
          <w:trHeight w:val="178"/>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99.1</w:t>
            </w:r>
          </w:p>
        </w:tc>
        <w:tc>
          <w:tcPr>
            <w:tcW w:w="10120" w:type="dxa"/>
            <w:vAlign w:val="bottom"/>
            <w:gridSpan w:val="3"/>
          </w:tcPr>
          <w:p>
            <w:pPr>
              <w:spacing w:after="0"/>
              <w:rPr>
                <w:sz w:val="20"/>
                <w:szCs w:val="20"/>
                <w:color w:val="auto"/>
              </w:rPr>
            </w:pPr>
            <w:r>
              <w:rPr>
                <w:rFonts w:ascii="Times New Roman" w:cs="Times New Roman" w:eastAsia="Times New Roman" w:hAnsi="Times New Roman"/>
                <w:sz w:val="12"/>
                <w:szCs w:val="12"/>
                <w:color w:val="0000FF"/>
              </w:rPr>
              <w:t>Press Release of Brady Corporation, dated November 17, 2025, relating to first quarter fiscal 2026 financial results.</w:t>
            </w:r>
          </w:p>
        </w:tc>
      </w:tr>
      <w:tr>
        <w:trPr>
          <w:trHeight w:val="20"/>
        </w:trPr>
        <w:tc>
          <w:tcPr>
            <w:tcW w:w="1180" w:type="dxa"/>
            <w:vAlign w:val="bottom"/>
          </w:tcPr>
          <w:p>
            <w:pPr>
              <w:spacing w:after="0" w:line="20" w:lineRule="exact"/>
              <w:rPr>
                <w:sz w:val="1"/>
                <w:szCs w:val="1"/>
                <w:color w:val="auto"/>
              </w:rPr>
            </w:pPr>
          </w:p>
        </w:tc>
        <w:tc>
          <w:tcPr>
            <w:tcW w:w="55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196"/>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99.2</w:t>
            </w:r>
          </w:p>
        </w:tc>
        <w:tc>
          <w:tcPr>
            <w:tcW w:w="10120" w:type="dxa"/>
            <w:vAlign w:val="bottom"/>
            <w:gridSpan w:val="3"/>
          </w:tcPr>
          <w:p>
            <w:pPr>
              <w:spacing w:after="0"/>
              <w:rPr>
                <w:sz w:val="20"/>
                <w:szCs w:val="20"/>
                <w:color w:val="auto"/>
              </w:rPr>
            </w:pPr>
            <w:r>
              <w:rPr>
                <w:rFonts w:ascii="Times New Roman" w:cs="Times New Roman" w:eastAsia="Times New Roman" w:hAnsi="Times New Roman"/>
                <w:sz w:val="12"/>
                <w:szCs w:val="12"/>
                <w:color w:val="0000FF"/>
              </w:rPr>
              <w:t>Informational slides provided by Brady Corporation, dated November 17, 2025, relating to first quarter fiscal 2026 financial results.</w:t>
            </w:r>
          </w:p>
        </w:tc>
      </w:tr>
      <w:tr>
        <w:trPr>
          <w:trHeight w:val="223"/>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63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Inline XBRL document).</w:t>
            </w:r>
          </w:p>
        </w:tc>
        <w:tc>
          <w:tcPr>
            <w:tcW w:w="3800" w:type="dxa"/>
            <w:vAlign w:val="bottom"/>
          </w:tcPr>
          <w:p>
            <w:pPr>
              <w:spacing w:after="0"/>
              <w:rPr>
                <w:sz w:val="19"/>
                <w:szCs w:val="19"/>
                <w:color w:val="auto"/>
              </w:rPr>
            </w:pPr>
          </w:p>
        </w:tc>
      </w:tr>
    </w:tbl>
    <w:p>
      <w:pPr>
        <w:spacing w:after="0" w:line="322"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2"/>
          <w:szCs w:val="12"/>
          <w:color w:val="auto"/>
        </w:rPr>
        <w:t>SIGNATURE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41"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2"/>
          <w:szCs w:val="12"/>
          <w:color w:val="auto"/>
        </w:rPr>
        <w:t>BRADY CORPORATION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November 17, 2025</w:t>
      </w:r>
    </w:p>
    <w:p>
      <w:pPr>
        <w:spacing w:after="0" w:line="195"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2"/>
          <w:szCs w:val="12"/>
          <w:color w:val="auto"/>
        </w:rPr>
        <w:t>/s/ ANN E. THORNTON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4749800</wp:posOffset>
            </wp:positionH>
            <wp:positionV relativeFrom="paragraph">
              <wp:posOffset>10795</wp:posOffset>
            </wp:positionV>
            <wp:extent cx="242316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23160" cy="5715"/>
                    </a:xfrm>
                    <a:prstGeom prst="rect">
                      <a:avLst/>
                    </a:prstGeom>
                    <a:noFill/>
                  </pic:spPr>
                </pic:pic>
              </a:graphicData>
            </a:graphic>
          </wp:anchor>
        </w:drawing>
      </w:r>
    </w:p>
    <w:p>
      <w:pPr>
        <w:spacing w:after="0" w:line="4"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2"/>
          <w:szCs w:val="12"/>
          <w:color w:val="auto"/>
        </w:rPr>
        <w:t>Ann E. Thornton</w:t>
      </w:r>
    </w:p>
    <w:p>
      <w:pPr>
        <w:spacing w:after="0" w:line="17"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2"/>
          <w:szCs w:val="12"/>
          <w:color w:val="auto"/>
        </w:rPr>
        <w:t>Chief Financial Officer, Chief Accounting Officer and Treasurer</w:t>
      </w:r>
    </w:p>
    <w:p>
      <w:pPr>
        <w:sectPr>
          <w:pgSz w:w="11900" w:h="16838" w:orient="portrait"/>
          <w:cols w:equalWidth="0" w:num="1">
            <w:col w:w="11300"/>
          </w:cols>
          <w:pgMar w:left="300" w:top="669" w:right="29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t>EXHIBIT 99.1</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For More Information: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Investor contact: Ann Thornton 414-438-6887</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Media contact: Kate Venne 414-358-5176</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Brady Corporation Reports Fiscal 2026 First Quarter Results and Raises the Low End of its Fiscal 2026 Adjusted Diluted EPS Guidance</w:t>
      </w:r>
    </w:p>
    <w:p>
      <w:pPr>
        <w:spacing w:after="0" w:line="204" w:lineRule="exact"/>
        <w:rPr>
          <w:sz w:val="20"/>
          <w:szCs w:val="20"/>
          <w:color w:val="auto"/>
        </w:rPr>
      </w:pPr>
    </w:p>
    <w:p>
      <w:pPr>
        <w:ind w:left="420" w:hanging="212"/>
        <w:spacing w:after="0"/>
        <w:tabs>
          <w:tab w:leader="none" w:pos="420" w:val="left"/>
        </w:tabs>
        <w:numPr>
          <w:ilvl w:val="0"/>
          <w:numId w:val="2"/>
        </w:numPr>
        <w:rPr>
          <w:rFonts w:ascii="Arial" w:cs="Arial" w:eastAsia="Arial" w:hAnsi="Arial"/>
          <w:sz w:val="14"/>
          <w:szCs w:val="14"/>
          <w:color w:val="auto"/>
        </w:rPr>
      </w:pPr>
      <w:r>
        <w:rPr>
          <w:rFonts w:ascii="Times New Roman" w:cs="Times New Roman" w:eastAsia="Times New Roman" w:hAnsi="Times New Roman"/>
          <w:sz w:val="13"/>
          <w:szCs w:val="13"/>
          <w:color w:val="auto"/>
        </w:rPr>
        <w:t>Sales for the quarter increased 7.5 percent. Organic sales increased 2.8 percent, acquisitions increased sales 3.2 percent, and foreign currency increased sales 1.5 percent.</w:t>
      </w:r>
    </w:p>
    <w:p>
      <w:pPr>
        <w:spacing w:after="0" w:line="55" w:lineRule="exact"/>
        <w:rPr>
          <w:rFonts w:ascii="Arial" w:cs="Arial" w:eastAsia="Arial" w:hAnsi="Arial"/>
          <w:sz w:val="14"/>
          <w:szCs w:val="14"/>
          <w:color w:val="auto"/>
        </w:rPr>
      </w:pPr>
    </w:p>
    <w:p>
      <w:pPr>
        <w:ind w:left="420" w:right="380" w:hanging="212"/>
        <w:spacing w:after="0" w:line="310" w:lineRule="auto"/>
        <w:tabs>
          <w:tab w:leader="none" w:pos="416" w:val="left"/>
        </w:tabs>
        <w:numPr>
          <w:ilvl w:val="0"/>
          <w:numId w:val="2"/>
        </w:numPr>
        <w:rPr>
          <w:rFonts w:ascii="Arial" w:cs="Arial" w:eastAsia="Arial" w:hAnsi="Arial"/>
          <w:sz w:val="14"/>
          <w:szCs w:val="14"/>
          <w:color w:val="auto"/>
        </w:rPr>
      </w:pPr>
      <w:r>
        <w:rPr>
          <w:rFonts w:ascii="Times New Roman" w:cs="Times New Roman" w:eastAsia="Times New Roman" w:hAnsi="Times New Roman"/>
          <w:sz w:val="13"/>
          <w:szCs w:val="13"/>
          <w:color w:val="auto"/>
        </w:rPr>
        <w:t>Diluted EPS increased 16.5 percent to $1.13 in the first quarter of fiscal 2026 compared to $0.97 in the same quarter of the prior year. Adjusted Diluted EPS* increased 8.0 percent to $1.21 in the first quarter of fiscal 2026 compared to $1.12 in the same quarter of the prior year.</w:t>
      </w:r>
    </w:p>
    <w:p>
      <w:pPr>
        <w:spacing w:after="0" w:line="12" w:lineRule="exact"/>
        <w:rPr>
          <w:rFonts w:ascii="Arial" w:cs="Arial" w:eastAsia="Arial" w:hAnsi="Arial"/>
          <w:sz w:val="14"/>
          <w:szCs w:val="14"/>
          <w:color w:val="auto"/>
        </w:rPr>
      </w:pPr>
    </w:p>
    <w:p>
      <w:pPr>
        <w:ind w:left="420" w:hanging="212"/>
        <w:spacing w:after="0"/>
        <w:tabs>
          <w:tab w:leader="none" w:pos="420" w:val="left"/>
        </w:tabs>
        <w:numPr>
          <w:ilvl w:val="0"/>
          <w:numId w:val="2"/>
        </w:numPr>
        <w:rPr>
          <w:rFonts w:ascii="Arial" w:cs="Arial" w:eastAsia="Arial" w:hAnsi="Arial"/>
          <w:sz w:val="14"/>
          <w:szCs w:val="14"/>
          <w:color w:val="auto"/>
        </w:rPr>
      </w:pPr>
      <w:r>
        <w:rPr>
          <w:rFonts w:ascii="Times New Roman" w:cs="Times New Roman" w:eastAsia="Times New Roman" w:hAnsi="Times New Roman"/>
          <w:sz w:val="13"/>
          <w:szCs w:val="13"/>
          <w:color w:val="auto"/>
        </w:rPr>
        <w:t>Cash flow from operating activities increased 42.5 percent to $33.4 million in the first quarter of fiscal 2026 compared to $23.4 million in the same quarter of the prior year.</w:t>
      </w:r>
    </w:p>
    <w:p>
      <w:pPr>
        <w:spacing w:after="0" w:line="55" w:lineRule="exact"/>
        <w:rPr>
          <w:rFonts w:ascii="Arial" w:cs="Arial" w:eastAsia="Arial" w:hAnsi="Arial"/>
          <w:sz w:val="14"/>
          <w:szCs w:val="14"/>
          <w:color w:val="auto"/>
        </w:rPr>
      </w:pPr>
    </w:p>
    <w:p>
      <w:pPr>
        <w:jc w:val="both"/>
        <w:ind w:left="420" w:hanging="212"/>
        <w:spacing w:after="0" w:line="330" w:lineRule="auto"/>
        <w:tabs>
          <w:tab w:leader="none" w:pos="416" w:val="left"/>
        </w:tabs>
        <w:numPr>
          <w:ilvl w:val="0"/>
          <w:numId w:val="2"/>
        </w:numPr>
        <w:rPr>
          <w:rFonts w:ascii="Arial" w:cs="Arial" w:eastAsia="Arial" w:hAnsi="Arial"/>
          <w:sz w:val="14"/>
          <w:szCs w:val="14"/>
          <w:color w:val="auto"/>
        </w:rPr>
      </w:pPr>
      <w:r>
        <w:rPr>
          <w:rFonts w:ascii="Times New Roman" w:cs="Times New Roman" w:eastAsia="Times New Roman" w:hAnsi="Times New Roman"/>
          <w:sz w:val="13"/>
          <w:szCs w:val="13"/>
          <w:color w:val="auto"/>
        </w:rPr>
        <w:t>The low end of Adjusted Diluted EPS* guidance was raised for the full year ending July 31, 2026 from the previous range of $4.85 to $5.15 per share to the new range of $4.90 to $5.15 per share. GAAP earnings per diluted Class A Nonvoting Common share guidance for the full year ending July 31, 2026 was adjusted for acquisition-related amortization to $4.57 to $4.82 per share, from $4.55 to $4.85 per share.</w:t>
      </w:r>
    </w:p>
    <w:p>
      <w:pPr>
        <w:spacing w:after="0" w:line="133" w:lineRule="exact"/>
        <w:rPr>
          <w:sz w:val="20"/>
          <w:szCs w:val="20"/>
          <w:color w:val="auto"/>
        </w:rPr>
      </w:pPr>
    </w:p>
    <w:p>
      <w:pPr>
        <w:jc w:val="both"/>
        <w:ind w:right="20"/>
        <w:spacing w:after="0" w:line="353" w:lineRule="auto"/>
        <w:rPr>
          <w:sz w:val="20"/>
          <w:szCs w:val="20"/>
          <w:color w:val="auto"/>
        </w:rPr>
      </w:pPr>
      <w:r>
        <w:rPr>
          <w:rFonts w:ascii="Times New Roman" w:cs="Times New Roman" w:eastAsia="Times New Roman" w:hAnsi="Times New Roman"/>
          <w:sz w:val="13"/>
          <w:szCs w:val="13"/>
          <w:color w:val="auto"/>
        </w:rPr>
        <w:t>MILWAUKEE (November 17, 2025) -- Brady Corporation (NYSE: BRC) (“Brady” or “Company”), a world leader in identification solutions, today reported its financial results for its fiscal 2026 first quarter ended October 31, 2025.</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Quarter Ended October 31, 2025 Financial Results:</w:t>
      </w:r>
    </w:p>
    <w:p>
      <w:pPr>
        <w:spacing w:after="0" w:line="51" w:lineRule="exact"/>
        <w:rPr>
          <w:sz w:val="20"/>
          <w:szCs w:val="20"/>
          <w:color w:val="auto"/>
        </w:rPr>
      </w:pPr>
    </w:p>
    <w:p>
      <w:pPr>
        <w:jc w:val="both"/>
        <w:ind w:firstLine="432"/>
        <w:spacing w:after="0" w:line="317" w:lineRule="auto"/>
        <w:rPr>
          <w:sz w:val="20"/>
          <w:szCs w:val="20"/>
          <w:color w:val="auto"/>
        </w:rPr>
      </w:pPr>
      <w:r>
        <w:rPr>
          <w:rFonts w:ascii="Times New Roman" w:cs="Times New Roman" w:eastAsia="Times New Roman" w:hAnsi="Times New Roman"/>
          <w:sz w:val="13"/>
          <w:szCs w:val="13"/>
          <w:color w:val="auto"/>
        </w:rPr>
        <w:t>Sales for the quarter ended October 31, 2025 increased 7.5 percent, which consisted of an organic sales increase of 2.8 percent, an increase of 3.2 percent from acquisitions and an increase of 1.5 percent from foreign currency translation. Sales for the quarter ended October 31, 2025 were $405.3 million compared to $377.1 million in the same quarter last year. By region, sales increased 9.6 percent in the Americas &amp; Asia and increased 3.6 percent in Europe &amp; Australia, which included organic sales growth of 4.7 percent in the Americas &amp; Asia and an organic sales decline of 0.8 percent in Europe &amp; Australia.</w:t>
      </w:r>
    </w:p>
    <w:p>
      <w:pPr>
        <w:spacing w:after="0" w:line="2" w:lineRule="exact"/>
        <w:rPr>
          <w:sz w:val="20"/>
          <w:szCs w:val="20"/>
          <w:color w:val="auto"/>
        </w:rPr>
      </w:pPr>
    </w:p>
    <w:p>
      <w:pPr>
        <w:jc w:val="both"/>
        <w:ind w:firstLine="432"/>
        <w:spacing w:after="0" w:line="317" w:lineRule="auto"/>
        <w:rPr>
          <w:sz w:val="20"/>
          <w:szCs w:val="20"/>
          <w:color w:val="auto"/>
        </w:rPr>
      </w:pPr>
      <w:r>
        <w:rPr>
          <w:rFonts w:ascii="Times New Roman" w:cs="Times New Roman" w:eastAsia="Times New Roman" w:hAnsi="Times New Roman"/>
          <w:sz w:val="13"/>
          <w:szCs w:val="13"/>
          <w:color w:val="auto"/>
        </w:rPr>
        <w:t>Income before income taxes increased 16.5 percent to $68.5 million in the quarter ended October 31, 2025 compared to $58.8 million in the same quarter last year. Adjusted Income Before Income Taxes* in the quarter ended October 31, 2025, which was adjusted for amortization expense of $5.3 million, was $73.8 million, an increase of 7.6 percent compared to the first quarter of last year. Adjusted Income Before Income Taxes* in the quarter ended October 31, 2024, which was adjusted for amortization expense and other acquisition-related charges of $9.8 million, was $68.6 million.</w:t>
      </w:r>
    </w:p>
    <w:p>
      <w:pPr>
        <w:spacing w:after="0" w:line="2" w:lineRule="exact"/>
        <w:rPr>
          <w:sz w:val="20"/>
          <w:szCs w:val="20"/>
          <w:color w:val="auto"/>
        </w:rPr>
      </w:pPr>
    </w:p>
    <w:p>
      <w:pPr>
        <w:jc w:val="both"/>
        <w:ind w:firstLine="432"/>
        <w:spacing w:after="0" w:line="335" w:lineRule="auto"/>
        <w:rPr>
          <w:sz w:val="20"/>
          <w:szCs w:val="20"/>
          <w:color w:val="auto"/>
        </w:rPr>
      </w:pPr>
      <w:r>
        <w:rPr>
          <w:rFonts w:ascii="Times New Roman" w:cs="Times New Roman" w:eastAsia="Times New Roman" w:hAnsi="Times New Roman"/>
          <w:sz w:val="13"/>
          <w:szCs w:val="13"/>
          <w:color w:val="auto"/>
        </w:rPr>
        <w:t>Net income in the quarter ended October 31, 2025 was $53.9 million compared to $46.8 million in the same quarter last year. Earnings per diluted Class A Nonvoting Common Share was $1.13 in the first quarter of fiscal 2025 compared to $0.97 in the same quarter last year. Adjusted Net Income* in the quarter ended October 31, 2025 was $58.0 million compared to $54.2 million in the same quarter last year. Adjusted Diluted EPS* in the quarter ended October 31, 2025 was $1.21 compared to $1.12 in the same quarter last year.</w:t>
      </w:r>
    </w:p>
    <w:p>
      <w:pPr>
        <w:sectPr>
          <w:pgSz w:w="11900" w:h="16838" w:orient="portrait"/>
          <w:cols w:equalWidth="0" w:num="1">
            <w:col w:w="11300"/>
          </w:cols>
          <w:pgMar w:left="300" w:top="636" w:right="2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3"/>
          <w:szCs w:val="13"/>
          <w:b w:val="1"/>
          <w:bCs w:val="1"/>
          <w:color w:val="auto"/>
        </w:rPr>
        <w:t>Commentary:</w:t>
      </w:r>
    </w:p>
    <w:p>
      <w:pPr>
        <w:spacing w:after="0" w:line="51" w:lineRule="exact"/>
        <w:rPr>
          <w:sz w:val="20"/>
          <w:szCs w:val="20"/>
          <w:color w:val="auto"/>
        </w:rPr>
      </w:pPr>
    </w:p>
    <w:p>
      <w:pPr>
        <w:jc w:val="both"/>
        <w:ind w:firstLine="432"/>
        <w:spacing w:after="0" w:line="317" w:lineRule="auto"/>
        <w:rPr>
          <w:sz w:val="20"/>
          <w:szCs w:val="20"/>
          <w:color w:val="auto"/>
        </w:rPr>
      </w:pPr>
      <w:r>
        <w:rPr>
          <w:rFonts w:ascii="Times New Roman" w:cs="Times New Roman" w:eastAsia="Times New Roman" w:hAnsi="Times New Roman"/>
          <w:sz w:val="13"/>
          <w:szCs w:val="13"/>
          <w:color w:val="auto"/>
        </w:rPr>
        <w:t>“Our investments in research and development continue to add value for our customers and drive organic sales growth. We reported strong organic sales growth in the Americas &amp; Asia region, and our Europe &amp; Australia region reported a significant improvement in segment profit in the quarter,” said Brady’s President and CEO, Russell R. Shaller. “We also closed on the acquisition of Mecco at the beginning of the quarter, which is an exciting addition to our laser marking system product line. Mecco is a natural complement to our acquisition of Gravotech that we closed last year, and we’re looking forward to the future through the combination of these businesses.”</w:t>
      </w:r>
    </w:p>
    <w:p>
      <w:pPr>
        <w:spacing w:after="0" w:line="2" w:lineRule="exact"/>
        <w:rPr>
          <w:sz w:val="20"/>
          <w:szCs w:val="20"/>
          <w:color w:val="auto"/>
        </w:rPr>
      </w:pPr>
    </w:p>
    <w:p>
      <w:pPr>
        <w:jc w:val="both"/>
        <w:ind w:firstLine="432"/>
        <w:spacing w:after="0" w:line="335" w:lineRule="auto"/>
        <w:rPr>
          <w:sz w:val="20"/>
          <w:szCs w:val="20"/>
          <w:color w:val="auto"/>
        </w:rPr>
      </w:pPr>
      <w:r>
        <w:rPr>
          <w:rFonts w:ascii="Times New Roman" w:cs="Times New Roman" w:eastAsia="Times New Roman" w:hAnsi="Times New Roman"/>
          <w:sz w:val="13"/>
          <w:szCs w:val="13"/>
          <w:color w:val="auto"/>
        </w:rPr>
        <w:t>“We generated adjusted EPS of $1.21, which represented 8.0 percent growth compared to last year’s first quarter. This improvement was driven by our organic sales growth and continued gross profit margin expansion throughout our organic businesses,” said Brady’s Chief Financial Officer, Ann Thornton. “We are in a net cash position of $66.8 million as of October 31, 2025, which allows us to continue to make strategic investments in both organic and inorganic opportunities to drive long-term shareholder value while returning funds to our shareholders through dividends and share buybacks.”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Fiscal 2026 Guidance:</w:t>
      </w:r>
    </w:p>
    <w:p>
      <w:pPr>
        <w:spacing w:after="0" w:line="51" w:lineRule="exact"/>
        <w:rPr>
          <w:sz w:val="20"/>
          <w:szCs w:val="20"/>
          <w:color w:val="auto"/>
        </w:rPr>
      </w:pPr>
    </w:p>
    <w:p>
      <w:pPr>
        <w:jc w:val="both"/>
        <w:ind w:firstLine="432"/>
        <w:spacing w:after="0" w:line="317" w:lineRule="auto"/>
        <w:rPr>
          <w:sz w:val="20"/>
          <w:szCs w:val="20"/>
          <w:color w:val="auto"/>
        </w:rPr>
      </w:pPr>
      <w:r>
        <w:rPr>
          <w:rFonts w:ascii="Times New Roman" w:cs="Times New Roman" w:eastAsia="Times New Roman" w:hAnsi="Times New Roman"/>
          <w:sz w:val="13"/>
          <w:szCs w:val="13"/>
          <w:color w:val="auto"/>
        </w:rPr>
        <w:t>The Company raised the low end of its Adjusted Diluted EPS* guidance for the year ending July 31, 2026 from $4.85 to $5.15 per share to $4.90 to $5.15 per share. The Company’s GAAP earnings per diluted Class A Nonvoting Common Share guidance for the year ending July 31, 2026 was updated for acquisition-related amortization to $4.57 to $4.82 per share, from $4.55 to $4.85 per share.</w:t>
      </w:r>
    </w:p>
    <w:p>
      <w:pPr>
        <w:spacing w:after="0" w:line="1" w:lineRule="exact"/>
        <w:rPr>
          <w:sz w:val="20"/>
          <w:szCs w:val="20"/>
          <w:color w:val="auto"/>
        </w:rPr>
      </w:pPr>
    </w:p>
    <w:p>
      <w:pPr>
        <w:jc w:val="both"/>
        <w:ind w:firstLine="432"/>
        <w:spacing w:after="0" w:line="353" w:lineRule="auto"/>
        <w:rPr>
          <w:sz w:val="20"/>
          <w:szCs w:val="20"/>
          <w:color w:val="auto"/>
        </w:rPr>
      </w:pPr>
      <w:r>
        <w:rPr>
          <w:rFonts w:ascii="Times New Roman" w:cs="Times New Roman" w:eastAsia="Times New Roman" w:hAnsi="Times New Roman"/>
          <w:sz w:val="13"/>
          <w:szCs w:val="13"/>
          <w:color w:val="auto"/>
        </w:rPr>
        <w:t>The other assumptions included in our fiscal 2026 guidance include a full-year income tax rate of approximately 21 percent, depreciation and amortization expense of approximately $44 million, and capital expenditures of approximately $40 million. Our fiscal 2026 guidance is based on foreign currency exchange rates as of October 31, 2025 and assumes continued economic growth.</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 xml:space="preserve">A webcast regarding Brady’s fiscal 2026 first quarter financial results will be available at </w:t>
      </w:r>
      <w:r>
        <w:rPr>
          <w:rFonts w:ascii="Times New Roman" w:cs="Times New Roman" w:eastAsia="Times New Roman" w:hAnsi="Times New Roman"/>
          <w:sz w:val="13"/>
          <w:szCs w:val="13"/>
          <w:u w:val="single" w:color="auto"/>
          <w:color w:val="0000FF"/>
        </w:rPr>
        <w:t>www.bradycorp.com/investors</w:t>
      </w:r>
      <w:r>
        <w:rPr>
          <w:rFonts w:ascii="Times New Roman" w:cs="Times New Roman" w:eastAsia="Times New Roman" w:hAnsi="Times New Roman"/>
          <w:sz w:val="13"/>
          <w:szCs w:val="13"/>
          <w:color w:val="auto"/>
        </w:rPr>
        <w:t xml:space="preserve"> beginning at 9:30 a.m. central time today.</w:t>
      </w:r>
    </w:p>
    <w:p>
      <w:pPr>
        <w:spacing w:after="0" w:line="211" w:lineRule="exact"/>
        <w:rPr>
          <w:sz w:val="20"/>
          <w:szCs w:val="20"/>
          <w:color w:val="auto"/>
        </w:rPr>
      </w:pPr>
    </w:p>
    <w:p>
      <w:pPr>
        <w:jc w:val="both"/>
        <w:ind w:firstLine="432"/>
        <w:spacing w:after="0" w:line="326" w:lineRule="auto"/>
        <w:rPr>
          <w:sz w:val="20"/>
          <w:szCs w:val="20"/>
          <w:color w:val="auto"/>
        </w:rPr>
      </w:pPr>
      <w:r>
        <w:rPr>
          <w:rFonts w:ascii="Times New Roman" w:cs="Times New Roman" w:eastAsia="Times New Roman" w:hAnsi="Times New Roman"/>
          <w:sz w:val="13"/>
          <w:szCs w:val="13"/>
          <w:color w:val="auto"/>
        </w:rPr>
        <w:t xml:space="preserve">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medical, aerospace and a variety of other industries. Brady is headquartered in Milwaukee, Wisconsin and as of July 31, 2025, employed approximately 6,400 people in its worldwide businesses. Brady’s fiscal 2025 sales were approximately $1.51 billion. Brady stock trades on the New York Stock Exchange under the symbol BRC. More information is available on the Internet at </w:t>
      </w:r>
      <w:r>
        <w:rPr>
          <w:rFonts w:ascii="Times New Roman" w:cs="Times New Roman" w:eastAsia="Times New Roman" w:hAnsi="Times New Roman"/>
          <w:sz w:val="13"/>
          <w:szCs w:val="13"/>
          <w:u w:val="single" w:color="auto"/>
          <w:color w:val="0000FF"/>
        </w:rPr>
        <w:t>www.bradyid.com</w:t>
      </w:r>
      <w:r>
        <w:rPr>
          <w:rFonts w:ascii="Times New Roman" w:cs="Times New Roman" w:eastAsia="Times New Roman" w:hAnsi="Times New Roman"/>
          <w:sz w:val="13"/>
          <w:szCs w:val="13"/>
          <w:color w:val="auto"/>
        </w:rPr>
        <w:t>.</w:t>
      </w:r>
    </w:p>
    <w:p>
      <w:pPr>
        <w:spacing w:after="0" w:line="299" w:lineRule="exact"/>
        <w:rPr>
          <w:sz w:val="20"/>
          <w:szCs w:val="20"/>
          <w:color w:val="auto"/>
        </w:rPr>
      </w:pPr>
    </w:p>
    <w:p>
      <w:pPr>
        <w:ind w:firstLine="424"/>
        <w:spacing w:after="0" w:line="353" w:lineRule="auto"/>
        <w:tabs>
          <w:tab w:leader="none" w:pos="534"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Income Before Income Taxes, Adjusted Net Income, and Adjusted Diluted EPS are non-GAAP measures. See appendix for more information on these measures, including reconciliations to the most directly comparable GAAP measures.</w:t>
      </w:r>
    </w:p>
    <w:p>
      <w:pPr>
        <w:sectPr>
          <w:pgSz w:w="11900" w:h="16838" w:orient="portrait"/>
          <w:cols w:equalWidth="0" w:num="1">
            <w:col w:w="11300"/>
          </w:cols>
          <w:pgMar w:left="300" w:top="825" w:right="29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3"/>
          <w:szCs w:val="13"/>
          <w:color w:val="auto"/>
        </w:rPr>
        <w:t>###</w:t>
      </w:r>
    </w:p>
    <w:p>
      <w:pPr>
        <w:spacing w:after="0" w:line="2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2"/>
          <w:szCs w:val="12"/>
          <w:color w:val="auto"/>
        </w:rPr>
        <w:t>In this news release, statements that are not reported financial results or other historic information are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13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2"/>
          <w:szCs w:val="12"/>
          <w:color w:val="auto"/>
        </w:rPr>
        <w:t>The use of words such as “may,” “will,” “expect,” “intend,” “estimate,” “anticipate,” “believe,” “should,” “project,”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increased cost of materials, labor, material shortages and supply chain disruptions, including as a result of tariffs or other impacts of the global trade environment; decreased demand for our products; our ability to compete effectively or to successfully execute our strategy; our ability to develop technologically advanced products that meet customer demands; Brady’s ability to identify, integrate and grow acquired companies, and to manage contingent liabilities from divested businesses; difficulties in protecting our websites, networks, and systems against security breaches; extensive regulations by U.S. and non-U.S. governmental and self-regulatory entities; risks associated with the loss of key employees; litigation, including product liability claims; global climate change and environmental regulations; foreign currency fluctuations; changes in tax legislation and tax rates; potential write-offs of goodwill and other intangible assets; differing interests of voting and non-voting shareholders and changes in the regulatory and business environment around dual-class voting structures; numerous other matters of national, regional and global scale, including major public health crises and government responses thereto and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2025.</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These uncertainties may cause Brady's actual future results to be materially different than those expressed in its forward-looking statements. Brady does not undertake to update its forward-looking statements except as required by law.</w:t>
      </w:r>
    </w:p>
    <w:p>
      <w:pPr>
        <w:sectPr>
          <w:pgSz w:w="11900" w:h="16838" w:orient="portrait"/>
          <w:cols w:equalWidth="0" w:num="1">
            <w:col w:w="11300"/>
          </w:cols>
          <w:pgMar w:left="300" w:top="674"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1"/>
          <w:szCs w:val="11"/>
          <w:b w:val="1"/>
          <w:bCs w:val="1"/>
          <w:color w:val="auto"/>
        </w:rPr>
        <w:t>BRADY CORPORATION AND SUBSIDIARIES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CONSOLIDATED STATEMENTS OF INCOME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(Unaudited; Dollars in thousands, except per share data)</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480" w:type="dxa"/>
            <w:vAlign w:val="bottom"/>
          </w:tcPr>
          <w:p>
            <w:pPr>
              <w:spacing w:after="0"/>
              <w:rPr>
                <w:sz w:val="12"/>
                <w:szCs w:val="12"/>
                <w:color w:val="auto"/>
              </w:rPr>
            </w:pPr>
          </w:p>
        </w:tc>
        <w:tc>
          <w:tcPr>
            <w:tcW w:w="2340" w:type="dxa"/>
            <w:vAlign w:val="bottom"/>
            <w:tcBorders>
              <w:bottom w:val="single" w:sz="8" w:color="auto"/>
            </w:tcBorders>
            <w:gridSpan w:val="4"/>
          </w:tcPr>
          <w:p>
            <w:pPr>
              <w:jc w:val="right"/>
              <w:ind w:right="166"/>
              <w:spacing w:after="0"/>
              <w:rPr>
                <w:sz w:val="20"/>
                <w:szCs w:val="20"/>
                <w:color w:val="auto"/>
              </w:rPr>
            </w:pPr>
            <w:r>
              <w:rPr>
                <w:rFonts w:ascii="Times New Roman" w:cs="Times New Roman" w:eastAsia="Times New Roman" w:hAnsi="Times New Roman"/>
                <w:sz w:val="11"/>
                <w:szCs w:val="11"/>
                <w:color w:val="auto"/>
              </w:rPr>
              <w:t>Three months ended October 31,</w:t>
            </w:r>
          </w:p>
        </w:tc>
        <w:tc>
          <w:tcPr>
            <w:tcW w:w="480" w:type="dxa"/>
            <w:vAlign w:val="bottom"/>
            <w:tcBorders>
              <w:bottom w:val="single" w:sz="8" w:color="auto"/>
            </w:tcBorders>
          </w:tcPr>
          <w:p>
            <w:pPr>
              <w:spacing w:after="0"/>
              <w:rPr>
                <w:sz w:val="12"/>
                <w:szCs w:val="12"/>
                <w:color w:val="auto"/>
              </w:rPr>
            </w:pPr>
          </w:p>
        </w:tc>
      </w:tr>
      <w:tr>
        <w:trPr>
          <w:trHeight w:val="133"/>
        </w:trPr>
        <w:tc>
          <w:tcPr>
            <w:tcW w:w="848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2025</w:t>
            </w: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2024</w:t>
            </w:r>
          </w:p>
        </w:tc>
        <w:tc>
          <w:tcPr>
            <w:tcW w:w="480" w:type="dxa"/>
            <w:vAlign w:val="bottom"/>
            <w:tcBorders>
              <w:bottom w:val="single" w:sz="8" w:color="auto"/>
            </w:tcBorders>
          </w:tcPr>
          <w:p>
            <w:pPr>
              <w:spacing w:after="0"/>
              <w:rPr>
                <w:sz w:val="11"/>
                <w:szCs w:val="11"/>
                <w:color w:val="auto"/>
              </w:rPr>
            </w:pPr>
          </w:p>
        </w:tc>
      </w:tr>
      <w:tr>
        <w:trPr>
          <w:trHeight w:val="135"/>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sales</w:t>
            </w:r>
          </w:p>
        </w:tc>
        <w:tc>
          <w:tcPr>
            <w:tcW w:w="880" w:type="dxa"/>
            <w:vAlign w:val="bottom"/>
            <w:shd w:val="clear" w:color="auto" w:fill="CCEEFF"/>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405,287</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377,065</w:t>
            </w:r>
          </w:p>
        </w:tc>
      </w:tr>
      <w:tr>
        <w:trPr>
          <w:trHeight w:val="142"/>
        </w:trPr>
        <w:tc>
          <w:tcPr>
            <w:tcW w:w="8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Cost of goods sold</w:t>
            </w: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196,455</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187,376</w:t>
            </w:r>
          </w:p>
        </w:tc>
      </w:tr>
      <w:tr>
        <w:trPr>
          <w:trHeight w:val="135"/>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Gross margin</w:t>
            </w: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208,832</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189,689</w:t>
            </w:r>
          </w:p>
        </w:tc>
      </w:tr>
      <w:tr>
        <w:trPr>
          <w:trHeight w:val="142"/>
        </w:trPr>
        <w:tc>
          <w:tcPr>
            <w:tcW w:w="8480" w:type="dxa"/>
            <w:vAlign w:val="bottom"/>
          </w:tcPr>
          <w:p>
            <w:pPr>
              <w:spacing w:after="0"/>
              <w:rPr>
                <w:sz w:val="20"/>
                <w:szCs w:val="20"/>
                <w:color w:val="auto"/>
              </w:rPr>
            </w:pPr>
            <w:r>
              <w:rPr>
                <w:rFonts w:ascii="Times New Roman" w:cs="Times New Roman" w:eastAsia="Times New Roman" w:hAnsi="Times New Roman"/>
                <w:sz w:val="11"/>
                <w:szCs w:val="11"/>
                <w:color w:val="auto"/>
              </w:rPr>
              <w:t>Operating expenses:</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6"/>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Research and development</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23,292</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18,921</w:t>
            </w:r>
          </w:p>
        </w:tc>
      </w:tr>
      <w:tr>
        <w:trPr>
          <w:trHeight w:val="142"/>
        </w:trPr>
        <w:tc>
          <w:tcPr>
            <w:tcW w:w="8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Selling, general and administrative</w:t>
            </w: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117,568</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111,846</w:t>
            </w:r>
          </w:p>
        </w:tc>
      </w:tr>
      <w:tr>
        <w:trPr>
          <w:trHeight w:val="135"/>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operating expenses</w:t>
            </w: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140,860</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130,767</w:t>
            </w:r>
          </w:p>
        </w:tc>
      </w:tr>
      <w:tr>
        <w:trPr>
          <w:trHeight w:val="171"/>
        </w:trPr>
        <w:tc>
          <w:tcPr>
            <w:tcW w:w="8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44"/>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Operating income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67,972</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58,922</w:t>
            </w:r>
          </w:p>
        </w:tc>
      </w:tr>
      <w:tr>
        <w:trPr>
          <w:trHeight w:val="171"/>
        </w:trPr>
        <w:tc>
          <w:tcPr>
            <w:tcW w:w="8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44"/>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income (expense):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r>
      <w:tr>
        <w:trPr>
          <w:trHeight w:val="142"/>
        </w:trPr>
        <w:tc>
          <w:tcPr>
            <w:tcW w:w="848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Investment and other income</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1,712</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1,234</w:t>
            </w:r>
          </w:p>
        </w:tc>
      </w:tr>
      <w:tr>
        <w:trPr>
          <w:trHeight w:val="144"/>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Interest expense</w:t>
            </w: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(1,208)</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(1,356)</w:t>
            </w:r>
          </w:p>
        </w:tc>
      </w:tr>
      <w:tr>
        <w:trPr>
          <w:trHeight w:val="153"/>
        </w:trPr>
        <w:tc>
          <w:tcPr>
            <w:tcW w:w="8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144"/>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Income before income taxes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68,476</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58,800</w:t>
            </w:r>
          </w:p>
        </w:tc>
      </w:tr>
      <w:tr>
        <w:trPr>
          <w:trHeight w:val="171"/>
        </w:trPr>
        <w:tc>
          <w:tcPr>
            <w:tcW w:w="8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42"/>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Income tax expense</w:t>
            </w: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14,540</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12,017</w:t>
            </w:r>
          </w:p>
        </w:tc>
      </w:tr>
      <w:tr>
        <w:trPr>
          <w:trHeight w:val="153"/>
        </w:trPr>
        <w:tc>
          <w:tcPr>
            <w:tcW w:w="8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160"/>
        </w:trPr>
        <w:tc>
          <w:tcPr>
            <w:tcW w:w="8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w:t>
            </w:r>
          </w:p>
        </w:tc>
        <w:tc>
          <w:tcPr>
            <w:tcW w:w="880" w:type="dxa"/>
            <w:vAlign w:val="bottom"/>
            <w:tcBorders>
              <w:bottom w:val="single" w:sz="8" w:color="auto"/>
            </w:tcBorders>
            <w:shd w:val="clear" w:color="auto" w:fill="CCEEFF"/>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53,936</w:t>
            </w:r>
          </w:p>
        </w:tc>
        <w:tc>
          <w:tcPr>
            <w:tcW w:w="1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46,783</w:t>
            </w:r>
          </w:p>
        </w:tc>
      </w:tr>
      <w:tr>
        <w:trPr>
          <w:trHeight w:val="153"/>
        </w:trPr>
        <w:tc>
          <w:tcPr>
            <w:tcW w:w="8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144"/>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 per Class A Nonvoting Common Share: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r>
      <w:tr>
        <w:trPr>
          <w:trHeight w:val="142"/>
        </w:trPr>
        <w:tc>
          <w:tcPr>
            <w:tcW w:w="84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Basic</w:t>
            </w:r>
          </w:p>
        </w:tc>
        <w:tc>
          <w:tcPr>
            <w:tcW w:w="880" w:type="dxa"/>
            <w:vAlign w:val="bottom"/>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w:t>
            </w:r>
          </w:p>
        </w:tc>
        <w:tc>
          <w:tcPr>
            <w:tcW w:w="100" w:type="dxa"/>
            <w:vAlign w:val="bottom"/>
          </w:tcPr>
          <w:p>
            <w:pPr>
              <w:spacing w:after="0"/>
              <w:rPr>
                <w:sz w:val="12"/>
                <w:szCs w:val="12"/>
                <w:color w:val="auto"/>
              </w:rPr>
            </w:pPr>
          </w:p>
        </w:tc>
        <w:tc>
          <w:tcPr>
            <w:tcW w:w="880" w:type="dxa"/>
            <w:vAlign w:val="bottom"/>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0.98</w:t>
            </w:r>
          </w:p>
        </w:tc>
      </w:tr>
      <w:tr>
        <w:trPr>
          <w:trHeight w:val="146"/>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Diluted</w:t>
            </w:r>
          </w:p>
        </w:tc>
        <w:tc>
          <w:tcPr>
            <w:tcW w:w="880" w:type="dxa"/>
            <w:vAlign w:val="bottom"/>
            <w:shd w:val="clear" w:color="auto" w:fill="CCEEFF"/>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0.97</w:t>
            </w:r>
          </w:p>
        </w:tc>
      </w:tr>
      <w:tr>
        <w:trPr>
          <w:trHeight w:val="171"/>
        </w:trPr>
        <w:tc>
          <w:tcPr>
            <w:tcW w:w="8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44"/>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 per Class B Voting Common Share: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r>
      <w:tr>
        <w:trPr>
          <w:trHeight w:val="142"/>
        </w:trPr>
        <w:tc>
          <w:tcPr>
            <w:tcW w:w="84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Basic</w:t>
            </w:r>
          </w:p>
        </w:tc>
        <w:tc>
          <w:tcPr>
            <w:tcW w:w="880" w:type="dxa"/>
            <w:vAlign w:val="bottom"/>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w:t>
            </w:r>
          </w:p>
        </w:tc>
        <w:tc>
          <w:tcPr>
            <w:tcW w:w="100" w:type="dxa"/>
            <w:vAlign w:val="bottom"/>
          </w:tcPr>
          <w:p>
            <w:pPr>
              <w:spacing w:after="0"/>
              <w:rPr>
                <w:sz w:val="12"/>
                <w:szCs w:val="12"/>
                <w:color w:val="auto"/>
              </w:rPr>
            </w:pPr>
          </w:p>
        </w:tc>
        <w:tc>
          <w:tcPr>
            <w:tcW w:w="880" w:type="dxa"/>
            <w:vAlign w:val="bottom"/>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0.96</w:t>
            </w:r>
          </w:p>
        </w:tc>
      </w:tr>
      <w:tr>
        <w:trPr>
          <w:trHeight w:val="146"/>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Diluted</w:t>
            </w:r>
          </w:p>
        </w:tc>
        <w:tc>
          <w:tcPr>
            <w:tcW w:w="880" w:type="dxa"/>
            <w:vAlign w:val="bottom"/>
            <w:shd w:val="clear" w:color="auto" w:fill="CCEEFF"/>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0.95</w:t>
            </w:r>
          </w:p>
        </w:tc>
      </w:tr>
      <w:tr>
        <w:trPr>
          <w:trHeight w:val="171"/>
        </w:trPr>
        <w:tc>
          <w:tcPr>
            <w:tcW w:w="8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44"/>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Weighted average common shares outstanding:</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r>
      <w:tr>
        <w:trPr>
          <w:trHeight w:val="142"/>
        </w:trPr>
        <w:tc>
          <w:tcPr>
            <w:tcW w:w="84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Basic</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47,273</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47,732</w:t>
            </w:r>
          </w:p>
        </w:tc>
      </w:tr>
      <w:tr>
        <w:trPr>
          <w:trHeight w:val="146"/>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Diluted</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47,731</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48,217</w:t>
            </w:r>
          </w:p>
        </w:tc>
      </w:tr>
    </w:tbl>
    <w:p>
      <w:pPr>
        <w:sectPr>
          <w:pgSz w:w="11900" w:h="16838" w:orient="portrait"/>
          <w:cols w:equalWidth="0" w:num="1">
            <w:col w:w="11300"/>
          </w:cols>
          <w:pgMar w:left="300" w:top="560" w:right="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1"/>
          <w:szCs w:val="11"/>
          <w:b w:val="1"/>
          <w:bCs w:val="1"/>
          <w:color w:val="auto"/>
        </w:rPr>
        <w:t>BRADY CORPORATION AND SUBSIDIARIES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CONSOLIDATED BALANCE SHEETS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(Dollars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October 31, 2025</w:t>
            </w:r>
          </w:p>
        </w:tc>
        <w:tc>
          <w:tcPr>
            <w:tcW w:w="220" w:type="dxa"/>
            <w:vAlign w:val="bottom"/>
          </w:tcPr>
          <w:p>
            <w:pPr>
              <w:spacing w:after="0"/>
              <w:rPr>
                <w:sz w:val="12"/>
                <w:szCs w:val="12"/>
                <w:color w:val="auto"/>
              </w:rPr>
            </w:pPr>
          </w:p>
        </w:tc>
        <w:tc>
          <w:tcPr>
            <w:tcW w:w="114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July 31, 2025</w:t>
            </w:r>
          </w:p>
        </w:tc>
      </w:tr>
      <w:tr>
        <w:trPr>
          <w:trHeight w:val="133"/>
        </w:trPr>
        <w:tc>
          <w:tcPr>
            <w:tcW w:w="30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366"/>
              <w:spacing w:after="0"/>
              <w:rPr>
                <w:sz w:val="20"/>
                <w:szCs w:val="20"/>
                <w:color w:val="auto"/>
              </w:rPr>
            </w:pPr>
            <w:r>
              <w:rPr>
                <w:rFonts w:ascii="Times New Roman" w:cs="Times New Roman" w:eastAsia="Times New Roman" w:hAnsi="Times New Roman"/>
                <w:sz w:val="11"/>
                <w:szCs w:val="11"/>
                <w:color w:val="auto"/>
              </w:rPr>
              <w:t>(Unaudited)</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r>
      <w:tr>
        <w:trPr>
          <w:trHeight w:val="126"/>
        </w:trPr>
        <w:tc>
          <w:tcPr>
            <w:tcW w:w="30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4440" w:type="dxa"/>
            <w:vAlign w:val="bottom"/>
            <w:gridSpan w:val="3"/>
            <w:shd w:val="clear" w:color="auto" w:fill="CCEEFF"/>
          </w:tcPr>
          <w:p>
            <w:pPr>
              <w:jc w:val="center"/>
              <w:ind w:right="4040"/>
              <w:spacing w:after="0" w:line="119" w:lineRule="exact"/>
              <w:rPr>
                <w:sz w:val="20"/>
                <w:szCs w:val="20"/>
                <w:color w:val="auto"/>
              </w:rPr>
            </w:pPr>
            <w:r>
              <w:rPr>
                <w:rFonts w:ascii="Times New Roman" w:cs="Times New Roman" w:eastAsia="Times New Roman" w:hAnsi="Times New Roman"/>
                <w:sz w:val="11"/>
                <w:szCs w:val="11"/>
                <w:b w:val="1"/>
                <w:bCs w:val="1"/>
                <w:color w:val="auto"/>
                <w:w w:val="97"/>
              </w:rPr>
              <w:t>ASSETS</w:t>
            </w:r>
          </w:p>
        </w:tc>
        <w:tc>
          <w:tcPr>
            <w:tcW w:w="2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r>
      <w:tr>
        <w:trPr>
          <w:trHeight w:val="142"/>
        </w:trPr>
        <w:tc>
          <w:tcPr>
            <w:tcW w:w="40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Current assets:</w:t>
            </w:r>
          </w:p>
        </w:tc>
        <w:tc>
          <w:tcPr>
            <w:tcW w:w="400" w:type="dxa"/>
            <w:vAlign w:val="bottom"/>
            <w:tcBorders>
              <w:top w:val="single" w:sz="8" w:color="auto"/>
            </w:tcBorders>
          </w:tcPr>
          <w:p>
            <w:pPr>
              <w:spacing w:after="0"/>
              <w:rPr>
                <w:sz w:val="12"/>
                <w:szCs w:val="12"/>
                <w:color w:val="auto"/>
              </w:rPr>
            </w:pPr>
          </w:p>
        </w:tc>
        <w:tc>
          <w:tcPr>
            <w:tcW w:w="4040" w:type="dxa"/>
            <w:vAlign w:val="bottom"/>
            <w:tcBorders>
              <w:top w:val="single" w:sz="8" w:color="CCEEFF"/>
            </w:tcBorders>
            <w:gridSpan w:val="2"/>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1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140" w:type="dxa"/>
            <w:vAlign w:val="bottom"/>
            <w:tcBorders>
              <w:top w:val="single" w:sz="8" w:color="CCEEFF"/>
            </w:tcBorders>
          </w:tcPr>
          <w:p>
            <w:pPr>
              <w:spacing w:after="0"/>
              <w:rPr>
                <w:sz w:val="12"/>
                <w:szCs w:val="12"/>
                <w:color w:val="auto"/>
              </w:rPr>
            </w:pPr>
          </w:p>
        </w:tc>
      </w:tr>
      <w:tr>
        <w:trPr>
          <w:trHeight w:val="146"/>
        </w:trPr>
        <w:tc>
          <w:tcPr>
            <w:tcW w:w="8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2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182,684</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174,349</w:t>
            </w:r>
          </w:p>
        </w:tc>
      </w:tr>
      <w:tr>
        <w:trPr>
          <w:trHeight w:val="160"/>
        </w:trPr>
        <w:tc>
          <w:tcPr>
            <w:tcW w:w="8480" w:type="dxa"/>
            <w:vAlign w:val="bottom"/>
            <w:gridSpan w:val="5"/>
          </w:tcPr>
          <w:p>
            <w:pPr>
              <w:ind w:left="220"/>
              <w:spacing w:after="0"/>
              <w:rPr>
                <w:sz w:val="20"/>
                <w:szCs w:val="20"/>
                <w:color w:val="auto"/>
              </w:rPr>
            </w:pPr>
            <w:r>
              <w:rPr>
                <w:rFonts w:ascii="Times New Roman" w:cs="Times New Roman" w:eastAsia="Times New Roman" w:hAnsi="Times New Roman"/>
                <w:sz w:val="11"/>
                <w:szCs w:val="11"/>
                <w:color w:val="auto"/>
              </w:rPr>
              <w:t>Accounts receivable, net of allowance for credit losses of $7,253 and $7,876, respectively</w:t>
            </w:r>
          </w:p>
        </w:tc>
        <w:tc>
          <w:tcPr>
            <w:tcW w:w="2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248,551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231,944</w:t>
            </w:r>
          </w:p>
        </w:tc>
      </w:tr>
      <w:tr>
        <w:trPr>
          <w:trHeight w:val="146"/>
        </w:trPr>
        <w:tc>
          <w:tcPr>
            <w:tcW w:w="8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Inventories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215,568</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200,881</w:t>
            </w:r>
          </w:p>
        </w:tc>
      </w:tr>
      <w:tr>
        <w:trPr>
          <w:trHeight w:val="142"/>
        </w:trPr>
        <w:tc>
          <w:tcPr>
            <w:tcW w:w="8480" w:type="dxa"/>
            <w:vAlign w:val="bottom"/>
            <w:tcBorders>
              <w:bottom w:val="single" w:sz="8" w:color="CCEEFF"/>
            </w:tcBorders>
            <w:gridSpan w:val="5"/>
          </w:tcPr>
          <w:p>
            <w:pPr>
              <w:ind w:left="220"/>
              <w:spacing w:after="0"/>
              <w:rPr>
                <w:sz w:val="20"/>
                <w:szCs w:val="20"/>
                <w:color w:val="auto"/>
              </w:rPr>
            </w:pPr>
            <w:r>
              <w:rPr>
                <w:rFonts w:ascii="Times New Roman" w:cs="Times New Roman" w:eastAsia="Times New Roman" w:hAnsi="Times New Roman"/>
                <w:sz w:val="11"/>
                <w:szCs w:val="11"/>
                <w:color w:val="auto"/>
              </w:rPr>
              <w:t>Prepaid expenses and other current assets</w:t>
            </w: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15,568</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14,661</w:t>
            </w:r>
          </w:p>
        </w:tc>
      </w:tr>
      <w:tr>
        <w:trPr>
          <w:trHeight w:val="135"/>
        </w:trPr>
        <w:tc>
          <w:tcPr>
            <w:tcW w:w="848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Total current assets</w:t>
            </w: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662,371</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621,835</w:t>
            </w:r>
          </w:p>
        </w:tc>
      </w:tr>
      <w:tr>
        <w:trPr>
          <w:trHeight w:val="142"/>
        </w:trPr>
        <w:tc>
          <w:tcPr>
            <w:tcW w:w="848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Property, plant and equipment—net</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232,522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225,572</w:t>
            </w:r>
          </w:p>
        </w:tc>
      </w:tr>
      <w:tr>
        <w:trPr>
          <w:trHeight w:val="146"/>
        </w:trPr>
        <w:tc>
          <w:tcPr>
            <w:tcW w:w="8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1"/>
                <w:szCs w:val="11"/>
                <w:color w:val="auto"/>
              </w:rPr>
              <w:t>Goodwill</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681,721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676,945</w:t>
            </w:r>
          </w:p>
        </w:tc>
      </w:tr>
      <w:tr>
        <w:trPr>
          <w:trHeight w:val="142"/>
        </w:trPr>
        <w:tc>
          <w:tcPr>
            <w:tcW w:w="848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Other intangible assets</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114,932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105,374</w:t>
            </w:r>
          </w:p>
        </w:tc>
      </w:tr>
      <w:tr>
        <w:trPr>
          <w:trHeight w:val="146"/>
        </w:trPr>
        <w:tc>
          <w:tcPr>
            <w:tcW w:w="8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1"/>
                <w:szCs w:val="11"/>
                <w:color w:val="auto"/>
              </w:rPr>
              <w:t>Deferred income taxes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18,495</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20,862</w:t>
            </w:r>
          </w:p>
        </w:tc>
      </w:tr>
      <w:tr>
        <w:trPr>
          <w:trHeight w:val="142"/>
        </w:trPr>
        <w:tc>
          <w:tcPr>
            <w:tcW w:w="848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Operating lease assets</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60,350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58,422</w:t>
            </w:r>
          </w:p>
        </w:tc>
      </w:tr>
      <w:tr>
        <w:trPr>
          <w:trHeight w:val="144"/>
        </w:trPr>
        <w:tc>
          <w:tcPr>
            <w:tcW w:w="8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assets</w:t>
            </w:r>
          </w:p>
        </w:tc>
        <w:tc>
          <w:tcPr>
            <w:tcW w:w="20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24,283</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25,243</w:t>
            </w:r>
          </w:p>
        </w:tc>
      </w:tr>
      <w:tr>
        <w:trPr>
          <w:trHeight w:val="151"/>
        </w:trPr>
        <w:tc>
          <w:tcPr>
            <w:tcW w:w="848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1,794,674</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1,734,253</w:t>
            </w:r>
          </w:p>
        </w:tc>
      </w:tr>
      <w:tr>
        <w:trPr>
          <w:trHeight w:val="106"/>
        </w:trPr>
        <w:tc>
          <w:tcPr>
            <w:tcW w:w="3060" w:type="dxa"/>
            <w:vAlign w:val="bottom"/>
            <w:tcBorders>
              <w:bottom w:val="single" w:sz="8" w:color="CCEEFF"/>
            </w:tcBorders>
            <w:shd w:val="clear" w:color="auto" w:fill="CCEEFF"/>
          </w:tcPr>
          <w:p>
            <w:pPr>
              <w:spacing w:after="0"/>
              <w:rPr>
                <w:sz w:val="9"/>
                <w:szCs w:val="9"/>
                <w:color w:val="auto"/>
              </w:rPr>
            </w:pPr>
          </w:p>
        </w:tc>
        <w:tc>
          <w:tcPr>
            <w:tcW w:w="2360" w:type="dxa"/>
            <w:vAlign w:val="bottom"/>
            <w:tcBorders>
              <w:bottom w:val="single" w:sz="8" w:color="auto"/>
            </w:tcBorders>
            <w:gridSpan w:val="3"/>
            <w:shd w:val="clear" w:color="auto" w:fill="CCEEFF"/>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auto"/>
                <w:w w:val="98"/>
              </w:rPr>
              <w:t>LIABILITIES AND STOCKHOLDERS’ EQUITY</w:t>
            </w:r>
          </w:p>
        </w:tc>
        <w:tc>
          <w:tcPr>
            <w:tcW w:w="3060" w:type="dxa"/>
            <w:vAlign w:val="bottom"/>
            <w:tcBorders>
              <w:bottom w:val="single" w:sz="8" w:color="CCEEFF"/>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116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1140" w:type="dxa"/>
            <w:vAlign w:val="bottom"/>
            <w:tcBorders>
              <w:bottom w:val="single" w:sz="8" w:color="CCEEFF"/>
            </w:tcBorders>
            <w:shd w:val="clear" w:color="auto" w:fill="CCEEFF"/>
          </w:tcPr>
          <w:p>
            <w:pPr>
              <w:spacing w:after="0"/>
              <w:rPr>
                <w:sz w:val="9"/>
                <w:szCs w:val="9"/>
                <w:color w:val="auto"/>
              </w:rPr>
            </w:pPr>
          </w:p>
        </w:tc>
      </w:tr>
      <w:tr>
        <w:trPr>
          <w:trHeight w:val="142"/>
        </w:trPr>
        <w:tc>
          <w:tcPr>
            <w:tcW w:w="848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Current liabilities:</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6"/>
        </w:trPr>
        <w:tc>
          <w:tcPr>
            <w:tcW w:w="8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Accounts payable</w:t>
            </w:r>
          </w:p>
        </w:tc>
        <w:tc>
          <w:tcPr>
            <w:tcW w:w="2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103,804</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105,028</w:t>
            </w:r>
          </w:p>
        </w:tc>
      </w:tr>
      <w:tr>
        <w:trPr>
          <w:trHeight w:val="142"/>
        </w:trPr>
        <w:tc>
          <w:tcPr>
            <w:tcW w:w="8480" w:type="dxa"/>
            <w:vAlign w:val="bottom"/>
            <w:gridSpan w:val="5"/>
          </w:tcPr>
          <w:p>
            <w:pPr>
              <w:ind w:left="220"/>
              <w:spacing w:after="0"/>
              <w:rPr>
                <w:sz w:val="20"/>
                <w:szCs w:val="20"/>
                <w:color w:val="auto"/>
              </w:rPr>
            </w:pPr>
            <w:r>
              <w:rPr>
                <w:rFonts w:ascii="Times New Roman" w:cs="Times New Roman" w:eastAsia="Times New Roman" w:hAnsi="Times New Roman"/>
                <w:sz w:val="11"/>
                <w:szCs w:val="11"/>
                <w:color w:val="auto"/>
              </w:rPr>
              <w:t>Accrued compensation and benefits</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69,886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92,657</w:t>
            </w:r>
          </w:p>
        </w:tc>
      </w:tr>
      <w:tr>
        <w:trPr>
          <w:trHeight w:val="146"/>
        </w:trPr>
        <w:tc>
          <w:tcPr>
            <w:tcW w:w="8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Taxes, other than income taxes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22,933</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21,537</w:t>
            </w:r>
          </w:p>
        </w:tc>
      </w:tr>
      <w:tr>
        <w:trPr>
          <w:trHeight w:val="142"/>
        </w:trPr>
        <w:tc>
          <w:tcPr>
            <w:tcW w:w="8480" w:type="dxa"/>
            <w:vAlign w:val="bottom"/>
            <w:gridSpan w:val="5"/>
          </w:tcPr>
          <w:p>
            <w:pPr>
              <w:ind w:left="220"/>
              <w:spacing w:after="0"/>
              <w:rPr>
                <w:sz w:val="20"/>
                <w:szCs w:val="20"/>
                <w:color w:val="auto"/>
              </w:rPr>
            </w:pPr>
            <w:r>
              <w:rPr>
                <w:rFonts w:ascii="Times New Roman" w:cs="Times New Roman" w:eastAsia="Times New Roman" w:hAnsi="Times New Roman"/>
                <w:sz w:val="11"/>
                <w:szCs w:val="11"/>
                <w:color w:val="auto"/>
              </w:rPr>
              <w:t>Accrued income taxes</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6,812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5,547</w:t>
            </w:r>
          </w:p>
        </w:tc>
      </w:tr>
      <w:tr>
        <w:trPr>
          <w:trHeight w:val="146"/>
        </w:trPr>
        <w:tc>
          <w:tcPr>
            <w:tcW w:w="8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Current operating lease liabilities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16,590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15,234</w:t>
            </w:r>
          </w:p>
        </w:tc>
      </w:tr>
      <w:tr>
        <w:trPr>
          <w:trHeight w:val="142"/>
        </w:trPr>
        <w:tc>
          <w:tcPr>
            <w:tcW w:w="8480" w:type="dxa"/>
            <w:vAlign w:val="bottom"/>
            <w:tcBorders>
              <w:bottom w:val="single" w:sz="8" w:color="CCEEFF"/>
            </w:tcBorders>
            <w:gridSpan w:val="5"/>
          </w:tcPr>
          <w:p>
            <w:pPr>
              <w:ind w:left="220"/>
              <w:spacing w:after="0"/>
              <w:rPr>
                <w:sz w:val="20"/>
                <w:szCs w:val="20"/>
                <w:color w:val="auto"/>
              </w:rPr>
            </w:pPr>
            <w:r>
              <w:rPr>
                <w:rFonts w:ascii="Times New Roman" w:cs="Times New Roman" w:eastAsia="Times New Roman" w:hAnsi="Times New Roman"/>
                <w:sz w:val="11"/>
                <w:szCs w:val="11"/>
                <w:color w:val="auto"/>
              </w:rPr>
              <w:t>Other current liabilities</w:t>
            </w: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100,683</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90,329</w:t>
            </w:r>
          </w:p>
        </w:tc>
      </w:tr>
      <w:tr>
        <w:trPr>
          <w:trHeight w:val="135"/>
        </w:trPr>
        <w:tc>
          <w:tcPr>
            <w:tcW w:w="848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Total current liabilities</w:t>
            </w: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320,708</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330,332</w:t>
            </w:r>
          </w:p>
        </w:tc>
      </w:tr>
      <w:tr>
        <w:trPr>
          <w:trHeight w:val="142"/>
        </w:trPr>
        <w:tc>
          <w:tcPr>
            <w:tcW w:w="848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Long-term debt</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115,906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99,766</w:t>
            </w:r>
          </w:p>
        </w:tc>
      </w:tr>
      <w:tr>
        <w:trPr>
          <w:trHeight w:val="146"/>
        </w:trPr>
        <w:tc>
          <w:tcPr>
            <w:tcW w:w="8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1"/>
                <w:szCs w:val="11"/>
                <w:color w:val="auto"/>
              </w:rPr>
              <w:t>Long-term operating lease liabilities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44,288</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43,565</w:t>
            </w:r>
          </w:p>
        </w:tc>
      </w:tr>
      <w:tr>
        <w:trPr>
          <w:trHeight w:val="142"/>
        </w:trPr>
        <w:tc>
          <w:tcPr>
            <w:tcW w:w="848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1"/>
                <w:szCs w:val="11"/>
                <w:color w:val="auto"/>
              </w:rPr>
              <w:t>Other liabilities</w:t>
            </w: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68,952</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68,379</w:t>
            </w:r>
          </w:p>
        </w:tc>
      </w:tr>
      <w:tr>
        <w:trPr>
          <w:trHeight w:val="135"/>
        </w:trPr>
        <w:tc>
          <w:tcPr>
            <w:tcW w:w="848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Total liabilities</w:t>
            </w: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549,854</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542,042</w:t>
            </w:r>
          </w:p>
        </w:tc>
      </w:tr>
      <w:tr>
        <w:trPr>
          <w:trHeight w:val="142"/>
        </w:trPr>
        <w:tc>
          <w:tcPr>
            <w:tcW w:w="848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Stockholders’ equity:</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6"/>
        </w:trPr>
        <w:tc>
          <w:tcPr>
            <w:tcW w:w="8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Common stock:</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142"/>
        </w:trPr>
        <w:tc>
          <w:tcPr>
            <w:tcW w:w="8480" w:type="dxa"/>
            <w:vAlign w:val="bottom"/>
            <w:gridSpan w:val="5"/>
          </w:tcPr>
          <w:p>
            <w:pPr>
              <w:ind w:left="360"/>
              <w:spacing w:after="0"/>
              <w:rPr>
                <w:sz w:val="20"/>
                <w:szCs w:val="20"/>
                <w:color w:val="auto"/>
              </w:rPr>
            </w:pPr>
            <w:r>
              <w:rPr>
                <w:rFonts w:ascii="Times New Roman" w:cs="Times New Roman" w:eastAsia="Times New Roman" w:hAnsi="Times New Roman"/>
                <w:sz w:val="11"/>
                <w:szCs w:val="11"/>
                <w:color w:val="auto"/>
              </w:rPr>
              <w:t>Class A nonvoting common stock—Issued 51,261,487 shares, and outstanding 43,666,121 and 43,530,012 shares, respectively</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513</w:t>
            </w:r>
          </w:p>
        </w:tc>
      </w:tr>
      <w:tr>
        <w:trPr>
          <w:trHeight w:val="146"/>
        </w:trPr>
        <w:tc>
          <w:tcPr>
            <w:tcW w:w="848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Class B voting common stock—Issued and outstanding, 3,538,628 shares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w:t>
            </w:r>
          </w:p>
        </w:tc>
      </w:tr>
      <w:tr>
        <w:trPr>
          <w:trHeight w:val="142"/>
        </w:trPr>
        <w:tc>
          <w:tcPr>
            <w:tcW w:w="8480" w:type="dxa"/>
            <w:vAlign w:val="bottom"/>
            <w:gridSpan w:val="5"/>
          </w:tcPr>
          <w:p>
            <w:pPr>
              <w:ind w:left="220"/>
              <w:spacing w:after="0"/>
              <w:rPr>
                <w:sz w:val="20"/>
                <w:szCs w:val="20"/>
                <w:color w:val="auto"/>
              </w:rPr>
            </w:pPr>
            <w:r>
              <w:rPr>
                <w:rFonts w:ascii="Times New Roman" w:cs="Times New Roman" w:eastAsia="Times New Roman" w:hAnsi="Times New Roman"/>
                <w:sz w:val="11"/>
                <w:szCs w:val="11"/>
                <w:color w:val="auto"/>
              </w:rPr>
              <w:t>Additional paid-in capital</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359,690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359,269</w:t>
            </w:r>
          </w:p>
        </w:tc>
      </w:tr>
      <w:tr>
        <w:trPr>
          <w:trHeight w:val="146"/>
        </w:trPr>
        <w:tc>
          <w:tcPr>
            <w:tcW w:w="8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Retained earnings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1,360,156</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1,317,739</w:t>
            </w:r>
          </w:p>
        </w:tc>
      </w:tr>
      <w:tr>
        <w:trPr>
          <w:trHeight w:val="142"/>
        </w:trPr>
        <w:tc>
          <w:tcPr>
            <w:tcW w:w="8480" w:type="dxa"/>
            <w:vAlign w:val="bottom"/>
            <w:gridSpan w:val="5"/>
          </w:tcPr>
          <w:p>
            <w:pPr>
              <w:ind w:left="220"/>
              <w:spacing w:after="0"/>
              <w:rPr>
                <w:sz w:val="20"/>
                <w:szCs w:val="20"/>
                <w:color w:val="auto"/>
              </w:rPr>
            </w:pPr>
            <w:r>
              <w:rPr>
                <w:rFonts w:ascii="Times New Roman" w:cs="Times New Roman" w:eastAsia="Times New Roman" w:hAnsi="Times New Roman"/>
                <w:sz w:val="11"/>
                <w:szCs w:val="11"/>
                <w:color w:val="auto"/>
              </w:rPr>
              <w:t>Treasury stock—7,595,366 and 7,731,475 shares, respectively, of Class A nonvoting common stock, at cost</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(388,847)</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(393,186)</w:t>
            </w:r>
          </w:p>
        </w:tc>
      </w:tr>
      <w:tr>
        <w:trPr>
          <w:trHeight w:val="146"/>
        </w:trPr>
        <w:tc>
          <w:tcPr>
            <w:tcW w:w="8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Accumulated other comprehensive loss</w:t>
            </w:r>
          </w:p>
        </w:tc>
        <w:tc>
          <w:tcPr>
            <w:tcW w:w="20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(86,727)</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(92,159)</w:t>
            </w:r>
          </w:p>
        </w:tc>
      </w:tr>
      <w:tr>
        <w:trPr>
          <w:trHeight w:val="131"/>
        </w:trPr>
        <w:tc>
          <w:tcPr>
            <w:tcW w:w="8480" w:type="dxa"/>
            <w:vAlign w:val="bottom"/>
            <w:tcBorders>
              <w:bottom w:val="single" w:sz="8" w:color="CCEEFF"/>
            </w:tcBorders>
            <w:gridSpan w:val="5"/>
          </w:tcPr>
          <w:p>
            <w:pPr>
              <w:ind w:left="360"/>
              <w:spacing w:after="0"/>
              <w:rPr>
                <w:sz w:val="20"/>
                <w:szCs w:val="20"/>
                <w:color w:val="auto"/>
              </w:rPr>
            </w:pPr>
            <w:r>
              <w:rPr>
                <w:rFonts w:ascii="Times New Roman" w:cs="Times New Roman" w:eastAsia="Times New Roman" w:hAnsi="Times New Roman"/>
                <w:sz w:val="11"/>
                <w:szCs w:val="11"/>
                <w:color w:val="auto"/>
              </w:rPr>
              <w:t>Total stockholders’ equity</w:t>
            </w:r>
          </w:p>
        </w:tc>
        <w:tc>
          <w:tcPr>
            <w:tcW w:w="2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1,244,820</w:t>
            </w: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1,192,211</w:t>
            </w:r>
          </w:p>
        </w:tc>
      </w:tr>
      <w:tr>
        <w:trPr>
          <w:trHeight w:val="151"/>
        </w:trPr>
        <w:tc>
          <w:tcPr>
            <w:tcW w:w="848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1,794,674</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1,734,253</w:t>
            </w:r>
          </w:p>
        </w:tc>
      </w:tr>
    </w:tbl>
    <w:p>
      <w:pPr>
        <w:sectPr>
          <w:pgSz w:w="11900" w:h="16838" w:orient="portrait"/>
          <w:cols w:equalWidth="0" w:num="1">
            <w:col w:w="11300"/>
          </w:cols>
          <w:pgMar w:left="300" w:top="560" w:right="2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1"/>
          <w:szCs w:val="11"/>
          <w:b w:val="1"/>
          <w:bCs w:val="1"/>
          <w:color w:val="auto"/>
        </w:rPr>
        <w:t>BRADY CORPORATION AND SUBSIDIARIES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CONSOLIDATED STATEMENTS OF CASH FLOWS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(Unaudited; Dollars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480" w:type="dxa"/>
            <w:vAlign w:val="bottom"/>
          </w:tcPr>
          <w:p>
            <w:pPr>
              <w:spacing w:after="0"/>
              <w:rPr>
                <w:sz w:val="12"/>
                <w:szCs w:val="12"/>
                <w:color w:val="auto"/>
              </w:rPr>
            </w:pPr>
          </w:p>
        </w:tc>
        <w:tc>
          <w:tcPr>
            <w:tcW w:w="2300" w:type="dxa"/>
            <w:vAlign w:val="bottom"/>
            <w:tcBorders>
              <w:bottom w:val="single" w:sz="8" w:color="auto"/>
            </w:tcBorders>
            <w:gridSpan w:val="4"/>
          </w:tcPr>
          <w:p>
            <w:pPr>
              <w:jc w:val="right"/>
              <w:ind w:right="126"/>
              <w:spacing w:after="0"/>
              <w:rPr>
                <w:sz w:val="20"/>
                <w:szCs w:val="20"/>
                <w:color w:val="auto"/>
              </w:rPr>
            </w:pPr>
            <w:r>
              <w:rPr>
                <w:rFonts w:ascii="Times New Roman" w:cs="Times New Roman" w:eastAsia="Times New Roman" w:hAnsi="Times New Roman"/>
                <w:sz w:val="11"/>
                <w:szCs w:val="11"/>
                <w:color w:val="auto"/>
              </w:rPr>
              <w:t>Three months ended October 31,</w:t>
            </w:r>
          </w:p>
        </w:tc>
        <w:tc>
          <w:tcPr>
            <w:tcW w:w="520" w:type="dxa"/>
            <w:vAlign w:val="bottom"/>
            <w:tcBorders>
              <w:bottom w:val="single" w:sz="8" w:color="auto"/>
            </w:tcBorders>
          </w:tcPr>
          <w:p>
            <w:pPr>
              <w:spacing w:after="0"/>
              <w:rPr>
                <w:sz w:val="12"/>
                <w:szCs w:val="12"/>
                <w:color w:val="auto"/>
              </w:rPr>
            </w:pPr>
          </w:p>
        </w:tc>
      </w:tr>
      <w:tr>
        <w:trPr>
          <w:trHeight w:val="133"/>
        </w:trPr>
        <w:tc>
          <w:tcPr>
            <w:tcW w:w="848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2025</w:t>
            </w: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2024</w:t>
            </w:r>
          </w:p>
        </w:tc>
        <w:tc>
          <w:tcPr>
            <w:tcW w:w="520" w:type="dxa"/>
            <w:vAlign w:val="bottom"/>
            <w:tcBorders>
              <w:bottom w:val="single" w:sz="8" w:color="auto"/>
            </w:tcBorders>
          </w:tcPr>
          <w:p>
            <w:pPr>
              <w:spacing w:after="0"/>
              <w:rPr>
                <w:sz w:val="11"/>
                <w:szCs w:val="11"/>
                <w:color w:val="auto"/>
              </w:rPr>
            </w:pPr>
          </w:p>
        </w:tc>
      </w:tr>
      <w:tr>
        <w:trPr>
          <w:trHeight w:val="126"/>
        </w:trPr>
        <w:tc>
          <w:tcPr>
            <w:tcW w:w="84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Operating activities:</w:t>
            </w:r>
          </w:p>
        </w:tc>
        <w:tc>
          <w:tcPr>
            <w:tcW w:w="8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r>
      <w:tr>
        <w:trPr>
          <w:trHeight w:val="142"/>
        </w:trPr>
        <w:tc>
          <w:tcPr>
            <w:tcW w:w="84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Net income</w:t>
            </w:r>
          </w:p>
        </w:tc>
        <w:tc>
          <w:tcPr>
            <w:tcW w:w="880" w:type="dxa"/>
            <w:vAlign w:val="bottom"/>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53,936</w:t>
            </w:r>
          </w:p>
        </w:tc>
        <w:tc>
          <w:tcPr>
            <w:tcW w:w="100" w:type="dxa"/>
            <w:vAlign w:val="bottom"/>
          </w:tcPr>
          <w:p>
            <w:pPr>
              <w:spacing w:after="0"/>
              <w:rPr>
                <w:sz w:val="12"/>
                <w:szCs w:val="12"/>
                <w:color w:val="auto"/>
              </w:rPr>
            </w:pPr>
          </w:p>
        </w:tc>
        <w:tc>
          <w:tcPr>
            <w:tcW w:w="840" w:type="dxa"/>
            <w:vAlign w:val="bottom"/>
          </w:tcPr>
          <w:p>
            <w:pPr>
              <w:jc w:val="right"/>
              <w:ind w:right="7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46,783</w:t>
            </w:r>
          </w:p>
        </w:tc>
      </w:tr>
      <w:tr>
        <w:trPr>
          <w:trHeight w:val="146"/>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Adjustments to reconcile net income to net cash provided by operating activities: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r>
      <w:tr>
        <w:trPr>
          <w:trHeight w:val="142"/>
        </w:trPr>
        <w:tc>
          <w:tcPr>
            <w:tcW w:w="84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11,008</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10,164</w:t>
            </w:r>
          </w:p>
        </w:tc>
      </w:tr>
      <w:tr>
        <w:trPr>
          <w:trHeight w:val="146"/>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6,746</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5,813</w:t>
            </w:r>
          </w:p>
        </w:tc>
      </w:tr>
      <w:tr>
        <w:trPr>
          <w:trHeight w:val="142"/>
        </w:trPr>
        <w:tc>
          <w:tcPr>
            <w:tcW w:w="84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Deferred income taxes</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3,973</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(903)</w:t>
            </w:r>
          </w:p>
        </w:tc>
      </w:tr>
      <w:tr>
        <w:trPr>
          <w:trHeight w:val="146"/>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Other</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223</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(880)</w:t>
            </w:r>
          </w:p>
        </w:tc>
      </w:tr>
      <w:tr>
        <w:trPr>
          <w:trHeight w:val="142"/>
        </w:trPr>
        <w:tc>
          <w:tcPr>
            <w:tcW w:w="84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Changes in operating assets and liabilities:</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6"/>
        </w:trPr>
        <w:tc>
          <w:tcPr>
            <w:tcW w:w="84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Accounts receivable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(12,875)</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(4,385)</w:t>
            </w:r>
          </w:p>
        </w:tc>
      </w:tr>
      <w:tr>
        <w:trPr>
          <w:trHeight w:val="142"/>
        </w:trPr>
        <w:tc>
          <w:tcPr>
            <w:tcW w:w="8480" w:type="dxa"/>
            <w:vAlign w:val="bottom"/>
          </w:tcPr>
          <w:p>
            <w:pPr>
              <w:ind w:left="740"/>
              <w:spacing w:after="0"/>
              <w:rPr>
                <w:sz w:val="20"/>
                <w:szCs w:val="20"/>
                <w:color w:val="auto"/>
              </w:rPr>
            </w:pPr>
            <w:r>
              <w:rPr>
                <w:rFonts w:ascii="Times New Roman" w:cs="Times New Roman" w:eastAsia="Times New Roman" w:hAnsi="Times New Roman"/>
                <w:sz w:val="11"/>
                <w:szCs w:val="11"/>
                <w:color w:val="auto"/>
              </w:rPr>
              <w:t>Inventories</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(10,980)</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(2,107)</w:t>
            </w:r>
          </w:p>
        </w:tc>
      </w:tr>
      <w:tr>
        <w:trPr>
          <w:trHeight w:val="146"/>
        </w:trPr>
        <w:tc>
          <w:tcPr>
            <w:tcW w:w="84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Prepaid expenses and other assets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(391)</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(1,136)</w:t>
            </w:r>
          </w:p>
        </w:tc>
      </w:tr>
      <w:tr>
        <w:trPr>
          <w:trHeight w:val="142"/>
        </w:trPr>
        <w:tc>
          <w:tcPr>
            <w:tcW w:w="8480" w:type="dxa"/>
            <w:vAlign w:val="bottom"/>
          </w:tcPr>
          <w:p>
            <w:pPr>
              <w:ind w:left="740"/>
              <w:spacing w:after="0"/>
              <w:rPr>
                <w:sz w:val="20"/>
                <w:szCs w:val="20"/>
                <w:color w:val="auto"/>
              </w:rPr>
            </w:pPr>
            <w:r>
              <w:rPr>
                <w:rFonts w:ascii="Times New Roman" w:cs="Times New Roman" w:eastAsia="Times New Roman" w:hAnsi="Times New Roman"/>
                <w:sz w:val="11"/>
                <w:szCs w:val="11"/>
                <w:color w:val="auto"/>
              </w:rPr>
              <w:t>Accounts payable and accrued liabilities</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(19,530)</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(33,960)</w:t>
            </w:r>
          </w:p>
        </w:tc>
      </w:tr>
      <w:tr>
        <w:trPr>
          <w:trHeight w:val="146"/>
        </w:trPr>
        <w:tc>
          <w:tcPr>
            <w:tcW w:w="84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Income taxes</w:t>
            </w: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1,246</w:t>
            </w:r>
          </w:p>
        </w:tc>
        <w:tc>
          <w:tcPr>
            <w:tcW w:w="10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4,017</w:t>
            </w:r>
          </w:p>
        </w:tc>
      </w:tr>
      <w:tr>
        <w:trPr>
          <w:trHeight w:val="131"/>
        </w:trPr>
        <w:tc>
          <w:tcPr>
            <w:tcW w:w="8480" w:type="dxa"/>
            <w:vAlign w:val="bottom"/>
          </w:tcPr>
          <w:p>
            <w:pPr>
              <w:ind w:left="1000"/>
              <w:spacing w:after="0" w:line="121" w:lineRule="exact"/>
              <w:rPr>
                <w:sz w:val="20"/>
                <w:szCs w:val="20"/>
                <w:color w:val="auto"/>
              </w:rPr>
            </w:pPr>
            <w:r>
              <w:rPr>
                <w:rFonts w:ascii="Times New Roman" w:cs="Times New Roman" w:eastAsia="Times New Roman" w:hAnsi="Times New Roman"/>
                <w:sz w:val="11"/>
                <w:szCs w:val="11"/>
                <w:color w:val="auto"/>
              </w:rPr>
              <w:t>Net cash provided by operating activities</w:t>
            </w:r>
          </w:p>
        </w:tc>
        <w:tc>
          <w:tcPr>
            <w:tcW w:w="8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33,356</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23,406</w:t>
            </w:r>
          </w:p>
        </w:tc>
      </w:tr>
      <w:tr>
        <w:trPr>
          <w:trHeight w:val="146"/>
        </w:trPr>
        <w:tc>
          <w:tcPr>
            <w:tcW w:w="84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r>
      <w:tr>
        <w:trPr>
          <w:trHeight w:val="142"/>
        </w:trPr>
        <w:tc>
          <w:tcPr>
            <w:tcW w:w="8480" w:type="dxa"/>
            <w:vAlign w:val="bottom"/>
          </w:tcPr>
          <w:p>
            <w:pPr>
              <w:spacing w:after="0"/>
              <w:rPr>
                <w:sz w:val="20"/>
                <w:szCs w:val="20"/>
                <w:color w:val="auto"/>
              </w:rPr>
            </w:pPr>
            <w:r>
              <w:rPr>
                <w:rFonts w:ascii="Times New Roman" w:cs="Times New Roman" w:eastAsia="Times New Roman" w:hAnsi="Times New Roman"/>
                <w:sz w:val="11"/>
                <w:szCs w:val="11"/>
                <w:color w:val="auto"/>
              </w:rPr>
              <w:t>Investing activities:</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6"/>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Purchases of property, plant and equipment</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(10,980)</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(7,286)</w:t>
            </w:r>
          </w:p>
        </w:tc>
      </w:tr>
      <w:tr>
        <w:trPr>
          <w:trHeight w:val="142"/>
        </w:trPr>
        <w:tc>
          <w:tcPr>
            <w:tcW w:w="84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Acquisition of businesses, net of cash acquired</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(17,416)</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(140,625)</w:t>
            </w:r>
          </w:p>
        </w:tc>
      </w:tr>
      <w:tr>
        <w:trPr>
          <w:trHeight w:val="146"/>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Other</w:t>
            </w: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r>
      <w:tr>
        <w:trPr>
          <w:trHeight w:val="131"/>
        </w:trPr>
        <w:tc>
          <w:tcPr>
            <w:tcW w:w="8480" w:type="dxa"/>
            <w:vAlign w:val="bottom"/>
          </w:tcPr>
          <w:p>
            <w:pPr>
              <w:ind w:left="1000"/>
              <w:spacing w:after="0" w:line="121" w:lineRule="exact"/>
              <w:rPr>
                <w:sz w:val="20"/>
                <w:szCs w:val="20"/>
                <w:color w:val="auto"/>
              </w:rPr>
            </w:pPr>
            <w:r>
              <w:rPr>
                <w:rFonts w:ascii="Times New Roman" w:cs="Times New Roman" w:eastAsia="Times New Roman" w:hAnsi="Times New Roman"/>
                <w:sz w:val="11"/>
                <w:szCs w:val="11"/>
                <w:color w:val="auto"/>
              </w:rPr>
              <w:t>Net cash used in investing activities</w:t>
            </w:r>
          </w:p>
        </w:tc>
        <w:tc>
          <w:tcPr>
            <w:tcW w:w="8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(28,388)</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(147,901)</w:t>
            </w:r>
          </w:p>
        </w:tc>
      </w:tr>
      <w:tr>
        <w:trPr>
          <w:trHeight w:val="173"/>
        </w:trPr>
        <w:tc>
          <w:tcPr>
            <w:tcW w:w="8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r>
      <w:tr>
        <w:trPr>
          <w:trHeight w:val="142"/>
        </w:trPr>
        <w:tc>
          <w:tcPr>
            <w:tcW w:w="8480" w:type="dxa"/>
            <w:vAlign w:val="bottom"/>
          </w:tcPr>
          <w:p>
            <w:pPr>
              <w:spacing w:after="0"/>
              <w:rPr>
                <w:sz w:val="20"/>
                <w:szCs w:val="20"/>
                <w:color w:val="auto"/>
              </w:rPr>
            </w:pPr>
            <w:r>
              <w:rPr>
                <w:rFonts w:ascii="Times New Roman" w:cs="Times New Roman" w:eastAsia="Times New Roman" w:hAnsi="Times New Roman"/>
                <w:sz w:val="11"/>
                <w:szCs w:val="11"/>
                <w:color w:val="auto"/>
              </w:rPr>
              <w:t>Financing activities:</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6"/>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Payment of dividends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(11,519)</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(11,402)</w:t>
            </w:r>
          </w:p>
        </w:tc>
      </w:tr>
      <w:tr>
        <w:trPr>
          <w:trHeight w:val="142"/>
        </w:trPr>
        <w:tc>
          <w:tcPr>
            <w:tcW w:w="84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Proceeds from exercise of stock options</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5,001</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5,855</w:t>
            </w:r>
          </w:p>
        </w:tc>
      </w:tr>
      <w:tr>
        <w:trPr>
          <w:trHeight w:val="146"/>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Payments for employee taxes withheld from stock-based awards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(3,198)</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(2,090)</w:t>
            </w:r>
          </w:p>
        </w:tc>
      </w:tr>
      <w:tr>
        <w:trPr>
          <w:trHeight w:val="142"/>
        </w:trPr>
        <w:tc>
          <w:tcPr>
            <w:tcW w:w="84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Purchase of treasury stock</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(4,054)</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6"/>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Proceeds from borrowing on credit agreement</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46,640</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135,149</w:t>
            </w:r>
          </w:p>
        </w:tc>
      </w:tr>
      <w:tr>
        <w:trPr>
          <w:trHeight w:val="142"/>
        </w:trPr>
        <w:tc>
          <w:tcPr>
            <w:tcW w:w="84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Repayment of borrowing on credit agreement</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(30,500)</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(109,439)</w:t>
            </w:r>
          </w:p>
        </w:tc>
      </w:tr>
      <w:tr>
        <w:trPr>
          <w:trHeight w:val="146"/>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Other</w:t>
            </w: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266</w:t>
            </w:r>
          </w:p>
        </w:tc>
        <w:tc>
          <w:tcPr>
            <w:tcW w:w="10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190</w:t>
            </w:r>
          </w:p>
        </w:tc>
      </w:tr>
      <w:tr>
        <w:trPr>
          <w:trHeight w:val="131"/>
        </w:trPr>
        <w:tc>
          <w:tcPr>
            <w:tcW w:w="8480" w:type="dxa"/>
            <w:vAlign w:val="bottom"/>
          </w:tcPr>
          <w:p>
            <w:pPr>
              <w:ind w:left="1000"/>
              <w:spacing w:after="0" w:line="121" w:lineRule="exact"/>
              <w:rPr>
                <w:sz w:val="20"/>
                <w:szCs w:val="20"/>
                <w:color w:val="auto"/>
              </w:rPr>
            </w:pPr>
            <w:r>
              <w:rPr>
                <w:rFonts w:ascii="Times New Roman" w:cs="Times New Roman" w:eastAsia="Times New Roman" w:hAnsi="Times New Roman"/>
                <w:sz w:val="11"/>
                <w:szCs w:val="11"/>
                <w:color w:val="auto"/>
              </w:rPr>
              <w:t>Net cash provided by financing activities</w:t>
            </w:r>
          </w:p>
        </w:tc>
        <w:tc>
          <w:tcPr>
            <w:tcW w:w="8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2,636</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18,263</w:t>
            </w:r>
          </w:p>
        </w:tc>
      </w:tr>
      <w:tr>
        <w:trPr>
          <w:trHeight w:val="173"/>
        </w:trPr>
        <w:tc>
          <w:tcPr>
            <w:tcW w:w="8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r>
      <w:tr>
        <w:trPr>
          <w:trHeight w:val="142"/>
        </w:trPr>
        <w:tc>
          <w:tcPr>
            <w:tcW w:w="8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Effect of exchange rate changes on cash and cash equivalents</w:t>
            </w: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731</w:t>
            </w:r>
          </w:p>
        </w:tc>
        <w:tc>
          <w:tcPr>
            <w:tcW w:w="1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1,775</w:t>
            </w:r>
          </w:p>
        </w:tc>
      </w:tr>
      <w:tr>
        <w:trPr>
          <w:trHeight w:val="153"/>
        </w:trPr>
        <w:tc>
          <w:tcPr>
            <w:tcW w:w="84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r>
    </w:tbl>
    <w:p>
      <w:pPr>
        <w:spacing w:after="0" w:line="1" w:lineRule="exact"/>
        <w:rPr>
          <w:sz w:val="20"/>
          <w:szCs w:val="20"/>
          <w:color w:val="auto"/>
        </w:rPr>
      </w:pPr>
    </w:p>
    <w:p>
      <w:pPr>
        <w:sectPr>
          <w:pgSz w:w="11900" w:h="16838" w:orient="portrait"/>
          <w:cols w:equalWidth="0" w:num="1">
            <w:col w:w="11300"/>
          </w:cols>
          <w:pgMar w:left="300" w:top="560" w:right="299" w:bottom="1440" w:gutter="0" w:footer="0" w:header="0"/>
        </w:sectPr>
      </w:pPr>
    </w:p>
    <w:p>
      <w:pPr>
        <w:spacing w:after="0"/>
        <w:rPr>
          <w:sz w:val="20"/>
          <w:szCs w:val="20"/>
          <w:color w:val="auto"/>
        </w:rPr>
      </w:pPr>
      <w:r>
        <w:rPr>
          <w:rFonts w:ascii="Times New Roman" w:cs="Times New Roman" w:eastAsia="Times New Roman" w:hAnsi="Times New Roman"/>
          <w:sz w:val="10"/>
          <w:szCs w:val="10"/>
          <w:color w:val="auto"/>
        </w:rPr>
        <w:t>Net increase (decrease) in cash and cash equivalents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Cash and cash equivalents, beginning of period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Cash and cash equivalents,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0"/>
        </w:trPr>
        <w:tc>
          <w:tcPr>
            <w:tcW w:w="5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8,335</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jc w:val="center"/>
              <w:ind w:left="366"/>
              <w:spacing w:after="0"/>
              <w:rPr>
                <w:sz w:val="20"/>
                <w:szCs w:val="20"/>
                <w:color w:val="auto"/>
              </w:rPr>
            </w:pPr>
            <w:r>
              <w:rPr>
                <w:rFonts w:ascii="Times New Roman" w:cs="Times New Roman" w:eastAsia="Times New Roman" w:hAnsi="Times New Roman"/>
                <w:sz w:val="11"/>
                <w:szCs w:val="11"/>
                <w:color w:val="auto"/>
                <w:w w:val="97"/>
              </w:rPr>
              <w:t>(104,457)</w:t>
            </w:r>
          </w:p>
        </w:tc>
      </w:tr>
      <w:tr>
        <w:trPr>
          <w:trHeight w:val="146"/>
        </w:trPr>
        <w:tc>
          <w:tcPr>
            <w:tcW w:w="5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174,349</w:t>
            </w:r>
          </w:p>
        </w:tc>
        <w:tc>
          <w:tcPr>
            <w:tcW w:w="10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left="386"/>
              <w:spacing w:after="0"/>
              <w:rPr>
                <w:sz w:val="20"/>
                <w:szCs w:val="20"/>
                <w:color w:val="auto"/>
              </w:rPr>
            </w:pPr>
            <w:r>
              <w:rPr>
                <w:rFonts w:ascii="Times New Roman" w:cs="Times New Roman" w:eastAsia="Times New Roman" w:hAnsi="Times New Roman"/>
                <w:sz w:val="11"/>
                <w:szCs w:val="11"/>
                <w:color w:val="auto"/>
              </w:rPr>
              <w:t>250,118</w:t>
            </w:r>
          </w:p>
        </w:tc>
      </w:tr>
      <w:tr>
        <w:trPr>
          <w:trHeight w:val="295"/>
        </w:trPr>
        <w:tc>
          <w:tcPr>
            <w:tcW w:w="52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182,684</w:t>
            </w:r>
          </w:p>
        </w:tc>
        <w:tc>
          <w:tcPr>
            <w:tcW w:w="100" w:type="dxa"/>
            <w:vAlign w:val="bottom"/>
          </w:tcPr>
          <w:p>
            <w:pPr>
              <w:spacing w:after="0"/>
              <w:rPr>
                <w:sz w:val="24"/>
                <w:szCs w:val="24"/>
                <w:color w:val="auto"/>
              </w:rPr>
            </w:pPr>
          </w:p>
        </w:tc>
        <w:tc>
          <w:tcPr>
            <w:tcW w:w="48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center"/>
              <w:ind w:left="386"/>
              <w:spacing w:after="0"/>
              <w:rPr>
                <w:sz w:val="20"/>
                <w:szCs w:val="20"/>
                <w:color w:val="auto"/>
              </w:rPr>
            </w:pPr>
            <w:r>
              <w:rPr>
                <w:rFonts w:ascii="Times New Roman" w:cs="Times New Roman" w:eastAsia="Times New Roman" w:hAnsi="Times New Roman"/>
                <w:sz w:val="11"/>
                <w:szCs w:val="11"/>
                <w:color w:val="auto"/>
              </w:rPr>
              <w:t>145,661</w:t>
            </w: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-5389245</wp:posOffset>
            </wp:positionH>
            <wp:positionV relativeFrom="paragraph">
              <wp:posOffset>-313690</wp:posOffset>
            </wp:positionV>
            <wp:extent cx="7178040" cy="914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-5389245</wp:posOffset>
            </wp:positionH>
            <wp:positionV relativeFrom="paragraph">
              <wp:posOffset>-113665</wp:posOffset>
            </wp:positionV>
            <wp:extent cx="7178040" cy="1028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102870"/>
                    </a:xfrm>
                    <a:prstGeom prst="rect">
                      <a:avLst/>
                    </a:prstGeom>
                    <a:noFill/>
                  </pic:spPr>
                </pic:pic>
              </a:graphicData>
            </a:graphic>
          </wp:anchor>
        </w:drawing>
      </w:r>
    </w:p>
    <w:p>
      <w:pPr>
        <w:sectPr>
          <w:pgSz w:w="11900" w:h="16838" w:orient="portrait"/>
          <w:cols w:equalWidth="0" w:num="2">
            <w:col w:w="7760" w:space="720"/>
            <w:col w:w="2820"/>
          </w:cols>
          <w:pgMar w:left="300" w:top="560" w:right="29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1"/>
          <w:szCs w:val="11"/>
          <w:b w:val="1"/>
          <w:bCs w:val="1"/>
          <w:color w:val="auto"/>
        </w:rPr>
        <w:t>BRADY CORPORATION AND SUBSIDIARIES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SEGMENT INFORMATION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(Unaudited; Dollars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320" w:type="dxa"/>
            <w:vAlign w:val="bottom"/>
          </w:tcPr>
          <w:p>
            <w:pPr>
              <w:spacing w:after="0"/>
              <w:rPr>
                <w:sz w:val="12"/>
                <w:szCs w:val="12"/>
                <w:color w:val="auto"/>
              </w:rPr>
            </w:pPr>
          </w:p>
        </w:tc>
        <w:tc>
          <w:tcPr>
            <w:tcW w:w="2420" w:type="dxa"/>
            <w:vAlign w:val="bottom"/>
            <w:tcBorders>
              <w:bottom w:val="single" w:sz="8" w:color="auto"/>
            </w:tcBorders>
            <w:gridSpan w:val="4"/>
          </w:tcPr>
          <w:p>
            <w:pPr>
              <w:jc w:val="right"/>
              <w:ind w:right="166"/>
              <w:spacing w:after="0"/>
              <w:rPr>
                <w:sz w:val="20"/>
                <w:szCs w:val="20"/>
                <w:color w:val="auto"/>
              </w:rPr>
            </w:pPr>
            <w:r>
              <w:rPr>
                <w:rFonts w:ascii="Times New Roman" w:cs="Times New Roman" w:eastAsia="Times New Roman" w:hAnsi="Times New Roman"/>
                <w:sz w:val="11"/>
                <w:szCs w:val="11"/>
                <w:color w:val="auto"/>
              </w:rPr>
              <w:t>Three months ended October 31,</w:t>
            </w:r>
          </w:p>
        </w:tc>
        <w:tc>
          <w:tcPr>
            <w:tcW w:w="560" w:type="dxa"/>
            <w:vAlign w:val="bottom"/>
            <w:tcBorders>
              <w:bottom w:val="single" w:sz="8" w:color="auto"/>
            </w:tcBorders>
          </w:tcPr>
          <w:p>
            <w:pPr>
              <w:spacing w:after="0"/>
              <w:rPr>
                <w:sz w:val="12"/>
                <w:szCs w:val="12"/>
                <w:color w:val="auto"/>
              </w:rPr>
            </w:pPr>
          </w:p>
        </w:tc>
      </w:tr>
      <w:tr>
        <w:trPr>
          <w:trHeight w:val="151"/>
        </w:trPr>
        <w:tc>
          <w:tcPr>
            <w:tcW w:w="832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2025</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2024</w:t>
            </w:r>
          </w:p>
        </w:tc>
        <w:tc>
          <w:tcPr>
            <w:tcW w:w="560" w:type="dxa"/>
            <w:vAlign w:val="bottom"/>
            <w:tcBorders>
              <w:bottom w:val="single" w:sz="8" w:color="auto"/>
            </w:tcBorders>
          </w:tcPr>
          <w:p>
            <w:pPr>
              <w:spacing w:after="0"/>
              <w:rPr>
                <w:sz w:val="13"/>
                <w:szCs w:val="13"/>
                <w:color w:val="auto"/>
              </w:rPr>
            </w:pPr>
          </w:p>
        </w:tc>
      </w:tr>
      <w:tr>
        <w:trPr>
          <w:trHeight w:val="126"/>
        </w:trPr>
        <w:tc>
          <w:tcPr>
            <w:tcW w:w="832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NET SALES</w:t>
            </w:r>
          </w:p>
        </w:tc>
        <w:tc>
          <w:tcPr>
            <w:tcW w:w="9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r>
      <w:tr>
        <w:trPr>
          <w:trHeight w:val="142"/>
        </w:trPr>
        <w:tc>
          <w:tcPr>
            <w:tcW w:w="832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Americas &amp; Asia</w:t>
            </w:r>
          </w:p>
        </w:tc>
        <w:tc>
          <w:tcPr>
            <w:tcW w:w="900" w:type="dxa"/>
            <w:vAlign w:val="bottom"/>
          </w:tcPr>
          <w:p>
            <w:pPr>
              <w:jc w:val="right"/>
              <w:ind w:right="76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268,893</w:t>
            </w:r>
          </w:p>
        </w:tc>
        <w:tc>
          <w:tcPr>
            <w:tcW w:w="100" w:type="dxa"/>
            <w:vAlign w:val="bottom"/>
          </w:tcPr>
          <w:p>
            <w:pPr>
              <w:spacing w:after="0"/>
              <w:rPr>
                <w:sz w:val="12"/>
                <w:szCs w:val="12"/>
                <w:color w:val="auto"/>
              </w:rPr>
            </w:pPr>
          </w:p>
        </w:tc>
        <w:tc>
          <w:tcPr>
            <w:tcW w:w="880" w:type="dxa"/>
            <w:vAlign w:val="bottom"/>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245,428</w:t>
            </w:r>
          </w:p>
        </w:tc>
      </w:tr>
      <w:tr>
        <w:trPr>
          <w:trHeight w:val="144"/>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Europe &amp; Australia</w:t>
            </w:r>
          </w:p>
        </w:tc>
        <w:tc>
          <w:tcPr>
            <w:tcW w:w="9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136,394</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131,637</w:t>
            </w:r>
          </w:p>
        </w:tc>
      </w:tr>
      <w:tr>
        <w:trPr>
          <w:trHeight w:val="151"/>
        </w:trPr>
        <w:tc>
          <w:tcPr>
            <w:tcW w:w="8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1"/>
                <w:szCs w:val="11"/>
                <w:color w:val="auto"/>
              </w:rPr>
              <w:t>Total</w:t>
            </w:r>
          </w:p>
        </w:tc>
        <w:tc>
          <w:tcPr>
            <w:tcW w:w="900" w:type="dxa"/>
            <w:vAlign w:val="bottom"/>
            <w:tcBorders>
              <w:bottom w:val="single" w:sz="8" w:color="auto"/>
            </w:tcBorders>
          </w:tcPr>
          <w:p>
            <w:pPr>
              <w:jc w:val="right"/>
              <w:ind w:right="76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405,287</w:t>
            </w:r>
          </w:p>
        </w:tc>
        <w:tc>
          <w:tcPr>
            <w:tcW w:w="10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377,065</w:t>
            </w:r>
          </w:p>
        </w:tc>
      </w:tr>
      <w:tr>
        <w:trPr>
          <w:trHeight w:val="153"/>
        </w:trPr>
        <w:tc>
          <w:tcPr>
            <w:tcW w:w="83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83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SALES INFORMATION</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45"/>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i w:val="1"/>
                <w:iCs w:val="1"/>
                <w:color w:val="auto"/>
              </w:rPr>
              <w:t>Americas &amp; Asia</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r>
      <w:tr>
        <w:trPr>
          <w:trHeight w:val="142"/>
        </w:trPr>
        <w:tc>
          <w:tcPr>
            <w:tcW w:w="832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Organic</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4.7 %</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5.1 %</w:t>
            </w:r>
          </w:p>
        </w:tc>
      </w:tr>
      <w:tr>
        <w:trPr>
          <w:trHeight w:val="146"/>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Acquisitions</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4.9 %</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7.4 %</w:t>
            </w:r>
          </w:p>
        </w:tc>
      </w:tr>
      <w:tr>
        <w:trPr>
          <w:trHeight w:val="142"/>
        </w:trPr>
        <w:tc>
          <w:tcPr>
            <w:tcW w:w="832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Currency</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w:t>
            </w:r>
          </w:p>
        </w:tc>
      </w:tr>
      <w:tr>
        <w:trPr>
          <w:trHeight w:val="144"/>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Divestiture</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w:t>
            </w:r>
          </w:p>
        </w:tc>
      </w:tr>
      <w:tr>
        <w:trPr>
          <w:trHeight w:val="151"/>
        </w:trPr>
        <w:tc>
          <w:tcPr>
            <w:tcW w:w="8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1"/>
                <w:szCs w:val="11"/>
                <w:color w:val="auto"/>
              </w:rPr>
              <w:t>Total</w:t>
            </w:r>
          </w:p>
        </w:tc>
        <w:tc>
          <w:tcPr>
            <w:tcW w:w="16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9.6 %</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10.7 %</w:t>
            </w:r>
          </w:p>
        </w:tc>
      </w:tr>
      <w:tr>
        <w:trPr>
          <w:trHeight w:val="126"/>
        </w:trPr>
        <w:tc>
          <w:tcPr>
            <w:tcW w:w="832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i w:val="1"/>
                <w:iCs w:val="1"/>
                <w:color w:val="auto"/>
              </w:rPr>
              <w:t>Europe &amp; Australia</w:t>
            </w: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r>
      <w:tr>
        <w:trPr>
          <w:trHeight w:val="142"/>
        </w:trPr>
        <w:tc>
          <w:tcPr>
            <w:tcW w:w="832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Organic</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(0.8)%</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0.7 %</w:t>
            </w:r>
          </w:p>
        </w:tc>
      </w:tr>
      <w:tr>
        <w:trPr>
          <w:trHeight w:val="146"/>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Acquisitions</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15.0 %</w:t>
            </w:r>
          </w:p>
        </w:tc>
      </w:tr>
      <w:tr>
        <w:trPr>
          <w:trHeight w:val="142"/>
        </w:trPr>
        <w:tc>
          <w:tcPr>
            <w:tcW w:w="8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1"/>
                <w:szCs w:val="11"/>
                <w:color w:val="auto"/>
              </w:rPr>
              <w:t>Currency</w:t>
            </w: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4.4 %</w:t>
            </w: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3.6 %</w:t>
            </w:r>
          </w:p>
        </w:tc>
      </w:tr>
      <w:tr>
        <w:trPr>
          <w:trHeight w:val="155"/>
        </w:trPr>
        <w:tc>
          <w:tcPr>
            <w:tcW w:w="8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Total</w:t>
            </w:r>
          </w:p>
        </w:tc>
        <w:tc>
          <w:tcPr>
            <w:tcW w:w="16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3.6 %</w:t>
            </w: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19.3 %</w:t>
            </w:r>
          </w:p>
        </w:tc>
      </w:tr>
      <w:tr>
        <w:trPr>
          <w:trHeight w:val="121"/>
        </w:trPr>
        <w:tc>
          <w:tcPr>
            <w:tcW w:w="8320" w:type="dxa"/>
            <w:vAlign w:val="bottom"/>
          </w:tcPr>
          <w:p>
            <w:pPr>
              <w:spacing w:after="0" w:line="121" w:lineRule="exact"/>
              <w:rPr>
                <w:sz w:val="20"/>
                <w:szCs w:val="20"/>
                <w:color w:val="auto"/>
              </w:rPr>
            </w:pPr>
            <w:r>
              <w:rPr>
                <w:rFonts w:ascii="Times New Roman" w:cs="Times New Roman" w:eastAsia="Times New Roman" w:hAnsi="Times New Roman"/>
                <w:sz w:val="11"/>
                <w:szCs w:val="11"/>
                <w:b w:val="1"/>
                <w:bCs w:val="1"/>
                <w:i w:val="1"/>
                <w:iCs w:val="1"/>
                <w:color w:val="auto"/>
              </w:rPr>
              <w:t>Total Company</w:t>
            </w: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45"/>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Organic</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2.8 %</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3.6 %</w:t>
            </w:r>
          </w:p>
        </w:tc>
      </w:tr>
      <w:tr>
        <w:trPr>
          <w:trHeight w:val="142"/>
        </w:trPr>
        <w:tc>
          <w:tcPr>
            <w:tcW w:w="832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Acquisitions</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3.2 %</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9.9 %</w:t>
            </w:r>
          </w:p>
        </w:tc>
      </w:tr>
      <w:tr>
        <w:trPr>
          <w:trHeight w:val="146"/>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Currency</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1.5 %</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1.2 %</w:t>
            </w:r>
          </w:p>
        </w:tc>
      </w:tr>
      <w:tr>
        <w:trPr>
          <w:trHeight w:val="142"/>
        </w:trPr>
        <w:tc>
          <w:tcPr>
            <w:tcW w:w="832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Divestiture</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r>
      <w:tr>
        <w:trPr>
          <w:trHeight w:val="151"/>
        </w:trPr>
        <w:tc>
          <w:tcPr>
            <w:tcW w:w="83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Total</w:t>
            </w: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spacing w:after="0"/>
              <w:rPr>
                <w:sz w:val="13"/>
                <w:szCs w:val="13"/>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7.5 %</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spacing w:after="0"/>
              <w:rPr>
                <w:sz w:val="13"/>
                <w:szCs w:val="13"/>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13.6 %</w:t>
            </w:r>
          </w:p>
        </w:tc>
      </w:tr>
      <w:tr>
        <w:trPr>
          <w:trHeight w:val="153"/>
        </w:trPr>
        <w:tc>
          <w:tcPr>
            <w:tcW w:w="8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144"/>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SEGMENT PROFIT</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r>
      <w:tr>
        <w:trPr>
          <w:trHeight w:val="142"/>
        </w:trPr>
        <w:tc>
          <w:tcPr>
            <w:tcW w:w="832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Americas &amp; Asia</w:t>
            </w:r>
          </w:p>
        </w:tc>
        <w:tc>
          <w:tcPr>
            <w:tcW w:w="1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spacing w:after="0"/>
              <w:rPr>
                <w:sz w:val="12"/>
                <w:szCs w:val="12"/>
                <w:color w:val="auto"/>
              </w:rPr>
            </w:pPr>
          </w:p>
        </w:tc>
        <w:tc>
          <w:tcPr>
            <w:tcW w:w="4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59,863</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spacing w:after="0"/>
              <w:rPr>
                <w:sz w:val="12"/>
                <w:szCs w:val="12"/>
                <w:color w:val="auto"/>
              </w:rPr>
            </w:pPr>
          </w:p>
        </w:tc>
        <w:tc>
          <w:tcPr>
            <w:tcW w:w="5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54,900</w:t>
            </w:r>
          </w:p>
        </w:tc>
      </w:tr>
      <w:tr>
        <w:trPr>
          <w:trHeight w:val="144"/>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Europe &amp; Australia</w:t>
            </w:r>
          </w:p>
        </w:tc>
        <w:tc>
          <w:tcPr>
            <w:tcW w:w="1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18,732</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13,114</w:t>
            </w:r>
          </w:p>
        </w:tc>
      </w:tr>
      <w:tr>
        <w:trPr>
          <w:trHeight w:val="151"/>
        </w:trPr>
        <w:tc>
          <w:tcPr>
            <w:tcW w:w="8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1"/>
                <w:szCs w:val="11"/>
                <w:color w:val="auto"/>
              </w:rPr>
              <w:t>Total segment profit</w:t>
            </w:r>
          </w:p>
        </w:tc>
        <w:tc>
          <w:tcPr>
            <w:tcW w:w="16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78,595</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68,014</w:t>
            </w:r>
          </w:p>
        </w:tc>
      </w:tr>
      <w:tr>
        <w:trPr>
          <w:trHeight w:val="126"/>
        </w:trPr>
        <w:tc>
          <w:tcPr>
            <w:tcW w:w="832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SEGMENT PROFIT AS A PERCENT OF NET SALES</w:t>
            </w: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r>
      <w:tr>
        <w:trPr>
          <w:trHeight w:val="142"/>
        </w:trPr>
        <w:tc>
          <w:tcPr>
            <w:tcW w:w="832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Americas &amp; Asia</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22.3 %</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22.4 %</w:t>
            </w:r>
          </w:p>
        </w:tc>
      </w:tr>
      <w:tr>
        <w:trPr>
          <w:trHeight w:val="144"/>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Europe &amp; Australia</w:t>
            </w:r>
          </w:p>
        </w:tc>
        <w:tc>
          <w:tcPr>
            <w:tcW w:w="1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13.7 %</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35"/>
        </w:trPr>
        <w:tc>
          <w:tcPr>
            <w:tcW w:w="832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Total</w:t>
            </w:r>
          </w:p>
        </w:tc>
        <w:tc>
          <w:tcPr>
            <w:tcW w:w="1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19.4 %</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18.0 %</w:t>
            </w:r>
          </w:p>
        </w:tc>
      </w:tr>
      <w:tr>
        <w:trPr>
          <w:trHeight w:val="20"/>
        </w:trPr>
        <w:tc>
          <w:tcPr>
            <w:tcW w:w="8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334"/>
        </w:trPr>
        <w:tc>
          <w:tcPr>
            <w:tcW w:w="8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20" w:type="dxa"/>
            <w:vAlign w:val="bottom"/>
            <w:tcBorders>
              <w:bottom w:val="single" w:sz="8" w:color="auto"/>
            </w:tcBorders>
            <w:gridSpan w:val="6"/>
          </w:tcPr>
          <w:p>
            <w:pPr>
              <w:jc w:val="center"/>
              <w:ind w:left="446"/>
              <w:spacing w:after="0"/>
              <w:rPr>
                <w:sz w:val="20"/>
                <w:szCs w:val="20"/>
                <w:color w:val="auto"/>
              </w:rPr>
            </w:pPr>
            <w:r>
              <w:rPr>
                <w:rFonts w:ascii="Times New Roman" w:cs="Times New Roman" w:eastAsia="Times New Roman" w:hAnsi="Times New Roman"/>
                <w:sz w:val="11"/>
                <w:szCs w:val="11"/>
                <w:color w:val="auto"/>
                <w:w w:val="98"/>
              </w:rPr>
              <w:t>Three months ended October 31,</w:t>
            </w:r>
          </w:p>
        </w:tc>
        <w:tc>
          <w:tcPr>
            <w:tcW w:w="500" w:type="dxa"/>
            <w:vAlign w:val="bottom"/>
            <w:tcBorders>
              <w:bottom w:val="single" w:sz="8" w:color="auto"/>
            </w:tcBorders>
          </w:tcPr>
          <w:p>
            <w:pPr>
              <w:spacing w:after="0"/>
              <w:rPr>
                <w:sz w:val="24"/>
                <w:szCs w:val="24"/>
                <w:color w:val="auto"/>
              </w:rPr>
            </w:pPr>
          </w:p>
        </w:tc>
      </w:tr>
      <w:tr>
        <w:trPr>
          <w:trHeight w:val="151"/>
        </w:trPr>
        <w:tc>
          <w:tcPr>
            <w:tcW w:w="8320" w:type="dxa"/>
            <w:vAlign w:val="bottom"/>
          </w:tcPr>
          <w:p>
            <w:pPr>
              <w:spacing w:after="0"/>
              <w:rPr>
                <w:sz w:val="13"/>
                <w:szCs w:val="13"/>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2025</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2024</w:t>
            </w:r>
          </w:p>
        </w:tc>
        <w:tc>
          <w:tcPr>
            <w:tcW w:w="500" w:type="dxa"/>
            <w:vAlign w:val="bottom"/>
          </w:tcPr>
          <w:p>
            <w:pPr>
              <w:spacing w:after="0"/>
              <w:rPr>
                <w:sz w:val="13"/>
                <w:szCs w:val="13"/>
                <w:color w:val="auto"/>
              </w:rPr>
            </w:pPr>
          </w:p>
        </w:tc>
      </w:tr>
      <w:tr>
        <w:trPr>
          <w:trHeight w:val="135"/>
        </w:trPr>
        <w:tc>
          <w:tcPr>
            <w:tcW w:w="8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segment profit</w:t>
            </w:r>
          </w:p>
        </w:tc>
        <w:tc>
          <w:tcPr>
            <w:tcW w:w="16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ind w:right="68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78,595</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jc w:val="right"/>
              <w:ind w:right="74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68,014</w:t>
            </w:r>
          </w:p>
        </w:tc>
      </w:tr>
      <w:tr>
        <w:trPr>
          <w:trHeight w:val="142"/>
        </w:trPr>
        <w:tc>
          <w:tcPr>
            <w:tcW w:w="8320" w:type="dxa"/>
            <w:vAlign w:val="bottom"/>
          </w:tcPr>
          <w:p>
            <w:pPr>
              <w:spacing w:after="0"/>
              <w:rPr>
                <w:sz w:val="20"/>
                <w:szCs w:val="20"/>
                <w:color w:val="auto"/>
              </w:rPr>
            </w:pPr>
            <w:r>
              <w:rPr>
                <w:rFonts w:ascii="Times New Roman" w:cs="Times New Roman" w:eastAsia="Times New Roman" w:hAnsi="Times New Roman"/>
                <w:sz w:val="11"/>
                <w:szCs w:val="11"/>
                <w:color w:val="auto"/>
              </w:rPr>
              <w:t>Unallocated amounts:</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46"/>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Administrative costs</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(10,623)</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(9,092)</w:t>
            </w:r>
          </w:p>
        </w:tc>
      </w:tr>
      <w:tr>
        <w:trPr>
          <w:trHeight w:val="142"/>
        </w:trPr>
        <w:tc>
          <w:tcPr>
            <w:tcW w:w="832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Investment and other income</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1,712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1,234</w:t>
            </w:r>
          </w:p>
        </w:tc>
      </w:tr>
      <w:tr>
        <w:trPr>
          <w:trHeight w:val="146"/>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Interest expense</w:t>
            </w:r>
          </w:p>
        </w:tc>
        <w:tc>
          <w:tcPr>
            <w:tcW w:w="16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(1,208)</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(1,356)</w:t>
            </w:r>
          </w:p>
        </w:tc>
      </w:tr>
      <w:tr>
        <w:trPr>
          <w:trHeight w:val="133"/>
        </w:trPr>
        <w:tc>
          <w:tcPr>
            <w:tcW w:w="8320" w:type="dxa"/>
            <w:vAlign w:val="bottom"/>
          </w:tcPr>
          <w:p>
            <w:pPr>
              <w:spacing w:after="0"/>
              <w:rPr>
                <w:sz w:val="20"/>
                <w:szCs w:val="20"/>
                <w:color w:val="auto"/>
              </w:rPr>
            </w:pPr>
            <w:r>
              <w:rPr>
                <w:rFonts w:ascii="Times New Roman" w:cs="Times New Roman" w:eastAsia="Times New Roman" w:hAnsi="Times New Roman"/>
                <w:sz w:val="11"/>
                <w:szCs w:val="11"/>
                <w:color w:val="auto"/>
              </w:rPr>
              <w:t>Income before income taxes</w:t>
            </w:r>
          </w:p>
        </w:tc>
        <w:tc>
          <w:tcPr>
            <w:tcW w:w="160" w:type="dxa"/>
            <w:vAlign w:val="bottom"/>
          </w:tcPr>
          <w:p>
            <w:pPr>
              <w:spacing w:after="0"/>
              <w:rPr>
                <w:sz w:val="11"/>
                <w:szCs w:val="11"/>
                <w:color w:val="auto"/>
              </w:rPr>
            </w:pPr>
          </w:p>
        </w:tc>
        <w:tc>
          <w:tcPr>
            <w:tcW w:w="820" w:type="dxa"/>
            <w:vAlign w:val="bottom"/>
            <w:tcBorders>
              <w:bottom w:val="single" w:sz="8" w:color="auto"/>
            </w:tcBorders>
          </w:tcPr>
          <w:p>
            <w:pPr>
              <w:jc w:val="right"/>
              <w:ind w:right="68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68,476</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Borders>
              <w:bottom w:val="single" w:sz="8" w:color="auto"/>
            </w:tcBorders>
          </w:tcPr>
          <w:p>
            <w:pPr>
              <w:jc w:val="right"/>
              <w:ind w:right="74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58,800</w:t>
            </w:r>
          </w:p>
        </w:tc>
      </w:tr>
      <w:tr>
        <w:trPr>
          <w:trHeight w:val="20"/>
        </w:trPr>
        <w:tc>
          <w:tcPr>
            <w:tcW w:w="8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00"/>
          </w:cols>
          <w:pgMar w:left="300" w:top="560" w:right="2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2"/>
          <w:szCs w:val="12"/>
          <w:b w:val="1"/>
          <w:bCs w:val="1"/>
          <w:color w:val="auto"/>
        </w:rPr>
        <w:t>GAAP to NON-GAAP MEASURES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(Unaudited; Dollars in Thousands, Except Per Share Amounts)</w:t>
      </w:r>
    </w:p>
    <w:p>
      <w:pPr>
        <w:spacing w:after="0" w:line="10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In accordance with the U.S. Securities and Exchange Commission’s Regulation G, the following provides definitions of the non-GAAP measures used in the earnings release and the reconciliation to the most closely related GAAP measure.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Adjusted Income Before Income Taxes:</w:t>
      </w:r>
    </w:p>
    <w:p>
      <w:pPr>
        <w:spacing w:after="0" w:line="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Brady is presenting the non-GAAP measure, "Adjusted Income Before Income Taxes." This is not a calculation based upon GAAP. The amounts included in this non-GAAP measure are derived from amounts included in the Consolidated Financial Statements and supporting footnote disclosures. We do not view these items to be part of our ongoing results. We believe this profit measure provides an important perspective of underlying business trends and results and provides a more comparable measure from year to year. The table below provides a reconciliation of the GAAP measure of Income before income taxes to the non-GAAP measure of Adjusted Income Before Income Taxes: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480" w:type="dxa"/>
            <w:vAlign w:val="bottom"/>
          </w:tcPr>
          <w:p>
            <w:pPr>
              <w:spacing w:after="0"/>
              <w:rPr>
                <w:sz w:val="12"/>
                <w:szCs w:val="12"/>
                <w:color w:val="auto"/>
              </w:rPr>
            </w:pPr>
          </w:p>
        </w:tc>
        <w:tc>
          <w:tcPr>
            <w:tcW w:w="2360" w:type="dxa"/>
            <w:vAlign w:val="bottom"/>
            <w:tcBorders>
              <w:bottom w:val="single" w:sz="8" w:color="auto"/>
            </w:tcBorders>
            <w:gridSpan w:val="4"/>
          </w:tcPr>
          <w:p>
            <w:pPr>
              <w:jc w:val="right"/>
              <w:ind w:right="186"/>
              <w:spacing w:after="0"/>
              <w:rPr>
                <w:sz w:val="20"/>
                <w:szCs w:val="20"/>
                <w:color w:val="auto"/>
              </w:rPr>
            </w:pPr>
            <w:r>
              <w:rPr>
                <w:rFonts w:ascii="Times New Roman" w:cs="Times New Roman" w:eastAsia="Times New Roman" w:hAnsi="Times New Roman"/>
                <w:sz w:val="11"/>
                <w:szCs w:val="11"/>
                <w:color w:val="auto"/>
              </w:rPr>
              <w:t>Three months ended October 31,</w:t>
            </w:r>
          </w:p>
        </w:tc>
        <w:tc>
          <w:tcPr>
            <w:tcW w:w="460" w:type="dxa"/>
            <w:vAlign w:val="bottom"/>
            <w:tcBorders>
              <w:bottom w:val="single" w:sz="8" w:color="auto"/>
            </w:tcBorders>
          </w:tcPr>
          <w:p>
            <w:pPr>
              <w:spacing w:after="0"/>
              <w:rPr>
                <w:sz w:val="12"/>
                <w:szCs w:val="12"/>
                <w:color w:val="auto"/>
              </w:rPr>
            </w:pPr>
          </w:p>
        </w:tc>
      </w:tr>
      <w:tr>
        <w:trPr>
          <w:trHeight w:val="133"/>
        </w:trPr>
        <w:tc>
          <w:tcPr>
            <w:tcW w:w="848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2025</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2024</w:t>
            </w:r>
          </w:p>
        </w:tc>
        <w:tc>
          <w:tcPr>
            <w:tcW w:w="460" w:type="dxa"/>
            <w:vAlign w:val="bottom"/>
            <w:tcBorders>
              <w:bottom w:val="single" w:sz="8" w:color="auto"/>
            </w:tcBorders>
          </w:tcPr>
          <w:p>
            <w:pPr>
              <w:spacing w:after="0"/>
              <w:rPr>
                <w:sz w:val="11"/>
                <w:szCs w:val="11"/>
                <w:color w:val="auto"/>
              </w:rPr>
            </w:pPr>
          </w:p>
        </w:tc>
      </w:tr>
      <w:tr>
        <w:trPr>
          <w:trHeight w:val="135"/>
        </w:trPr>
        <w:tc>
          <w:tcPr>
            <w:tcW w:w="84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Income before income taxes (GAAP measure)</w:t>
            </w:r>
          </w:p>
        </w:tc>
        <w:tc>
          <w:tcPr>
            <w:tcW w:w="92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68,476</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58,800</w:t>
            </w:r>
          </w:p>
        </w:tc>
      </w:tr>
      <w:tr>
        <w:trPr>
          <w:trHeight w:val="142"/>
        </w:trPr>
        <w:tc>
          <w:tcPr>
            <w:tcW w:w="84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Amortization expense</w:t>
            </w:r>
          </w:p>
        </w:tc>
        <w:tc>
          <w:tcPr>
            <w:tcW w:w="9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5,341</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4,713</w:t>
            </w:r>
          </w:p>
        </w:tc>
      </w:tr>
      <w:tr>
        <w:trPr>
          <w:trHeight w:val="146"/>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Non-recurring acquisition-related costs and other expenses</w:t>
            </w:r>
          </w:p>
        </w:tc>
        <w:tc>
          <w:tcPr>
            <w:tcW w:w="9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5,059</w:t>
            </w:r>
          </w:p>
        </w:tc>
      </w:tr>
      <w:tr>
        <w:trPr>
          <w:trHeight w:val="132"/>
        </w:trPr>
        <w:tc>
          <w:tcPr>
            <w:tcW w:w="848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Adjusted Income Before Income Taxes (non-GAAP measure)</w:t>
            </w:r>
          </w:p>
        </w:tc>
        <w:tc>
          <w:tcPr>
            <w:tcW w:w="920" w:type="dxa"/>
            <w:vAlign w:val="bottom"/>
            <w:tcBorders>
              <w:top w:val="single" w:sz="8" w:color="auto"/>
              <w:bottom w:val="single" w:sz="8" w:color="auto"/>
            </w:tcBorders>
          </w:tcPr>
          <w:p>
            <w:pPr>
              <w:jc w:val="right"/>
              <w:ind w:right="786"/>
              <w:spacing w:after="0"/>
              <w:rPr>
                <w:sz w:val="20"/>
                <w:szCs w:val="20"/>
                <w:color w:val="auto"/>
              </w:rPr>
            </w:pPr>
            <w:r>
              <w:rPr>
                <w:rFonts w:ascii="Times New Roman" w:cs="Times New Roman" w:eastAsia="Times New Roman" w:hAnsi="Times New Roman"/>
                <w:sz w:val="11"/>
                <w:szCs w:val="11"/>
                <w:b w:val="1"/>
                <w:bCs w:val="1"/>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73,817</w:t>
            </w:r>
          </w:p>
        </w:tc>
        <w:tc>
          <w:tcPr>
            <w:tcW w:w="100" w:type="dxa"/>
            <w:vAlign w:val="bottom"/>
          </w:tcPr>
          <w:p>
            <w:pPr>
              <w:spacing w:after="0"/>
              <w:rPr>
                <w:sz w:val="11"/>
                <w:szCs w:val="11"/>
                <w:color w:val="auto"/>
              </w:rPr>
            </w:pPr>
          </w:p>
        </w:tc>
        <w:tc>
          <w:tcPr>
            <w:tcW w:w="900" w:type="dxa"/>
            <w:vAlign w:val="bottom"/>
            <w:tcBorders>
              <w:top w:val="single" w:sz="8" w:color="auto"/>
              <w:bottom w:val="single" w:sz="8" w:color="auto"/>
            </w:tcBorders>
          </w:tcPr>
          <w:p>
            <w:pPr>
              <w:jc w:val="right"/>
              <w:ind w:right="7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68,572</w:t>
            </w:r>
          </w:p>
        </w:tc>
      </w:tr>
      <w:tr>
        <w:trPr>
          <w:trHeight w:val="20"/>
        </w:trPr>
        <w:tc>
          <w:tcPr>
            <w:tcW w:w="84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Adjusted Income Tax Expense:</w:t>
      </w:r>
    </w:p>
    <w:p>
      <w:pPr>
        <w:spacing w:after="0" w:line="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Brady is presenting the non-GAAP measure, "Adjusted Income Tax Expense." This is not a calculation based upon GAAP. The amounts included in this non-GAAP measure are derived from amounts included in the Consolidated Financial Statements and supporting footnote disclosures. We do not view these items to be part of our ongoing results. We believe this measure provides an important perspective of underlying business trends and results and provides a more comparable measure from year to year. The table below provides a reconciliation of the GAAP measure of Income tax expense to the non-GAAP measure of Adjusted Income Tax Expense: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480" w:type="dxa"/>
            <w:vAlign w:val="bottom"/>
          </w:tcPr>
          <w:p>
            <w:pPr>
              <w:spacing w:after="0"/>
              <w:rPr>
                <w:sz w:val="12"/>
                <w:szCs w:val="12"/>
                <w:color w:val="auto"/>
              </w:rPr>
            </w:pPr>
          </w:p>
        </w:tc>
        <w:tc>
          <w:tcPr>
            <w:tcW w:w="2360" w:type="dxa"/>
            <w:vAlign w:val="bottom"/>
            <w:tcBorders>
              <w:bottom w:val="single" w:sz="8" w:color="auto"/>
            </w:tcBorders>
            <w:gridSpan w:val="4"/>
          </w:tcPr>
          <w:p>
            <w:pPr>
              <w:jc w:val="right"/>
              <w:ind w:right="186"/>
              <w:spacing w:after="0"/>
              <w:rPr>
                <w:sz w:val="20"/>
                <w:szCs w:val="20"/>
                <w:color w:val="auto"/>
              </w:rPr>
            </w:pPr>
            <w:r>
              <w:rPr>
                <w:rFonts w:ascii="Times New Roman" w:cs="Times New Roman" w:eastAsia="Times New Roman" w:hAnsi="Times New Roman"/>
                <w:sz w:val="11"/>
                <w:szCs w:val="11"/>
                <w:color w:val="auto"/>
              </w:rPr>
              <w:t>Three months ended October 31,</w:t>
            </w:r>
          </w:p>
        </w:tc>
        <w:tc>
          <w:tcPr>
            <w:tcW w:w="460" w:type="dxa"/>
            <w:vAlign w:val="bottom"/>
            <w:tcBorders>
              <w:bottom w:val="single" w:sz="8" w:color="auto"/>
            </w:tcBorders>
          </w:tcPr>
          <w:p>
            <w:pPr>
              <w:spacing w:after="0"/>
              <w:rPr>
                <w:sz w:val="12"/>
                <w:szCs w:val="12"/>
                <w:color w:val="auto"/>
              </w:rPr>
            </w:pPr>
          </w:p>
        </w:tc>
      </w:tr>
      <w:tr>
        <w:trPr>
          <w:trHeight w:val="133"/>
        </w:trPr>
        <w:tc>
          <w:tcPr>
            <w:tcW w:w="848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2025</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2024</w:t>
            </w:r>
          </w:p>
        </w:tc>
        <w:tc>
          <w:tcPr>
            <w:tcW w:w="460" w:type="dxa"/>
            <w:vAlign w:val="bottom"/>
            <w:tcBorders>
              <w:bottom w:val="single" w:sz="8" w:color="auto"/>
            </w:tcBorders>
          </w:tcPr>
          <w:p>
            <w:pPr>
              <w:spacing w:after="0"/>
              <w:rPr>
                <w:sz w:val="11"/>
                <w:szCs w:val="11"/>
                <w:color w:val="auto"/>
              </w:rPr>
            </w:pPr>
          </w:p>
        </w:tc>
      </w:tr>
      <w:tr>
        <w:trPr>
          <w:trHeight w:val="135"/>
        </w:trPr>
        <w:tc>
          <w:tcPr>
            <w:tcW w:w="84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Income tax expense (GAAP measure)</w:t>
            </w:r>
          </w:p>
        </w:tc>
        <w:tc>
          <w:tcPr>
            <w:tcW w:w="92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14,540</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12,017</w:t>
            </w:r>
          </w:p>
        </w:tc>
      </w:tr>
      <w:tr>
        <w:trPr>
          <w:trHeight w:val="142"/>
        </w:trPr>
        <w:tc>
          <w:tcPr>
            <w:tcW w:w="84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Amortization expense</w:t>
            </w:r>
          </w:p>
        </w:tc>
        <w:tc>
          <w:tcPr>
            <w:tcW w:w="9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1,289</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1,133</w:t>
            </w:r>
          </w:p>
        </w:tc>
      </w:tr>
      <w:tr>
        <w:trPr>
          <w:trHeight w:val="146"/>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Non-recurring acquisition-related costs and other expenses</w:t>
            </w:r>
          </w:p>
        </w:tc>
        <w:tc>
          <w:tcPr>
            <w:tcW w:w="9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1,265</w:t>
            </w:r>
          </w:p>
        </w:tc>
      </w:tr>
      <w:tr>
        <w:trPr>
          <w:trHeight w:val="132"/>
        </w:trPr>
        <w:tc>
          <w:tcPr>
            <w:tcW w:w="848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Adjusted Income Tax Expense (non-GAAP measure)</w:t>
            </w:r>
          </w:p>
        </w:tc>
        <w:tc>
          <w:tcPr>
            <w:tcW w:w="920" w:type="dxa"/>
            <w:vAlign w:val="bottom"/>
            <w:tcBorders>
              <w:top w:val="single" w:sz="8" w:color="auto"/>
              <w:bottom w:val="single" w:sz="8" w:color="auto"/>
            </w:tcBorders>
          </w:tcPr>
          <w:p>
            <w:pPr>
              <w:jc w:val="right"/>
              <w:ind w:right="786"/>
              <w:spacing w:after="0"/>
              <w:rPr>
                <w:sz w:val="20"/>
                <w:szCs w:val="20"/>
                <w:color w:val="auto"/>
              </w:rPr>
            </w:pPr>
            <w:r>
              <w:rPr>
                <w:rFonts w:ascii="Times New Roman" w:cs="Times New Roman" w:eastAsia="Times New Roman" w:hAnsi="Times New Roman"/>
                <w:sz w:val="11"/>
                <w:szCs w:val="11"/>
                <w:b w:val="1"/>
                <w:bCs w:val="1"/>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15,829</w:t>
            </w:r>
          </w:p>
        </w:tc>
        <w:tc>
          <w:tcPr>
            <w:tcW w:w="100" w:type="dxa"/>
            <w:vAlign w:val="bottom"/>
          </w:tcPr>
          <w:p>
            <w:pPr>
              <w:spacing w:after="0"/>
              <w:rPr>
                <w:sz w:val="11"/>
                <w:szCs w:val="11"/>
                <w:color w:val="auto"/>
              </w:rPr>
            </w:pPr>
          </w:p>
        </w:tc>
        <w:tc>
          <w:tcPr>
            <w:tcW w:w="900" w:type="dxa"/>
            <w:vAlign w:val="bottom"/>
            <w:tcBorders>
              <w:top w:val="single" w:sz="8" w:color="auto"/>
              <w:bottom w:val="single" w:sz="8" w:color="auto"/>
            </w:tcBorders>
          </w:tcPr>
          <w:p>
            <w:pPr>
              <w:jc w:val="right"/>
              <w:ind w:right="7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14,415</w:t>
            </w:r>
          </w:p>
        </w:tc>
      </w:tr>
      <w:tr>
        <w:trPr>
          <w:trHeight w:val="20"/>
        </w:trPr>
        <w:tc>
          <w:tcPr>
            <w:tcW w:w="84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Adjusted Net Income:</w:t>
      </w:r>
    </w:p>
    <w:p>
      <w:pPr>
        <w:spacing w:after="0" w:line="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Brady is presenting the non-GAAP measure, "Adjusted Net Income." This is not a calculation based upon GAAP. The amounts included in this non-GAAP measure are derived from amounts included in the Consolidated Financial Statements and supporting footnote disclosures. We do not view these items to be part of our ongoing results. We believe this measure provides an important perspective of underlying business trends and results and provides a more comparable measure from year to year. The table below provides a reconciliation of the GAAP measure of Net income to the non-GAAP measure of Adjusted Net Income: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480" w:type="dxa"/>
            <w:vAlign w:val="bottom"/>
          </w:tcPr>
          <w:p>
            <w:pPr>
              <w:spacing w:after="0"/>
              <w:rPr>
                <w:sz w:val="12"/>
                <w:szCs w:val="12"/>
                <w:color w:val="auto"/>
              </w:rPr>
            </w:pPr>
          </w:p>
        </w:tc>
        <w:tc>
          <w:tcPr>
            <w:tcW w:w="2360" w:type="dxa"/>
            <w:vAlign w:val="bottom"/>
            <w:tcBorders>
              <w:bottom w:val="single" w:sz="8" w:color="auto"/>
            </w:tcBorders>
            <w:gridSpan w:val="4"/>
          </w:tcPr>
          <w:p>
            <w:pPr>
              <w:jc w:val="right"/>
              <w:ind w:right="186"/>
              <w:spacing w:after="0"/>
              <w:rPr>
                <w:sz w:val="20"/>
                <w:szCs w:val="20"/>
                <w:color w:val="auto"/>
              </w:rPr>
            </w:pPr>
            <w:r>
              <w:rPr>
                <w:rFonts w:ascii="Times New Roman" w:cs="Times New Roman" w:eastAsia="Times New Roman" w:hAnsi="Times New Roman"/>
                <w:sz w:val="11"/>
                <w:szCs w:val="11"/>
                <w:color w:val="auto"/>
              </w:rPr>
              <w:t>Three months ended October 31,</w:t>
            </w:r>
          </w:p>
        </w:tc>
        <w:tc>
          <w:tcPr>
            <w:tcW w:w="460" w:type="dxa"/>
            <w:vAlign w:val="bottom"/>
            <w:tcBorders>
              <w:bottom w:val="single" w:sz="8" w:color="auto"/>
            </w:tcBorders>
          </w:tcPr>
          <w:p>
            <w:pPr>
              <w:spacing w:after="0"/>
              <w:rPr>
                <w:sz w:val="12"/>
                <w:szCs w:val="12"/>
                <w:color w:val="auto"/>
              </w:rPr>
            </w:pPr>
          </w:p>
        </w:tc>
      </w:tr>
      <w:tr>
        <w:trPr>
          <w:trHeight w:val="133"/>
        </w:trPr>
        <w:tc>
          <w:tcPr>
            <w:tcW w:w="848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2025</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2024</w:t>
            </w:r>
          </w:p>
        </w:tc>
        <w:tc>
          <w:tcPr>
            <w:tcW w:w="460" w:type="dxa"/>
            <w:vAlign w:val="bottom"/>
            <w:tcBorders>
              <w:bottom w:val="single" w:sz="8" w:color="auto"/>
            </w:tcBorders>
          </w:tcPr>
          <w:p>
            <w:pPr>
              <w:spacing w:after="0"/>
              <w:rPr>
                <w:sz w:val="11"/>
                <w:szCs w:val="11"/>
                <w:color w:val="auto"/>
              </w:rPr>
            </w:pPr>
          </w:p>
        </w:tc>
      </w:tr>
      <w:tr>
        <w:trPr>
          <w:trHeight w:val="135"/>
        </w:trPr>
        <w:tc>
          <w:tcPr>
            <w:tcW w:w="84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Net income (GAAP measure)</w:t>
            </w:r>
          </w:p>
        </w:tc>
        <w:tc>
          <w:tcPr>
            <w:tcW w:w="92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53,936</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46,783</w:t>
            </w:r>
          </w:p>
        </w:tc>
      </w:tr>
      <w:tr>
        <w:trPr>
          <w:trHeight w:val="142"/>
        </w:trPr>
        <w:tc>
          <w:tcPr>
            <w:tcW w:w="84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Amortization expense</w:t>
            </w:r>
          </w:p>
        </w:tc>
        <w:tc>
          <w:tcPr>
            <w:tcW w:w="9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4,052</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3,580</w:t>
            </w:r>
          </w:p>
        </w:tc>
      </w:tr>
      <w:tr>
        <w:trPr>
          <w:trHeight w:val="146"/>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Non-recurring acquisition-related costs and other expenses</w:t>
            </w:r>
          </w:p>
        </w:tc>
        <w:tc>
          <w:tcPr>
            <w:tcW w:w="9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3,794</w:t>
            </w:r>
          </w:p>
        </w:tc>
      </w:tr>
      <w:tr>
        <w:trPr>
          <w:trHeight w:val="132"/>
        </w:trPr>
        <w:tc>
          <w:tcPr>
            <w:tcW w:w="848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Adjusted Net Income (non-GAAP measure)</w:t>
            </w:r>
          </w:p>
        </w:tc>
        <w:tc>
          <w:tcPr>
            <w:tcW w:w="920" w:type="dxa"/>
            <w:vAlign w:val="bottom"/>
            <w:tcBorders>
              <w:top w:val="single" w:sz="8" w:color="auto"/>
              <w:bottom w:val="single" w:sz="8" w:color="auto"/>
            </w:tcBorders>
          </w:tcPr>
          <w:p>
            <w:pPr>
              <w:jc w:val="right"/>
              <w:ind w:right="786"/>
              <w:spacing w:after="0"/>
              <w:rPr>
                <w:sz w:val="20"/>
                <w:szCs w:val="20"/>
                <w:color w:val="auto"/>
              </w:rPr>
            </w:pPr>
            <w:r>
              <w:rPr>
                <w:rFonts w:ascii="Times New Roman" w:cs="Times New Roman" w:eastAsia="Times New Roman" w:hAnsi="Times New Roman"/>
                <w:sz w:val="11"/>
                <w:szCs w:val="11"/>
                <w:b w:val="1"/>
                <w:bCs w:val="1"/>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57,988</w:t>
            </w:r>
          </w:p>
        </w:tc>
        <w:tc>
          <w:tcPr>
            <w:tcW w:w="100" w:type="dxa"/>
            <w:vAlign w:val="bottom"/>
          </w:tcPr>
          <w:p>
            <w:pPr>
              <w:spacing w:after="0"/>
              <w:rPr>
                <w:sz w:val="11"/>
                <w:szCs w:val="11"/>
                <w:color w:val="auto"/>
              </w:rPr>
            </w:pPr>
          </w:p>
        </w:tc>
        <w:tc>
          <w:tcPr>
            <w:tcW w:w="900" w:type="dxa"/>
            <w:vAlign w:val="bottom"/>
            <w:tcBorders>
              <w:top w:val="single" w:sz="8" w:color="auto"/>
              <w:bottom w:val="single" w:sz="8" w:color="auto"/>
            </w:tcBorders>
          </w:tcPr>
          <w:p>
            <w:pPr>
              <w:jc w:val="right"/>
              <w:ind w:right="7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54,157</w:t>
            </w:r>
          </w:p>
        </w:tc>
      </w:tr>
      <w:tr>
        <w:trPr>
          <w:trHeight w:val="20"/>
        </w:trPr>
        <w:tc>
          <w:tcPr>
            <w:tcW w:w="84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00"/>
          </w:cols>
          <w:pgMar w:left="300" w:top="557" w:right="2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2"/>
          <w:szCs w:val="12"/>
          <w:b w:val="1"/>
          <w:bCs w:val="1"/>
          <w:color w:val="auto"/>
        </w:rPr>
        <w:t>Adjusted Diluted EPS:</w:t>
      </w:r>
    </w:p>
    <w:p>
      <w:pPr>
        <w:spacing w:after="0" w:line="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Brady is presenting the non-GAAP measure, "Adjusted Diluted EPS." This is not a calculation based upon GAAP. The amounts included in this non-GAAP measure are derived from amounts included in the Consolidated Financial Statements. We do not view these items to be part of our ongoing results. We believe this measure provides an important perspective of underlying business trends and results and provides a more comparable measure from year to year. The table below provides a reconciliation of the GAAP measure of Net income per Class A Nonvoting Common Share to the non-GAAP measure of Adjusted Diluted EPS (Note that certain amounts will not foot due to rounding):</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480" w:type="dxa"/>
            <w:vAlign w:val="bottom"/>
          </w:tcPr>
          <w:p>
            <w:pPr>
              <w:spacing w:after="0"/>
              <w:rPr>
                <w:sz w:val="12"/>
                <w:szCs w:val="12"/>
                <w:color w:val="auto"/>
              </w:rPr>
            </w:pPr>
          </w:p>
        </w:tc>
        <w:tc>
          <w:tcPr>
            <w:tcW w:w="2420" w:type="dxa"/>
            <w:vAlign w:val="bottom"/>
            <w:tcBorders>
              <w:bottom w:val="single" w:sz="8" w:color="auto"/>
            </w:tcBorders>
            <w:gridSpan w:val="4"/>
          </w:tcPr>
          <w:p>
            <w:pPr>
              <w:jc w:val="right"/>
              <w:ind w:right="246"/>
              <w:spacing w:after="0"/>
              <w:rPr>
                <w:sz w:val="20"/>
                <w:szCs w:val="20"/>
                <w:color w:val="auto"/>
              </w:rPr>
            </w:pPr>
            <w:r>
              <w:rPr>
                <w:rFonts w:ascii="Times New Roman" w:cs="Times New Roman" w:eastAsia="Times New Roman" w:hAnsi="Times New Roman"/>
                <w:sz w:val="11"/>
                <w:szCs w:val="11"/>
                <w:color w:val="auto"/>
              </w:rPr>
              <w:t>Three months ended October 31,</w:t>
            </w:r>
          </w:p>
        </w:tc>
        <w:tc>
          <w:tcPr>
            <w:tcW w:w="400" w:type="dxa"/>
            <w:vAlign w:val="bottom"/>
            <w:tcBorders>
              <w:bottom w:val="single" w:sz="8" w:color="auto"/>
            </w:tcBorders>
          </w:tcPr>
          <w:p>
            <w:pPr>
              <w:spacing w:after="0"/>
              <w:rPr>
                <w:sz w:val="12"/>
                <w:szCs w:val="12"/>
                <w:color w:val="auto"/>
              </w:rPr>
            </w:pPr>
          </w:p>
        </w:tc>
      </w:tr>
      <w:tr>
        <w:trPr>
          <w:trHeight w:val="133"/>
        </w:trPr>
        <w:tc>
          <w:tcPr>
            <w:tcW w:w="8480" w:type="dxa"/>
            <w:vAlign w:val="bottom"/>
            <w:tcBorders>
              <w:bottom w:val="single" w:sz="8" w:color="CCEEFF"/>
            </w:tcBorders>
          </w:tcPr>
          <w:p>
            <w:pPr>
              <w:spacing w:after="0"/>
              <w:rPr>
                <w:sz w:val="11"/>
                <w:szCs w:val="11"/>
                <w:color w:val="auto"/>
              </w:rPr>
            </w:pPr>
          </w:p>
        </w:tc>
        <w:tc>
          <w:tcPr>
            <w:tcW w:w="96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rPr>
              <w:t>2025</w:t>
            </w: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6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rPr>
              <w:t>2024</w:t>
            </w:r>
          </w:p>
        </w:tc>
        <w:tc>
          <w:tcPr>
            <w:tcW w:w="400" w:type="dxa"/>
            <w:vAlign w:val="bottom"/>
            <w:tcBorders>
              <w:bottom w:val="single" w:sz="8" w:color="auto"/>
            </w:tcBorders>
          </w:tcPr>
          <w:p>
            <w:pPr>
              <w:spacing w:after="0"/>
              <w:rPr>
                <w:sz w:val="11"/>
                <w:szCs w:val="11"/>
                <w:color w:val="auto"/>
              </w:rPr>
            </w:pPr>
          </w:p>
        </w:tc>
      </w:tr>
      <w:tr>
        <w:trPr>
          <w:trHeight w:val="135"/>
        </w:trPr>
        <w:tc>
          <w:tcPr>
            <w:tcW w:w="84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Net income per Class A Nonvoting Common Share (GAAP measure)</w:t>
            </w:r>
          </w:p>
        </w:tc>
        <w:tc>
          <w:tcPr>
            <w:tcW w:w="960" w:type="dxa"/>
            <w:vAlign w:val="bottom"/>
            <w:shd w:val="clear" w:color="auto" w:fill="CCEEFF"/>
          </w:tcPr>
          <w:p>
            <w:pPr>
              <w:jc w:val="right"/>
              <w:ind w:right="82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w:t>
            </w: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846"/>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0.97</w:t>
            </w:r>
          </w:p>
        </w:tc>
      </w:tr>
      <w:tr>
        <w:trPr>
          <w:trHeight w:val="142"/>
        </w:trPr>
        <w:tc>
          <w:tcPr>
            <w:tcW w:w="84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Amortization expense</w:t>
            </w:r>
          </w:p>
        </w:tc>
        <w:tc>
          <w:tcPr>
            <w:tcW w:w="9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0.08</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0.07</w:t>
            </w:r>
          </w:p>
        </w:tc>
      </w:tr>
      <w:tr>
        <w:trPr>
          <w:trHeight w:val="146"/>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Non-recurring acquisition-related costs and other expenses</w:t>
            </w:r>
          </w:p>
        </w:tc>
        <w:tc>
          <w:tcPr>
            <w:tcW w:w="9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0.08</w:t>
            </w:r>
          </w:p>
        </w:tc>
      </w:tr>
      <w:tr>
        <w:trPr>
          <w:trHeight w:val="132"/>
        </w:trPr>
        <w:tc>
          <w:tcPr>
            <w:tcW w:w="848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Adjusted Diluted EPS (non-GAAP measure)</w:t>
            </w:r>
          </w:p>
        </w:tc>
        <w:tc>
          <w:tcPr>
            <w:tcW w:w="960" w:type="dxa"/>
            <w:vAlign w:val="bottom"/>
            <w:tcBorders>
              <w:top w:val="single" w:sz="8" w:color="auto"/>
              <w:bottom w:val="single" w:sz="8" w:color="auto"/>
            </w:tcBorders>
          </w:tcPr>
          <w:p>
            <w:pPr>
              <w:jc w:val="right"/>
              <w:ind w:right="826"/>
              <w:spacing w:after="0"/>
              <w:rPr>
                <w:sz w:val="20"/>
                <w:szCs w:val="20"/>
                <w:color w:val="auto"/>
              </w:rPr>
            </w:pPr>
            <w:r>
              <w:rPr>
                <w:rFonts w:ascii="Times New Roman" w:cs="Times New Roman" w:eastAsia="Times New Roman" w:hAnsi="Times New Roman"/>
                <w:sz w:val="11"/>
                <w:szCs w:val="11"/>
                <w:b w:val="1"/>
                <w:bCs w:val="1"/>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1.21</w:t>
            </w:r>
          </w:p>
        </w:tc>
        <w:tc>
          <w:tcPr>
            <w:tcW w:w="100" w:type="dxa"/>
            <w:vAlign w:val="bottom"/>
          </w:tcPr>
          <w:p>
            <w:pPr>
              <w:spacing w:after="0"/>
              <w:rPr>
                <w:sz w:val="11"/>
                <w:szCs w:val="11"/>
                <w:color w:val="auto"/>
              </w:rPr>
            </w:pPr>
          </w:p>
        </w:tc>
        <w:tc>
          <w:tcPr>
            <w:tcW w:w="960" w:type="dxa"/>
            <w:vAlign w:val="bottom"/>
            <w:tcBorders>
              <w:top w:val="single" w:sz="8" w:color="auto"/>
              <w:bottom w:val="single" w:sz="8" w:color="auto"/>
            </w:tcBorders>
          </w:tcPr>
          <w:p>
            <w:pPr>
              <w:jc w:val="right"/>
              <w:ind w:right="8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1.12</w:t>
            </w:r>
          </w:p>
        </w:tc>
      </w:tr>
      <w:tr>
        <w:trPr>
          <w:trHeight w:val="20"/>
        </w:trPr>
        <w:tc>
          <w:tcPr>
            <w:tcW w:w="84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Adjusted Diluted EPS Guidance: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46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color w:val="auto"/>
              </w:rPr>
              <w:t>Fiscal 2026 Expectations</w:t>
            </w:r>
          </w:p>
        </w:tc>
        <w:tc>
          <w:tcPr>
            <w:tcW w:w="820" w:type="dxa"/>
            <w:vAlign w:val="bottom"/>
            <w:tcBorders>
              <w:bottom w:val="single" w:sz="8" w:color="auto"/>
            </w:tcBorders>
          </w:tcPr>
          <w:p>
            <w:pPr>
              <w:spacing w:after="0"/>
              <w:rPr>
                <w:sz w:val="12"/>
                <w:szCs w:val="12"/>
                <w:color w:val="auto"/>
              </w:rPr>
            </w:pPr>
          </w:p>
        </w:tc>
      </w:tr>
      <w:tr>
        <w:trPr>
          <w:trHeight w:val="133"/>
        </w:trPr>
        <w:tc>
          <w:tcPr>
            <w:tcW w:w="846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Low</w:t>
            </w: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color w:val="auto"/>
                <w:w w:val="99"/>
              </w:rPr>
              <w:t>High</w:t>
            </w:r>
          </w:p>
        </w:tc>
      </w:tr>
      <w:tr>
        <w:trPr>
          <w:trHeight w:val="135"/>
        </w:trPr>
        <w:tc>
          <w:tcPr>
            <w:tcW w:w="84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Earnings per Class A Nonvoting Common Share (GAAP measure)</w:t>
            </w:r>
          </w:p>
        </w:tc>
        <w:tc>
          <w:tcPr>
            <w:tcW w:w="820" w:type="dxa"/>
            <w:vAlign w:val="bottom"/>
            <w:shd w:val="clear" w:color="auto" w:fill="CCEEFF"/>
          </w:tcPr>
          <w:p>
            <w:pPr>
              <w:jc w:val="right"/>
              <w:ind w:right="68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4.57</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4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4.82</w:t>
            </w:r>
          </w:p>
        </w:tc>
      </w:tr>
      <w:tr>
        <w:trPr>
          <w:trHeight w:val="142"/>
        </w:trPr>
        <w:tc>
          <w:tcPr>
            <w:tcW w:w="84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1"/>
                <w:szCs w:val="11"/>
                <w:color w:val="auto"/>
              </w:rPr>
              <w:t>Amortization expense</w:t>
            </w:r>
          </w:p>
        </w:tc>
        <w:tc>
          <w:tcPr>
            <w:tcW w:w="8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0.33</w:t>
            </w:r>
          </w:p>
        </w:tc>
        <w:tc>
          <w:tcPr>
            <w:tcW w:w="1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0.33</w:t>
            </w:r>
          </w:p>
        </w:tc>
      </w:tr>
      <w:tr>
        <w:trPr>
          <w:trHeight w:val="151"/>
        </w:trPr>
        <w:tc>
          <w:tcPr>
            <w:tcW w:w="8460" w:type="dxa"/>
            <w:vAlign w:val="bottom"/>
            <w:tcBorders>
              <w:bottom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Adjusted Diluted EPS (non-GAAP measure)</w:t>
            </w:r>
          </w:p>
        </w:tc>
        <w:tc>
          <w:tcPr>
            <w:tcW w:w="820" w:type="dxa"/>
            <w:vAlign w:val="bottom"/>
            <w:tcBorders>
              <w:bottom w:val="single" w:sz="8" w:color="auto"/>
            </w:tcBorders>
            <w:shd w:val="clear" w:color="auto" w:fill="CCEEFF"/>
          </w:tcPr>
          <w:p>
            <w:pPr>
              <w:jc w:val="right"/>
              <w:ind w:right="686"/>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4.90</w:t>
            </w:r>
          </w:p>
        </w:tc>
        <w:tc>
          <w:tcPr>
            <w:tcW w:w="1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4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5.15</w:t>
            </w:r>
          </w:p>
        </w:tc>
      </w:tr>
    </w:tbl>
    <w:p>
      <w:pPr>
        <w:sectPr>
          <w:pgSz w:w="11900" w:h="16838" w:orient="portrait"/>
          <w:cols w:equalWidth="0" w:num="1">
            <w:col w:w="11300"/>
          </w:cols>
          <w:pgMar w:left="300" w:top="665" w:right="299" w:bottom="1440" w:gutter="0" w:footer="0" w:header="0"/>
        </w:sectPr>
      </w:pPr>
    </w:p>
    <w:bookmarkStart w:id="11" w:name="page12"/>
    <w:bookmarkEnd w:id="1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4501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2025-11-17T06:20:22Z</dcterms:created>
  <dcterms:modified xsi:type="dcterms:W3CDTF">2025-11-17T06:20:22Z</dcterms:modified>
</cp:coreProperties>
</file>