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SEPHTON PETER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Brady Europe</w:t>
      </w:r>
    </w:p>
    <w:p>
      <w:pPr>
        <w:spacing w:after="0" w:line="3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0" w:type="dxa"/>
            <w:vAlign w:val="bottom"/>
            <w:gridSpan w:val="8"/>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0" w:type="dxa"/>
            <w:vAlign w:val="bottom"/>
            <w:gridSpan w:val="8"/>
            <w:vMerge w:val="continue"/>
          </w:tcPr>
          <w:p>
            <w:pPr>
              <w:spacing w:after="0"/>
              <w:rPr>
                <w:sz w:val="7"/>
                <w:szCs w:val="7"/>
                <w:color w:val="auto"/>
              </w:rPr>
            </w:pPr>
          </w:p>
        </w:tc>
        <w:tc>
          <w:tcPr>
            <w:tcW w:w="38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gridSpan w:val="3"/>
          </w:tcPr>
          <w:p>
            <w:pPr>
              <w:ind w:left="240"/>
              <w:spacing w:after="0" w:line="189" w:lineRule="exact"/>
              <w:rPr>
                <w:sz w:val="20"/>
                <w:szCs w:val="20"/>
                <w:color w:val="auto"/>
              </w:rPr>
            </w:pPr>
            <w:r>
              <w:rPr>
                <w:rFonts w:ascii="Arial" w:cs="Arial" w:eastAsia="Arial" w:hAnsi="Arial"/>
                <w:sz w:val="18"/>
                <w:szCs w:val="18"/>
                <w:color w:val="0000FF"/>
              </w:rPr>
              <w:t>04/03/2013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53223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0" w:type="dxa"/>
            <w:vAlign w:val="bottom"/>
            <w:gridSpan w:val="10"/>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2"/>
          </w:tcPr>
          <w:p>
            <w:pPr>
              <w:jc w:val="center"/>
              <w:ind w:left="4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17.325</w:t>
            </w:r>
          </w:p>
        </w:tc>
        <w:tc>
          <w:tcPr>
            <w:tcW w:w="1020" w:type="dxa"/>
            <w:vAlign w:val="bottom"/>
          </w:tcPr>
          <w:p>
            <w:pPr>
              <w:ind w:left="200"/>
              <w:spacing w:after="0" w:line="149" w:lineRule="exact"/>
              <w:rPr>
                <w:sz w:val="20"/>
                <w:szCs w:val="20"/>
                <w:color w:val="auto"/>
              </w:rPr>
            </w:pPr>
            <w:r>
              <w:rPr>
                <w:rFonts w:ascii="Arial" w:cs="Arial" w:eastAsia="Arial" w:hAnsi="Arial"/>
                <w:sz w:val="14"/>
                <w:szCs w:val="14"/>
                <w:color w:val="0000FF"/>
              </w:rPr>
              <w:t>04/05/2013</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color w:val="0000FF"/>
              </w:rPr>
              <w:t>J</w:t>
            </w:r>
          </w:p>
        </w:tc>
        <w:tc>
          <w:tcPr>
            <w:tcW w:w="600" w:type="dxa"/>
            <w:vAlign w:val="bottom"/>
          </w:tcPr>
          <w:p>
            <w:pPr>
              <w:ind w:left="200"/>
              <w:spacing w:after="0" w:line="149" w:lineRule="exact"/>
              <w:rPr>
                <w:sz w:val="20"/>
                <w:szCs w:val="20"/>
                <w:color w:val="auto"/>
              </w:rPr>
            </w:pPr>
            <w:r>
              <w:rPr>
                <w:rFonts w:ascii="Arial" w:cs="Arial" w:eastAsia="Arial" w:hAnsi="Arial"/>
                <w:sz w:val="14"/>
                <w:szCs w:val="14"/>
                <w:color w:val="0000FF"/>
              </w:rPr>
              <w:t>9,000</w:t>
            </w:r>
          </w:p>
        </w:tc>
        <w:tc>
          <w:tcPr>
            <w:tcW w:w="34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color w:val="0000FF"/>
              </w:rPr>
              <w:t>11/20/2006</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color w:val="0000FF"/>
                <w:w w:val="96"/>
              </w:rPr>
              <w:t>11/20/2013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9,000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Exercise</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40"/>
        <w:spacing w:after="0" w:line="239" w:lineRule="auto"/>
        <w:rPr>
          <w:sz w:val="20"/>
          <w:szCs w:val="20"/>
          <w:color w:val="auto"/>
        </w:rPr>
      </w:pPr>
      <w:r>
        <w:rPr>
          <w:rFonts w:ascii="Arial" w:cs="Arial" w:eastAsia="Arial" w:hAnsi="Arial"/>
          <w:sz w:val="14"/>
          <w:szCs w:val="14"/>
          <w:color w:val="008000"/>
        </w:rPr>
        <w:t>The stock option transaction reported on April 3, 2013, was canceled on April 5, 2013. This amendment is to remove the transaction from the reporting person's record and reinstate the stock options that were the subject of the canceled transaction.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Sherilyn R. Whitmoyer,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04/05/2013</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48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777"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2019-12-16T04:25:38Z</dcterms:created>
  <dcterms:modified xsi:type="dcterms:W3CDTF">2019-12-16T04:25:38Z</dcterms:modified>
</cp:coreProperties>
</file>