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May 16,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BRADY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20"/>
          </w:cols>
          <w:pgMar w:left="240" w:top="314" w:right="639" w:bottom="1440" w:gutter="0" w:footer="0" w:header="0"/>
        </w:sectPr>
      </w:pPr>
    </w:p>
    <w:p>
      <w:pPr>
        <w:spacing w:after="0" w:line="212"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39-0971239</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2">
            <w:col w:w="6980" w:space="720"/>
            <w:col w:w="3320"/>
          </w:cols>
          <w:pgMar w:left="240" w:top="314" w:right="639" w:bottom="1440" w:gutter="0" w:footer="0" w:header="0"/>
          <w:type w:val="continuous"/>
        </w:sectPr>
      </w:pPr>
    </w:p>
    <w:p>
      <w:pPr>
        <w:ind w:left="46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Milwaukee, Wisconsin 53223</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(414) 358-6600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On May 16, 2012, Brady Corporation (the “Corporation”) issued a press release announcing its fiscal 2012 third quarter financial results. A copy of the press release is being furnished to the Securities and Exchange Commission as Exhibit 99.1 attached hereto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16, 2012, the Corporation hosted a conference call related to its fiscal 2012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color w:val="auto"/>
                <w:w w:val="95"/>
              </w:rPr>
              <w:t>Exhibit</w:t>
            </w:r>
          </w:p>
        </w:tc>
        <w:tc>
          <w:tcPr>
            <w:tcW w:w="340" w:type="dxa"/>
            <w:vAlign w:val="bottom"/>
          </w:tcPr>
          <w:p>
            <w:pPr>
              <w:spacing w:after="0"/>
              <w:rPr>
                <w:sz w:val="14"/>
                <w:szCs w:val="14"/>
                <w:color w:val="auto"/>
              </w:rPr>
            </w:pPr>
          </w:p>
        </w:tc>
        <w:tc>
          <w:tcPr>
            <w:tcW w:w="10660" w:type="dxa"/>
            <w:vAlign w:val="bottom"/>
          </w:tcPr>
          <w:p>
            <w:pPr>
              <w:spacing w:after="0"/>
              <w:rPr>
                <w:sz w:val="14"/>
                <w:szCs w:val="14"/>
                <w:color w:val="auto"/>
              </w:rPr>
            </w:pPr>
          </w:p>
        </w:tc>
      </w:tr>
      <w:tr>
        <w:trPr>
          <w:trHeight w:val="179"/>
        </w:trPr>
        <w:tc>
          <w:tcPr>
            <w:tcW w:w="4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No.</w:t>
            </w:r>
          </w:p>
        </w:tc>
        <w:tc>
          <w:tcPr>
            <w:tcW w:w="340" w:type="dxa"/>
            <w:vAlign w:val="bottom"/>
          </w:tcPr>
          <w:p>
            <w:pPr>
              <w:spacing w:after="0"/>
              <w:rPr>
                <w:sz w:val="15"/>
                <w:szCs w:val="15"/>
                <w:color w:val="auto"/>
              </w:rPr>
            </w:pPr>
          </w:p>
        </w:tc>
        <w:tc>
          <w:tcPr>
            <w:tcW w:w="10660" w:type="dxa"/>
            <w:vAlign w:val="bottom"/>
            <w:tcBorders>
              <w:bottom w:val="single" w:sz="8" w:color="auto"/>
            </w:tcBorders>
          </w:tcPr>
          <w:p>
            <w:pPr>
              <w:ind w:left="4720"/>
              <w:spacing w:after="0" w:line="159" w:lineRule="exact"/>
              <w:rPr>
                <w:sz w:val="20"/>
                <w:szCs w:val="20"/>
                <w:color w:val="auto"/>
              </w:rPr>
            </w:pPr>
            <w:r>
              <w:rPr>
                <w:rFonts w:ascii="Arial" w:cs="Arial" w:eastAsia="Arial" w:hAnsi="Arial"/>
                <w:sz w:val="14"/>
                <w:szCs w:val="14"/>
                <w:color w:val="auto"/>
              </w:rPr>
              <w:t>Description of Exhibit</w:t>
            </w:r>
          </w:p>
        </w:tc>
      </w:tr>
      <w:tr>
        <w:trPr>
          <w:trHeight w:val="209"/>
        </w:trPr>
        <w:tc>
          <w:tcPr>
            <w:tcW w:w="4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8"/>
                <w:szCs w:val="18"/>
                <w:color w:val="auto"/>
              </w:rPr>
            </w:pPr>
          </w:p>
        </w:tc>
        <w:tc>
          <w:tcPr>
            <w:tcW w:w="10660" w:type="dxa"/>
            <w:vAlign w:val="bottom"/>
          </w:tcPr>
          <w:p>
            <w:pPr>
              <w:spacing w:after="0"/>
              <w:rPr>
                <w:sz w:val="20"/>
                <w:szCs w:val="20"/>
                <w:color w:val="auto"/>
              </w:rPr>
            </w:pPr>
            <w:r>
              <w:rPr>
                <w:rFonts w:ascii="Arial" w:cs="Arial" w:eastAsia="Arial" w:hAnsi="Arial"/>
                <w:sz w:val="18"/>
                <w:szCs w:val="18"/>
                <w:color w:val="auto"/>
              </w:rPr>
              <w:t>Press Release of Brady Corporation, dated May 16, 2012, relating to third quarter fiscal 2012 financial results.</w:t>
            </w:r>
          </w:p>
        </w:tc>
      </w:tr>
      <w:tr>
        <w:trPr>
          <w:trHeight w:val="316"/>
        </w:trPr>
        <w:tc>
          <w:tcPr>
            <w:tcW w:w="420" w:type="dxa"/>
            <w:vAlign w:val="bottom"/>
          </w:tcPr>
          <w:p>
            <w:pPr>
              <w:spacing w:after="0"/>
              <w:rPr>
                <w:sz w:val="20"/>
                <w:szCs w:val="20"/>
                <w:color w:val="auto"/>
              </w:rPr>
            </w:pPr>
            <w:r>
              <w:rPr>
                <w:rFonts w:ascii="Arial" w:cs="Arial" w:eastAsia="Arial" w:hAnsi="Arial"/>
                <w:sz w:val="18"/>
                <w:szCs w:val="18"/>
                <w:color w:val="auto"/>
              </w:rPr>
              <w:t>99.2</w:t>
            </w:r>
          </w:p>
        </w:tc>
        <w:tc>
          <w:tcPr>
            <w:tcW w:w="11000" w:type="dxa"/>
            <w:vAlign w:val="bottom"/>
            <w:gridSpan w:val="2"/>
          </w:tcPr>
          <w:p>
            <w:pPr>
              <w:ind w:left="340"/>
              <w:spacing w:after="0"/>
              <w:rPr>
                <w:sz w:val="20"/>
                <w:szCs w:val="20"/>
                <w:color w:val="auto"/>
              </w:rPr>
            </w:pPr>
            <w:r>
              <w:rPr>
                <w:rFonts w:ascii="Arial" w:cs="Arial" w:eastAsia="Arial" w:hAnsi="Arial"/>
                <w:sz w:val="18"/>
                <w:szCs w:val="18"/>
                <w:color w:val="auto"/>
              </w:rPr>
              <w:t>Informational slides provided by Brady Corporation, dated May 16, 2012, relating to third quarter fiscal 2012 financial results.</w:t>
            </w:r>
          </w:p>
        </w:tc>
      </w:tr>
    </w:tbl>
    <w:p>
      <w:pPr>
        <w:sectPr>
          <w:pgSz w:w="11900" w:h="16838" w:orient="portrait"/>
          <w:cols w:equalWidth="0" w:num="1">
            <w:col w:w="11420"/>
          </w:cols>
          <w:pgMar w:left="240" w:top="2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BRADY CORPORATION</w:t>
      </w:r>
    </w:p>
    <w:p>
      <w:pPr>
        <w:spacing w:after="0" w:line="22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16, 2012</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19685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Thomas J. Felmer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 &amp; Chief Financial Officer</w:t>
      </w:r>
    </w:p>
    <w:p>
      <w:pPr>
        <w:sectPr>
          <w:pgSz w:w="11900" w:h="16838" w:orient="portrait"/>
          <w:cols w:equalWidth="0" w:num="1">
            <w:col w:w="11000"/>
          </w:cols>
          <w:pgMar w:left="240" w:top="280"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20" w:type="dxa"/>
            <w:vAlign w:val="bottom"/>
          </w:tcPr>
          <w:p>
            <w:pPr>
              <w:ind w:left="3660"/>
              <w:spacing w:after="0"/>
              <w:rPr>
                <w:sz w:val="20"/>
                <w:szCs w:val="20"/>
                <w:color w:val="auto"/>
              </w:rPr>
            </w:pPr>
            <w:r>
              <w:rPr>
                <w:rFonts w:ascii="Arial" w:cs="Arial" w:eastAsia="Arial" w:hAnsi="Arial"/>
                <w:sz w:val="18"/>
                <w:szCs w:val="18"/>
                <w:color w:val="auto"/>
              </w:rPr>
              <w:t>EXHIBIT INDEX</w:t>
            </w:r>
          </w:p>
        </w:tc>
      </w:tr>
      <w:tr>
        <w:trPr>
          <w:trHeight w:val="342"/>
        </w:trPr>
        <w:tc>
          <w:tcPr>
            <w:tcW w:w="620" w:type="dxa"/>
            <w:vAlign w:val="bottom"/>
          </w:tcPr>
          <w:p>
            <w:pPr>
              <w:spacing w:after="0"/>
              <w:rPr>
                <w:sz w:val="20"/>
                <w:szCs w:val="20"/>
                <w:color w:val="auto"/>
              </w:rPr>
            </w:pPr>
            <w:r>
              <w:rPr>
                <w:rFonts w:ascii="Arial" w:cs="Arial" w:eastAsia="Arial" w:hAnsi="Arial"/>
                <w:sz w:val="14"/>
                <w:szCs w:val="14"/>
                <w:color w:val="auto"/>
              </w:rPr>
              <w:t>EXHIBIT</w:t>
            </w:r>
          </w:p>
        </w:tc>
        <w:tc>
          <w:tcPr>
            <w:tcW w:w="780" w:type="dxa"/>
            <w:vAlign w:val="bottom"/>
          </w:tcPr>
          <w:p>
            <w:pPr>
              <w:spacing w:after="0"/>
              <w:rPr>
                <w:sz w:val="24"/>
                <w:szCs w:val="24"/>
                <w:color w:val="auto"/>
              </w:rPr>
            </w:pPr>
          </w:p>
        </w:tc>
        <w:tc>
          <w:tcPr>
            <w:tcW w:w="10020" w:type="dxa"/>
            <w:vAlign w:val="bottom"/>
          </w:tcPr>
          <w:p>
            <w:pPr>
              <w:spacing w:after="0"/>
              <w:rPr>
                <w:sz w:val="24"/>
                <w:szCs w:val="24"/>
                <w:color w:val="auto"/>
              </w:rPr>
            </w:pPr>
          </w:p>
        </w:tc>
      </w:tr>
      <w:tr>
        <w:trPr>
          <w:trHeight w:val="179"/>
        </w:trPr>
        <w:tc>
          <w:tcPr>
            <w:tcW w:w="6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5"/>
              </w:rPr>
              <w:t>NUMBER</w:t>
            </w:r>
          </w:p>
        </w:tc>
        <w:tc>
          <w:tcPr>
            <w:tcW w:w="780" w:type="dxa"/>
            <w:vAlign w:val="bottom"/>
          </w:tcPr>
          <w:p>
            <w:pPr>
              <w:spacing w:after="0"/>
              <w:rPr>
                <w:sz w:val="15"/>
                <w:szCs w:val="15"/>
                <w:color w:val="auto"/>
              </w:rPr>
            </w:pPr>
          </w:p>
        </w:tc>
        <w:tc>
          <w:tcPr>
            <w:tcW w:w="10020" w:type="dxa"/>
            <w:vAlign w:val="bottom"/>
            <w:tcBorders>
              <w:bottom w:val="single" w:sz="8" w:color="auto"/>
            </w:tcBorders>
          </w:tcPr>
          <w:p>
            <w:pPr>
              <w:ind w:left="4580"/>
              <w:spacing w:after="0" w:line="159" w:lineRule="exact"/>
              <w:rPr>
                <w:sz w:val="20"/>
                <w:szCs w:val="20"/>
                <w:color w:val="auto"/>
              </w:rPr>
            </w:pPr>
            <w:r>
              <w:rPr>
                <w:rFonts w:ascii="Arial" w:cs="Arial" w:eastAsia="Arial" w:hAnsi="Arial"/>
                <w:sz w:val="14"/>
                <w:szCs w:val="14"/>
                <w:color w:val="auto"/>
              </w:rPr>
              <w:t>DESCRIPTION</w:t>
            </w:r>
          </w:p>
        </w:tc>
      </w:tr>
      <w:tr>
        <w:trPr>
          <w:trHeight w:val="209"/>
        </w:trPr>
        <w:tc>
          <w:tcPr>
            <w:tcW w:w="620" w:type="dxa"/>
            <w:vAlign w:val="bottom"/>
          </w:tcPr>
          <w:p>
            <w:pPr>
              <w:jc w:val="center"/>
              <w:spacing w:after="0" w:line="202" w:lineRule="exact"/>
              <w:rPr>
                <w:sz w:val="20"/>
                <w:szCs w:val="20"/>
                <w:color w:val="auto"/>
              </w:rPr>
            </w:pPr>
            <w:r>
              <w:rPr>
                <w:rFonts w:ascii="Arial" w:cs="Arial" w:eastAsia="Arial" w:hAnsi="Arial"/>
                <w:sz w:val="18"/>
                <w:szCs w:val="18"/>
                <w:color w:val="auto"/>
                <w:w w:val="91"/>
              </w:rPr>
              <w:t>99.1</w:t>
            </w:r>
          </w:p>
        </w:tc>
        <w:tc>
          <w:tcPr>
            <w:tcW w:w="78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Press Release of Brady Corporation, dated May 16, 2012, relating to third quarter fiscal 2012 financial results.</w:t>
            </w:r>
          </w:p>
        </w:tc>
      </w:tr>
      <w:tr>
        <w:trPr>
          <w:trHeight w:val="309"/>
        </w:trPr>
        <w:tc>
          <w:tcPr>
            <w:tcW w:w="6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rPr>
              <w:t>Informational slides provided by Brady Corporation, dated May 16, 2012, relating to third quarter fiscal 2012</w:t>
            </w:r>
          </w:p>
        </w:tc>
      </w:tr>
      <w:tr>
        <w:trPr>
          <w:trHeight w:val="222"/>
        </w:trPr>
        <w:tc>
          <w:tcPr>
            <w:tcW w:w="620" w:type="dxa"/>
            <w:vAlign w:val="bottom"/>
          </w:tcPr>
          <w:p>
            <w:pPr>
              <w:spacing w:after="0"/>
              <w:rPr>
                <w:sz w:val="19"/>
                <w:szCs w:val="19"/>
                <w:color w:val="auto"/>
              </w:rPr>
            </w:pPr>
          </w:p>
        </w:tc>
        <w:tc>
          <w:tcPr>
            <w:tcW w:w="10800" w:type="dxa"/>
            <w:vAlign w:val="bottom"/>
            <w:gridSpan w:val="2"/>
          </w:tcPr>
          <w:p>
            <w:pPr>
              <w:ind w:left="780"/>
              <w:spacing w:after="0"/>
              <w:rPr>
                <w:sz w:val="20"/>
                <w:szCs w:val="20"/>
                <w:color w:val="auto"/>
              </w:rPr>
            </w:pPr>
            <w:r>
              <w:rPr>
                <w:rFonts w:ascii="Arial" w:cs="Arial" w:eastAsia="Arial" w:hAnsi="Arial"/>
                <w:sz w:val="18"/>
                <w:szCs w:val="18"/>
                <w:color w:val="auto"/>
              </w:rPr>
              <w:t>financial results.</w:t>
            </w:r>
          </w:p>
        </w:tc>
      </w:tr>
    </w:tbl>
    <w:p>
      <w:pPr>
        <w:ind w:left="780"/>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Aaron Pearce 414-438-6895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2012 Third Quarter Results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MILWAUKEE (May 16, 2012)—Brady Corporation (NYSE: BRC) (“Brady”), a world leader in identification solutions, today reported its financial results for the fiscal 2012 third quarter ended April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2012 Results: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Sales for the fiscal 2012 third quarter were down 1.9 percent to $331.6 million compared to $337.9 million in the third quarter of fiscal 2011. Organic sales were down 0.5 percent, acquisitions added 0.2 percent, and the impact of foreign currency translation decreased sales by 1.6 percent. By segment, organic sales increased 1.9 percent in the Americas, decreased 1.2 percent in the Asia-Pacific region, and decreased 3.3 percent in EMEA.</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Net income in the fiscal 2012 third quarter was $27.7 million compared to $28.6 million in the same quarter last year. Excluding $2.7 million of after-tax restructuring charges in the third quarter of fiscal 2012 and $0.9 million of after-tax restructuring charges in the same quarter last year, net income was up 3.0 percent to $30.3 million compared to $29.5 million in the same quarter last year.</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Earnings per diluted Class A Common Share were down 3.7 percent to $0.52 in the third quarter of fiscal 2012 compared to $0.54 in the same quarter last year. Excluding after-tax restructuring charges, earnings per diluted Class A Common Share increased 3.6 percent to $0.57 in the third quarter of fiscal 2012, compared to $0.55 per share in the same quarter of fiscal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April 30, 2012 Results: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Sales for the nine-month period ended April 30, 2012 were up 0.5 percent to $1.002 billion compared to $0.996 billion in the same period last year. Organic sales growth was 0.4 percent; divestitures, net of acquisitions reduced sales by 0.2 percent; and the impact of foreign currency translation increased sales by 0.3 percent. By segment, organic sales increased 3.5 percent in the Americas, decreased 2.0 percent in EMEA, and decreased 1.9 percent in the Asia-Pacific region.</w:t>
      </w:r>
    </w:p>
    <w:p>
      <w:pPr>
        <w:spacing w:after="0" w:line="10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Net income (loss) for the nine months ended April 30, 2012 was $(29.6) million compared to $79.1 million in the same period in fiscal 2011. Excluding the impact of the $115.7 million non-cash goodwill impairment charge incurred in the second quarter of fiscal 2012 and $2.7 million of after-tax restructuring charges during the nine-month period ended April 30, 2012 and $5.0 million of after-tax restructuring charges in the same period last year, net income was up 5.6 percent to $88.8 million compared to $84.1 million in the same period last year.</w:t>
      </w:r>
    </w:p>
    <w:p>
      <w:pPr>
        <w:sectPr>
          <w:pgSz w:w="11900" w:h="16838" w:orient="portrait"/>
          <w:cols w:equalWidth="0" w:num="1">
            <w:col w:w="11420"/>
          </w:cols>
          <w:pgMar w:left="240" w:top="125" w:right="239" w:bottom="1440" w:gutter="0" w:footer="0" w:header="0"/>
        </w:sectPr>
      </w:pPr>
    </w:p>
    <w:bookmarkStart w:id="5" w:name="page6"/>
    <w:bookmarkEnd w:id="5"/>
    <w:p>
      <w:pPr>
        <w:ind w:right="8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Earnings (loss) per diluted Class A Common Share were $(0.57) for the nine-month period ended April 30, 2012 compared to $1.49 in the same period of fiscal 2011. Excluding the impact of the non-cash goodwill impairment charge and the after-tax restructuring charges, earnings per diluted Class A Common Share increased 7.0 percent to $1.69 for the nine-month period ended April 30, 2012 compared to $1.58 in the same period of fiscal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Americas region is performing well, fueled by strength in our U.S. business. In EMEA, our growth initiatives and reallocation of resources to the stronger sub-regions are partially counter balancing the weak macro-economy, enabling our EMEA revenues to be down only slightly when compared with the prior year. During the quarter, our revenues were below our internal expectation, but profitability was maintained through reductions in selling, general, and administrative expenses, including reduced incentive compensation,” said Brady’s President and Chief Executive Officer, Frank M. Jaehnert. “After quarter-end, we completed two acquisitions for a purchase price of approximately $36 million. These two acquisitions, Pervaco AS in Norway and Runelandhs Försäljnings AB in Sweden expand our presence in the Scandanavian region, which is an under-penetrated market for Brady. We also announced the acquisition of Grafo Wiremarkers Africa (Pty) Ltd in South Africa during the third quarter, which is our first acquisition on the African continent.”</w:t>
      </w:r>
    </w:p>
    <w:p>
      <w:pPr>
        <w:spacing w:after="0" w:line="11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balance sheet is strong with $374.4 million of cash and $342.1 million of debt as of April 30, 2012 and our acquisition pipeline is robust,” said Brady’s Chief Financial Officer, Thomas J. Felmer. “In Asia, we are working to improve the profitability of the business as the changes that we announced last quarter related to the separation of our die-cut business and our MRO and identification businesses into two distinct and separate operations are starting to take hold. Our new management team is in place in Asia and driving hard to deliver results. Because of the ongoing weaknesses in our Asian die-cut business and the weak macro-environment in Europe, we are modifying our full year fiscal 2012 guidance range for earnings per diluted Class A Common Share, exclusive of after-tax restructuring charges and the Asia goodwill impairment to between $2.15 and $2.25; down from our previous guidance range of $2.20 to $2.40 per diluted Class A Common Share.”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webcast regarding Brady’s fiscal 2012 third quarter financial results will be available at </w:t>
      </w:r>
      <w:r>
        <w:rPr>
          <w:rFonts w:ascii="Arial" w:cs="Arial" w:eastAsia="Arial" w:hAnsi="Arial"/>
          <w:sz w:val="16"/>
          <w:szCs w:val="16"/>
          <w:u w:val="single" w:color="auto"/>
          <w:color w:val="auto"/>
        </w:rPr>
        <w:t>www.bradycorp.com</w:t>
      </w:r>
      <w:r>
        <w:rPr>
          <w:rFonts w:ascii="Arial" w:cs="Arial" w:eastAsia="Arial" w:hAnsi="Arial"/>
          <w:sz w:val="16"/>
          <w:szCs w:val="16"/>
          <w:color w:val="auto"/>
        </w:rPr>
        <w:t xml:space="preserve"> beginning at 9:30 a.m. Central Time today.</w:t>
      </w:r>
    </w:p>
    <w:p>
      <w:pPr>
        <w:sectPr>
          <w:pgSz w:w="11900" w:h="16838" w:orient="portrait"/>
          <w:cols w:equalWidth="0" w:num="1">
            <w:col w:w="11340"/>
          </w:cols>
          <w:pgMar w:left="240" w:top="280" w:right="319" w:bottom="1440" w:gutter="0" w:footer="0" w:header="0"/>
        </w:sectPr>
      </w:pPr>
    </w:p>
    <w:bookmarkStart w:id="6" w:name="page7"/>
    <w:bookmarkEnd w:id="6"/>
    <w:p>
      <w:pPr>
        <w:ind w:right="1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and signs, safety devices, printing systems and software, and precision die-cut materials. Founded in 1914, the company has millions of customers in electronics, telecommunications, manufacturing, electrical, construction, education, medical and a variety of other industries. Brady is headquartered in Milwaukee, Wisconsin and as of July 31, 2011 employed approximately 6,500 people at operations in the Americas, EMEA and Asia-Pacific. Brady’s fiscal 2011 sales were approximately $1.34 billion. Brady stock trades on the New York Stock Exchange under the symbol BRC. More information is available on the Internet at </w:t>
      </w:r>
      <w:r>
        <w:rPr>
          <w:rFonts w:ascii="Arial" w:cs="Arial" w:eastAsia="Arial" w:hAnsi="Arial"/>
          <w:sz w:val="16"/>
          <w:szCs w:val="16"/>
          <w:u w:val="single" w:color="auto"/>
          <w:color w:val="auto"/>
        </w:rPr>
        <w:t>www.bradycorp.com.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2011.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(Unaudited)</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gridSpan w:val="7"/>
          </w:tcPr>
          <w:p>
            <w:pPr>
              <w:jc w:val="right"/>
              <w:ind w:right="720"/>
              <w:spacing w:after="0" w:line="142" w:lineRule="exact"/>
              <w:rPr>
                <w:sz w:val="20"/>
                <w:szCs w:val="20"/>
                <w:color w:val="auto"/>
              </w:rPr>
            </w:pPr>
            <w:r>
              <w:rPr>
                <w:rFonts w:ascii="Arial" w:cs="Arial" w:eastAsia="Arial" w:hAnsi="Arial"/>
                <w:sz w:val="14"/>
                <w:szCs w:val="14"/>
                <w:color w:val="auto"/>
              </w:rPr>
              <w:t>Three Months Ended April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6"/>
          </w:tcPr>
          <w:p>
            <w:pPr>
              <w:jc w:val="right"/>
              <w:ind w:right="434"/>
              <w:spacing w:after="0" w:line="142" w:lineRule="exact"/>
              <w:rPr>
                <w:sz w:val="20"/>
                <w:szCs w:val="20"/>
                <w:color w:val="auto"/>
              </w:rPr>
            </w:pPr>
            <w:r>
              <w:rPr>
                <w:rFonts w:ascii="Arial" w:cs="Arial" w:eastAsia="Arial" w:hAnsi="Arial"/>
                <w:sz w:val="14"/>
                <w:szCs w:val="14"/>
                <w:color w:val="auto"/>
              </w:rPr>
              <w:t>Nine Months Ended April 30,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78"/>
              </w:rPr>
              <w:t>Percentage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0"/>
              </w:rPr>
              <w:t>Percentage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8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7"/>
              </w:rPr>
              <w:t>Change</w:t>
            </w: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2011</w:t>
            </w:r>
          </w:p>
        </w:tc>
        <w:tc>
          <w:tcPr>
            <w:tcW w:w="3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14"/>
              <w:spacing w:after="0" w:line="159" w:lineRule="exact"/>
              <w:rPr>
                <w:sz w:val="20"/>
                <w:szCs w:val="20"/>
                <w:color w:val="auto"/>
              </w:rPr>
            </w:pPr>
            <w:r>
              <w:rPr>
                <w:rFonts w:ascii="Arial" w:cs="Arial" w:eastAsia="Arial" w:hAnsi="Arial"/>
                <w:sz w:val="14"/>
                <w:szCs w:val="14"/>
                <w:color w:val="auto"/>
                <w:w w:val="97"/>
              </w:rPr>
              <w:t>Change</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331,629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337,896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1,001,721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996,493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products sold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171,582</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170,258</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520,538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505,333</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160,047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167,638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481,183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491,160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106,714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115,006</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320,489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332,394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charges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Impairment charge</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119,094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126,767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371,606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322"/>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40,953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40,871</w:t>
            </w:r>
          </w:p>
        </w:tc>
        <w:tc>
          <w:tcPr>
            <w:tcW w:w="30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12,845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119,554</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and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Investment and other income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2,892</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(14,715)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(16,640)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line="20" w:lineRule="exact"/>
              <w:rPr>
                <w:sz w:val="1"/>
                <w:szCs w:val="1"/>
                <w:color w:val="auto"/>
              </w:rPr>
            </w:pPr>
          </w:p>
        </w:tc>
      </w:tr>
      <w:tr>
        <w:trPr>
          <w:trHeight w:val="221"/>
        </w:trPr>
        <w:tc>
          <w:tcPr>
            <w:tcW w:w="500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37,196</w:t>
            </w:r>
          </w:p>
        </w:tc>
        <w:tc>
          <w:tcPr>
            <w:tcW w:w="3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105,806</w:t>
            </w:r>
          </w:p>
        </w:tc>
        <w:tc>
          <w:tcPr>
            <w:tcW w:w="3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2"/>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27,652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28,589</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(29,570)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79,069</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 Class A Nonvoting Common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0.555</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 Class B Voting Common Share: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 net income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(0.58)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0.18</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0.538</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0.523</w:t>
            </w:r>
          </w:p>
        </w:tc>
        <w:tc>
          <w:tcPr>
            <w:tcW w:w="3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common shares outstanding (in thousands):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42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52,701</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52,581</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53,067</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76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1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April 30, 2012</w:t>
            </w:r>
          </w:p>
        </w:tc>
        <w:tc>
          <w:tcPr>
            <w:tcW w:w="8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7"/>
              </w:rPr>
              <w:t>July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Borders>
              <w:top w:val="single" w:sz="8" w:color="CCEEFF"/>
            </w:tcBorders>
            <w:shd w:val="clear" w:color="auto" w:fill="CCEEFF"/>
          </w:tcPr>
          <w:p>
            <w:pPr>
              <w:spacing w:after="0"/>
              <w:rPr>
                <w:sz w:val="13"/>
                <w:szCs w:val="13"/>
                <w:color w:val="auto"/>
              </w:rPr>
            </w:pPr>
          </w:p>
        </w:tc>
        <w:tc>
          <w:tcPr>
            <w:tcW w:w="292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374,425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Accounts receivable—net</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210,694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860"/>
              <w:spacing w:after="0"/>
              <w:rPr>
                <w:sz w:val="20"/>
                <w:szCs w:val="20"/>
                <w:color w:val="auto"/>
              </w:rPr>
            </w:pPr>
            <w:r>
              <w:rPr>
                <w:rFonts w:ascii="Arial" w:cs="Arial" w:eastAsia="Arial" w:hAnsi="Arial"/>
                <w:sz w:val="18"/>
                <w:szCs w:val="18"/>
                <w:color w:val="auto"/>
              </w:rPr>
              <w:t>Finished products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65,322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Work-in-process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15,045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5"/>
          </w:tcPr>
          <w:p>
            <w:pPr>
              <w:ind w:left="86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25,749</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Total inventories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106,116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40,267</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731,502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758,287</w:t>
            </w:r>
          </w:p>
        </w:tc>
        <w:tc>
          <w:tcPr>
            <w:tcW w:w="0" w:type="dxa"/>
            <w:vAlign w:val="bottom"/>
          </w:tcPr>
          <w:p>
            <w:pPr>
              <w:spacing w:after="0"/>
              <w:rPr>
                <w:sz w:val="1"/>
                <w:szCs w:val="1"/>
                <w:color w:val="auto"/>
              </w:rPr>
            </w:pPr>
          </w:p>
        </w:tc>
      </w:tr>
      <w:tr>
        <w:trPr>
          <w:trHeight w:val="323"/>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666,423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76,260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20,760</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19,244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1280"/>
              <w:spacing w:after="0"/>
              <w:rPr>
                <w:sz w:val="20"/>
                <w:szCs w:val="20"/>
                <w:color w:val="auto"/>
              </w:rPr>
            </w:pPr>
            <w:r>
              <w:rPr>
                <w:rFonts w:ascii="Arial" w:cs="Arial" w:eastAsia="Arial" w:hAnsi="Arial"/>
                <w:sz w:val="18"/>
                <w:szCs w:val="18"/>
                <w:color w:val="auto"/>
              </w:rPr>
              <w:t>Buildings and improvements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100,569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104,644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128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303,666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305,557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5"/>
          </w:tcPr>
          <w:p>
            <w:pPr>
              <w:ind w:left="128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12,280</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422,634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427,833</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295,017</w:t>
            </w: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Property, plant and equipment—net</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127,617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1,671,140</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1,861,505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400" w:type="dxa"/>
            <w:vAlign w:val="bottom"/>
            <w:tcBorders>
              <w:bottom w:val="single" w:sz="8" w:color="CCEEFF"/>
            </w:tcBorders>
            <w:shd w:val="clear" w:color="auto" w:fill="CCEEFF"/>
          </w:tcPr>
          <w:p>
            <w:pPr>
              <w:spacing w:after="0"/>
              <w:rPr>
                <w:sz w:val="16"/>
                <w:szCs w:val="16"/>
                <w:color w:val="auto"/>
              </w:rPr>
            </w:pPr>
          </w:p>
        </w:tc>
        <w:tc>
          <w:tcPr>
            <w:tcW w:w="432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INVESTMENT</w:t>
            </w:r>
          </w:p>
        </w:tc>
        <w:tc>
          <w:tcPr>
            <w:tcW w:w="2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75,303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Wages and amounts withheld from employees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48,954</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Taxes, other than income taxes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20,939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41,926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Current maturities on long-term debt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8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258,555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301,881</w:t>
            </w:r>
          </w:p>
        </w:tc>
        <w:tc>
          <w:tcPr>
            <w:tcW w:w="0" w:type="dxa"/>
            <w:vAlign w:val="bottom"/>
          </w:tcPr>
          <w:p>
            <w:pPr>
              <w:spacing w:after="0"/>
              <w:rPr>
                <w:sz w:val="1"/>
                <w:szCs w:val="1"/>
                <w:color w:val="auto"/>
              </w:rPr>
            </w:pPr>
          </w:p>
        </w:tc>
      </w:tr>
      <w:tr>
        <w:trPr>
          <w:trHeight w:val="322"/>
        </w:trPr>
        <w:tc>
          <w:tcPr>
            <w:tcW w:w="9360" w:type="dxa"/>
            <w:vAlign w:val="bottom"/>
            <w:gridSpan w:val="6"/>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280,812</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331,914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68,191</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4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607,558</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705,313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w w:val="98"/>
              </w:rPr>
              <w:t>Class A nonvoting common stock—Issued 51,261,487 and 51,261,487 shares, respectively and outstanding</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gridSpan w:val="5"/>
            <w:shd w:val="clear" w:color="auto" w:fill="CCEEFF"/>
          </w:tcPr>
          <w:p>
            <w:pPr>
              <w:ind w:left="1060"/>
              <w:spacing w:after="0"/>
              <w:rPr>
                <w:sz w:val="20"/>
                <w:szCs w:val="20"/>
                <w:color w:val="auto"/>
              </w:rPr>
            </w:pPr>
            <w:r>
              <w:rPr>
                <w:rFonts w:ascii="Arial" w:cs="Arial" w:eastAsia="Arial" w:hAnsi="Arial"/>
                <w:sz w:val="18"/>
                <w:szCs w:val="18"/>
                <w:color w:val="auto"/>
              </w:rPr>
              <w:t>49,031,625 and 49,284,252 shares, respectively</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860"/>
              <w:spacing w:after="0"/>
              <w:rPr>
                <w:sz w:val="20"/>
                <w:szCs w:val="20"/>
                <w:color w:val="auto"/>
              </w:rPr>
            </w:pPr>
            <w:r>
              <w:rPr>
                <w:rFonts w:ascii="Arial" w:cs="Arial" w:eastAsia="Arial" w:hAnsi="Arial"/>
                <w:sz w:val="18"/>
                <w:szCs w:val="18"/>
                <w:color w:val="auto"/>
              </w:rPr>
              <w:t>Class B voting common stock—Issued and outstanding, 3,538,628 shares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311,369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Income retained in the business</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730,295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Treasury stock—1,919,862 and 1,667,235 shares, respectively of Class A nonvoting common stock, at cost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(55,354)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80,432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gridSpan w:val="5"/>
          </w:tcPr>
          <w:p>
            <w:pPr>
              <w:ind w:left="860"/>
              <w:spacing w:after="0"/>
              <w:rPr>
                <w:sz w:val="20"/>
                <w:szCs w:val="20"/>
                <w:color w:val="auto"/>
              </w:rPr>
            </w:pPr>
            <w:r>
              <w:rPr>
                <w:rFonts w:ascii="Arial" w:cs="Arial" w:eastAsia="Arial" w:hAnsi="Arial"/>
                <w:sz w:val="18"/>
                <w:szCs w:val="18"/>
                <w:b w:val="1"/>
                <w:bCs w:val="1"/>
                <w:color w:val="auto"/>
              </w:rPr>
              <w:t>Total stockholders’ investment</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1,063,582</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1,156,192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1,671,140</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1,861,505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BRADY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6"/>
          </w:tcPr>
          <w:p>
            <w:pPr>
              <w:jc w:val="right"/>
              <w:ind w:right="620"/>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right"/>
              <w:ind w:right="400"/>
              <w:spacing w:after="0" w:line="149" w:lineRule="exact"/>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April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Net (loss) income</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(29,570)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32,921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portion of restructuring charges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Non-cash portion of stock-based compensation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115,688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Gain on divestiture of business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(net of effects of business acquisitions/divestitures):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(39,472)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100,595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110,446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(14,498)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contingent consideration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Settlement of net investment hedges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business, net of cash acquired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Divestiture of business, net of cash retained in business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(22,450)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(10,020)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Payment of dividends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Purchase of treasury stock</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(12,309)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(42,514)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Income tax benefit from the exercise of stock options and deferred compensation distribution, and other</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60" w:type="dxa"/>
            <w:vAlign w:val="bottom"/>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(80,641)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(62,785)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(13,050)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21,497</w:t>
            </w:r>
          </w:p>
        </w:tc>
        <w:tc>
          <w:tcPr>
            <w:tcW w:w="0" w:type="dxa"/>
            <w:vAlign w:val="bottom"/>
          </w:tcPr>
          <w:p>
            <w:pPr>
              <w:spacing w:after="0"/>
              <w:rPr>
                <w:sz w:val="1"/>
                <w:szCs w:val="1"/>
                <w:color w:val="auto"/>
              </w:rPr>
            </w:pPr>
          </w:p>
        </w:tc>
      </w:tr>
      <w:tr>
        <w:trPr>
          <w:trHeight w:val="322"/>
        </w:trPr>
        <w:tc>
          <w:tcPr>
            <w:tcW w:w="868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(15,546)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59,138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389,971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314,840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8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374,425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373,978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net of capitalized interest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Income taxes, net of refunds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19,959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Fair value of assets acquired, net of cash</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2,395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assumed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paid for acquisitions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by regional segment for the three and nine months ended April 30, 2012 and 2011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Corporate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jc w:val="right"/>
              <w:ind w:right="299"/>
              <w:spacing w:after="0" w:line="149" w:lineRule="exact"/>
              <w:rPr>
                <w:sz w:val="20"/>
                <w:szCs w:val="20"/>
                <w:color w:val="auto"/>
              </w:rPr>
            </w:pPr>
            <w:r>
              <w:rPr>
                <w:rFonts w:ascii="Arial" w:cs="Arial" w:eastAsia="Arial" w:hAnsi="Arial"/>
                <w:sz w:val="14"/>
                <w:szCs w:val="14"/>
                <w:b w:val="1"/>
                <w:bCs w:val="1"/>
                <w:color w:val="auto"/>
              </w:rPr>
              <w:t>Asia-</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880" w:type="dxa"/>
            <w:vAlign w:val="bottom"/>
          </w:tcPr>
          <w:p>
            <w:pPr>
              <w:jc w:val="center"/>
              <w:ind w:left="756"/>
              <w:spacing w:after="0"/>
              <w:rPr>
                <w:sz w:val="20"/>
                <w:szCs w:val="20"/>
                <w:color w:val="auto"/>
              </w:rPr>
            </w:pPr>
            <w:r>
              <w:rPr>
                <w:rFonts w:ascii="Arial" w:cs="Arial" w:eastAsia="Arial" w:hAnsi="Arial"/>
                <w:sz w:val="14"/>
                <w:szCs w:val="14"/>
                <w:b w:val="1"/>
                <w:bCs w:val="1"/>
                <w:color w:val="auto"/>
                <w:w w:val="88"/>
              </w:rPr>
              <w:t>Americas</w:t>
            </w:r>
          </w:p>
        </w:tc>
        <w:tc>
          <w:tcPr>
            <w:tcW w:w="28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EMEA</w:t>
            </w:r>
          </w:p>
        </w:tc>
        <w:tc>
          <w:tcPr>
            <w:tcW w:w="280" w:type="dxa"/>
            <w:vAlign w:val="bottom"/>
          </w:tcPr>
          <w:p>
            <w:pPr>
              <w:spacing w:after="0"/>
              <w:rPr>
                <w:sz w:val="14"/>
                <w:szCs w:val="14"/>
                <w:color w:val="auto"/>
              </w:rPr>
            </w:pPr>
          </w:p>
        </w:tc>
        <w:tc>
          <w:tcPr>
            <w:tcW w:w="780" w:type="dxa"/>
            <w:vAlign w:val="bottom"/>
          </w:tcPr>
          <w:p>
            <w:pPr>
              <w:jc w:val="right"/>
              <w:ind w:right="259"/>
              <w:spacing w:after="0"/>
              <w:rPr>
                <w:sz w:val="20"/>
                <w:szCs w:val="20"/>
                <w:color w:val="auto"/>
              </w:rPr>
            </w:pPr>
            <w:r>
              <w:rPr>
                <w:rFonts w:ascii="Arial" w:cs="Arial" w:eastAsia="Arial" w:hAnsi="Arial"/>
                <w:sz w:val="14"/>
                <w:szCs w:val="14"/>
                <w:b w:val="1"/>
                <w:bCs w:val="1"/>
                <w:color w:val="auto"/>
                <w:w w:val="92"/>
              </w:rPr>
              <w:t>Pacific</w:t>
            </w:r>
          </w:p>
        </w:tc>
        <w:tc>
          <w:tcPr>
            <w:tcW w:w="11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Total Region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Eliminations</w:t>
            </w:r>
          </w:p>
        </w:tc>
        <w:tc>
          <w:tcPr>
            <w:tcW w:w="240" w:type="dxa"/>
            <w:vAlign w:val="bottom"/>
          </w:tcPr>
          <w:p>
            <w:pPr>
              <w:spacing w:after="0"/>
              <w:rPr>
                <w:sz w:val="14"/>
                <w:szCs w:val="14"/>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Three months ended:</w:t>
            </w: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30, 2012</w:t>
            </w:r>
          </w:p>
        </w:tc>
        <w:tc>
          <w:tcPr>
            <w:tcW w:w="188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90"/>
              </w:rPr>
              <w:t>$150,629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97,938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83,062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331,629</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331,629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April 30, 2011</w:t>
            </w:r>
          </w:p>
        </w:tc>
        <w:tc>
          <w:tcPr>
            <w:tcW w:w="1880" w:type="dxa"/>
            <w:vAlign w:val="bottom"/>
          </w:tcPr>
          <w:p>
            <w:pPr>
              <w:jc w:val="center"/>
              <w:ind w:left="756"/>
              <w:spacing w:after="0"/>
              <w:rPr>
                <w:sz w:val="20"/>
                <w:szCs w:val="20"/>
                <w:color w:val="auto"/>
              </w:rPr>
            </w:pPr>
            <w:r>
              <w:rPr>
                <w:rFonts w:ascii="Arial" w:cs="Arial" w:eastAsia="Arial" w:hAnsi="Arial"/>
                <w:sz w:val="18"/>
                <w:szCs w:val="18"/>
                <w:color w:val="auto"/>
                <w:w w:val="90"/>
              </w:rPr>
              <w:t>$149,217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w w:val="86"/>
              </w:rPr>
              <w:t>105,894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9"/>
              <w:spacing w:after="0"/>
              <w:rPr>
                <w:sz w:val="20"/>
                <w:szCs w:val="20"/>
                <w:color w:val="auto"/>
              </w:rPr>
            </w:pPr>
            <w:r>
              <w:rPr>
                <w:rFonts w:ascii="Arial" w:cs="Arial" w:eastAsia="Arial" w:hAnsi="Arial"/>
                <w:sz w:val="18"/>
                <w:szCs w:val="18"/>
                <w:color w:val="auto"/>
              </w:rPr>
              <w:t>82,785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337,896</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337,896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April 30, 2012</w:t>
            </w:r>
          </w:p>
        </w:tc>
        <w:tc>
          <w:tcPr>
            <w:tcW w:w="1880" w:type="dxa"/>
            <w:vAlign w:val="bottom"/>
          </w:tcPr>
          <w:p>
            <w:pPr>
              <w:jc w:val="center"/>
              <w:ind w:left="756"/>
              <w:spacing w:after="0"/>
              <w:rPr>
                <w:sz w:val="20"/>
                <w:szCs w:val="20"/>
                <w:color w:val="auto"/>
              </w:rPr>
            </w:pPr>
            <w:r>
              <w:rPr>
                <w:rFonts w:ascii="Arial" w:cs="Arial" w:eastAsia="Arial" w:hAnsi="Arial"/>
                <w:sz w:val="18"/>
                <w:szCs w:val="18"/>
                <w:color w:val="auto"/>
                <w:w w:val="90"/>
              </w:rPr>
              <w:t>$442,896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6"/>
              <w:spacing w:after="0"/>
              <w:rPr>
                <w:sz w:val="20"/>
                <w:szCs w:val="20"/>
                <w:color w:val="auto"/>
              </w:rPr>
            </w:pPr>
            <w:r>
              <w:rPr>
                <w:rFonts w:ascii="Arial" w:cs="Arial" w:eastAsia="Arial" w:hAnsi="Arial"/>
                <w:sz w:val="18"/>
                <w:szCs w:val="18"/>
                <w:color w:val="auto"/>
                <w:w w:val="86"/>
              </w:rPr>
              <w:t>290,887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9"/>
              <w:spacing w:after="0"/>
              <w:rPr>
                <w:sz w:val="20"/>
                <w:szCs w:val="20"/>
                <w:color w:val="auto"/>
              </w:rPr>
            </w:pPr>
            <w:r>
              <w:rPr>
                <w:rFonts w:ascii="Arial" w:cs="Arial" w:eastAsia="Arial" w:hAnsi="Arial"/>
                <w:sz w:val="18"/>
                <w:szCs w:val="18"/>
                <w:color w:val="auto"/>
                <w:w w:val="86"/>
              </w:rPr>
              <w:t>267,938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w w:val="84"/>
              </w:rPr>
              <w:t>1,001,721</w:t>
            </w:r>
          </w:p>
        </w:tc>
        <w:tc>
          <w:tcPr>
            <w:tcW w:w="1080" w:type="dxa"/>
            <w:vAlign w:val="bottom"/>
          </w:tcPr>
          <w:p>
            <w:pPr>
              <w:ind w:left="6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6"/>
              <w:spacing w:after="0"/>
              <w:rPr>
                <w:sz w:val="20"/>
                <w:szCs w:val="20"/>
                <w:color w:val="auto"/>
              </w:rPr>
            </w:pPr>
            <w:r>
              <w:rPr>
                <w:rFonts w:ascii="Arial" w:cs="Arial" w:eastAsia="Arial" w:hAnsi="Arial"/>
                <w:sz w:val="18"/>
                <w:szCs w:val="18"/>
                <w:color w:val="auto"/>
                <w:w w:val="84"/>
              </w:rPr>
              <w:t>1,001,721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April 30, 2011</w:t>
            </w:r>
          </w:p>
        </w:tc>
        <w:tc>
          <w:tcPr>
            <w:tcW w:w="188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90"/>
              </w:rPr>
              <w:t>$431,216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6"/>
              </w:rPr>
              <w:t>301,985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86"/>
              </w:rPr>
              <w:t>263,292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996,493</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996,493</w:t>
            </w:r>
          </w:p>
        </w:tc>
        <w:tc>
          <w:tcPr>
            <w:tcW w:w="0" w:type="dxa"/>
            <w:vAlign w:val="bottom"/>
          </w:tcPr>
          <w:p>
            <w:pPr>
              <w:spacing w:after="0"/>
              <w:rPr>
                <w:sz w:val="1"/>
                <w:szCs w:val="1"/>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SALES INFORMATION</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April 30, 2012: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Base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Currency</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Acquisitions/Divestitures</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3"/>
        </w:trPr>
        <w:tc>
          <w:tcPr>
            <w:tcW w:w="5060" w:type="dxa"/>
            <w:vAlign w:val="bottom"/>
            <w:gridSpan w:val="3"/>
          </w:tcPr>
          <w:p>
            <w:pPr>
              <w:spacing w:after="0"/>
              <w:rPr>
                <w:sz w:val="20"/>
                <w:szCs w:val="20"/>
                <w:color w:val="auto"/>
              </w:rPr>
            </w:pPr>
            <w:r>
              <w:rPr>
                <w:rFonts w:ascii="Arial" w:cs="Arial" w:eastAsia="Arial" w:hAnsi="Arial"/>
                <w:sz w:val="18"/>
                <w:szCs w:val="18"/>
                <w:color w:val="auto"/>
              </w:rPr>
              <w:t>Nine months ended April 30, 2012:</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Acquisitions/Divestitures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April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38,887</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25,571</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6,598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71,056</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(388)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70,668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April 30,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38,292</w:t>
            </w: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28,938</w:t>
            </w:r>
          </w:p>
        </w:tc>
        <w:tc>
          <w:tcPr>
            <w:tcW w:w="1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9,976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77,206</w:t>
            </w:r>
          </w:p>
        </w:tc>
        <w:tc>
          <w:tcPr>
            <w:tcW w:w="1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rPr>
              <w:t>(3,561)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73,645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change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-33.9%</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3"/>
        </w:trPr>
        <w:tc>
          <w:tcPr>
            <w:tcW w:w="5060" w:type="dxa"/>
            <w:vAlign w:val="bottom"/>
            <w:gridSpan w:val="3"/>
          </w:tcPr>
          <w:p>
            <w:pPr>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April 30,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117,914</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78,432</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27,635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223,981</w:t>
            </w:r>
          </w:p>
        </w:tc>
        <w:tc>
          <w:tcPr>
            <w:tcW w:w="16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(6,009)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April 30, 2011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108,666</w:t>
            </w:r>
          </w:p>
        </w:tc>
        <w:tc>
          <w:tcPr>
            <w:tcW w:w="26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82,165</w:t>
            </w:r>
          </w:p>
        </w:tc>
        <w:tc>
          <w:tcPr>
            <w:tcW w:w="1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38,330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79"/>
              </w:rPr>
              <w:t>229,161</w:t>
            </w:r>
          </w:p>
        </w:tc>
        <w:tc>
          <w:tcPr>
            <w:tcW w:w="1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5"/>
          </w:tcPr>
          <w:p>
            <w:pPr>
              <w:jc w:val="right"/>
              <w:ind w:right="60"/>
              <w:spacing w:after="0"/>
              <w:rPr>
                <w:sz w:val="20"/>
                <w:szCs w:val="20"/>
                <w:color w:val="auto"/>
              </w:rPr>
            </w:pPr>
            <w:r>
              <w:rPr>
                <w:rFonts w:ascii="Arial" w:cs="Arial" w:eastAsia="Arial" w:hAnsi="Arial"/>
                <w:sz w:val="18"/>
                <w:szCs w:val="18"/>
                <w:color w:val="auto"/>
                <w:w w:val="89"/>
              </w:rPr>
              <w:t>(12,087)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217,074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Percentage change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-27.9%</w:t>
            </w: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76"/>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NET INCOME RECONCILIATION </w:t>
            </w:r>
            <w:r>
              <w:rPr>
                <w:rFonts w:ascii="Arial" w:cs="Arial" w:eastAsia="Arial" w:hAnsi="Arial"/>
                <w:sz w:val="18"/>
                <w:szCs w:val="18"/>
                <w:color w:val="auto"/>
              </w:rPr>
              <w:t>(in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color w:val="auto"/>
                <w:w w:val="90"/>
              </w:rPr>
              <w:t>Three months ended:</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4"/>
                <w:szCs w:val="14"/>
                <w:color w:val="auto"/>
              </w:rPr>
              <w:t>Nine months ended:</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gridSpan w:val="4"/>
          </w:tcPr>
          <w:p>
            <w:pPr>
              <w:jc w:val="center"/>
              <w:spacing w:after="0" w:line="145" w:lineRule="exact"/>
              <w:rPr>
                <w:sz w:val="20"/>
                <w:szCs w:val="20"/>
                <w:color w:val="auto"/>
              </w:rPr>
            </w:pPr>
            <w:r>
              <w:rPr>
                <w:rFonts w:ascii="Arial" w:cs="Arial" w:eastAsia="Arial" w:hAnsi="Arial"/>
                <w:sz w:val="14"/>
                <w:szCs w:val="14"/>
                <w:color w:val="auto"/>
                <w:w w:val="93"/>
              </w:rPr>
              <w:t>April 30,</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4"/>
          </w:tcPr>
          <w:p>
            <w:pPr>
              <w:jc w:val="center"/>
              <w:ind w:right="20"/>
              <w:spacing w:after="0" w:line="145" w:lineRule="exact"/>
              <w:rPr>
                <w:sz w:val="20"/>
                <w:szCs w:val="20"/>
                <w:color w:val="auto"/>
              </w:rPr>
            </w:pPr>
            <w:r>
              <w:rPr>
                <w:rFonts w:ascii="Arial" w:cs="Arial" w:eastAsia="Arial" w:hAnsi="Arial"/>
                <w:sz w:val="14"/>
                <w:szCs w:val="14"/>
                <w:color w:val="auto"/>
                <w:w w:val="97"/>
              </w:rPr>
              <w:t>April 30,</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April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6"/>
          </w:tcPr>
          <w:p>
            <w:pPr>
              <w:jc w:val="right"/>
              <w:ind w:right="660"/>
              <w:spacing w:after="0" w:line="145" w:lineRule="exact"/>
              <w:rPr>
                <w:sz w:val="20"/>
                <w:szCs w:val="20"/>
                <w:color w:val="auto"/>
              </w:rPr>
            </w:pPr>
            <w:r>
              <w:rPr>
                <w:rFonts w:ascii="Arial" w:cs="Arial" w:eastAsia="Arial" w:hAnsi="Arial"/>
                <w:sz w:val="14"/>
                <w:szCs w:val="14"/>
                <w:color w:val="auto"/>
                <w:w w:val="93"/>
              </w:rPr>
              <w:t>April 30,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0"/>
              <w:spacing w:after="0" w:line="159" w:lineRule="exact"/>
              <w:rPr>
                <w:sz w:val="20"/>
                <w:szCs w:val="20"/>
                <w:color w:val="auto"/>
              </w:rPr>
            </w:pPr>
            <w:r>
              <w:rPr>
                <w:rFonts w:ascii="Arial" w:cs="Arial" w:eastAsia="Arial" w:hAnsi="Arial"/>
                <w:sz w:val="14"/>
                <w:szCs w:val="14"/>
                <w:color w:val="auto"/>
                <w:w w:val="83"/>
              </w:rPr>
              <w:t>2011</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3"/>
              </w:rPr>
              <w:t>2012</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3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71,056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77,206</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lef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223,981</w:t>
            </w:r>
          </w:p>
        </w:tc>
        <w:tc>
          <w:tcPr>
            <w:tcW w:w="80" w:type="dxa"/>
            <w:vAlign w:val="bottom"/>
            <w:shd w:val="clear" w:color="auto" w:fill="CCEEFF"/>
          </w:tcPr>
          <w:p>
            <w:pPr>
              <w:spacing w:after="0"/>
              <w:rPr>
                <w:sz w:val="18"/>
                <w:szCs w:val="18"/>
                <w:color w:val="auto"/>
              </w:rPr>
            </w:pPr>
          </w:p>
        </w:tc>
        <w:tc>
          <w:tcPr>
            <w:tcW w:w="1180" w:type="dxa"/>
            <w:vAlign w:val="bottom"/>
            <w:gridSpan w:val="7"/>
            <w:shd w:val="clear" w:color="auto" w:fill="CCEEFF"/>
          </w:tcPr>
          <w:p>
            <w:pPr>
              <w:jc w:val="right"/>
              <w:ind w:right="100"/>
              <w:spacing w:after="0"/>
              <w:rPr>
                <w:sz w:val="20"/>
                <w:szCs w:val="20"/>
                <w:color w:val="auto"/>
              </w:rPr>
            </w:pPr>
            <w:r>
              <w:rPr>
                <w:rFonts w:ascii="Arial" w:cs="Arial" w:eastAsia="Arial" w:hAnsi="Arial"/>
                <w:sz w:val="18"/>
                <w:szCs w:val="18"/>
                <w:color w:val="auto"/>
              </w:rPr>
              <w:t>$229,161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(388)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(3,561)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(6,009)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(12,087)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Administrative costs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9"/>
              </w:rPr>
              <w:t>(26,275)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89"/>
              </w:rPr>
              <w:t>(31,563)</w:t>
            </w:r>
          </w:p>
        </w:tc>
        <w:tc>
          <w:tcPr>
            <w:tcW w:w="48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(85,999)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(90,534)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(1,211)</w:t>
            </w: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4"/>
              </w:rPr>
              <w:t>(3,440)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Impairment charge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w w:val="90"/>
              </w:rPr>
              <w:t>(115,688)</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and other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1,110</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(4,735)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(5,103)</w:t>
            </w:r>
          </w:p>
        </w:tc>
        <w:tc>
          <w:tcPr>
            <w:tcW w:w="48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(14,715)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(16,640)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37,328</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37,196</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9"/>
              </w:rPr>
              <w:t>105,806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(9,676)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(8,607)</w:t>
            </w:r>
          </w:p>
        </w:tc>
        <w:tc>
          <w:tcPr>
            <w:tcW w:w="480" w:type="dxa"/>
            <w:vAlign w:val="bottom"/>
          </w:tcPr>
          <w:p>
            <w:pPr>
              <w:spacing w:after="0"/>
              <w:rPr>
                <w:sz w:val="18"/>
                <w:szCs w:val="18"/>
                <w:color w:val="auto"/>
              </w:rPr>
            </w:pPr>
          </w:p>
        </w:tc>
        <w:tc>
          <w:tcPr>
            <w:tcW w:w="760" w:type="dxa"/>
            <w:vAlign w:val="bottom"/>
            <w:gridSpan w:val="5"/>
          </w:tcPr>
          <w:p>
            <w:pPr>
              <w:jc w:val="right"/>
              <w:ind w:right="40"/>
              <w:spacing w:after="0"/>
              <w:rPr>
                <w:sz w:val="20"/>
                <w:szCs w:val="20"/>
                <w:color w:val="auto"/>
              </w:rPr>
            </w:pPr>
            <w:r>
              <w:rPr>
                <w:rFonts w:ascii="Arial" w:cs="Arial" w:eastAsia="Arial" w:hAnsi="Arial"/>
                <w:sz w:val="18"/>
                <w:szCs w:val="18"/>
                <w:color w:val="auto"/>
              </w:rPr>
              <w:t>(29,420)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95"/>
              </w:rPr>
              <w:t>(26,737)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27,652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28,589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lef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(29,570)</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79,069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6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Brady is presenting EBITDA because it is used by many of our investors and lenders, and is presented as a convenience to them. EBITDA represents net income before interest expense, income taxes, depreciation and amortization and non-cash impairment charges. EBITDA is not a calculation based on generally accepted accounting principles ("GAAP"). The amounts included in the EBITDA calculation, however, are derived from amounts included in the Condensed Consolidated Statements of Income data. EBITDA should not be considered as an alternative to net income or operating income as an indicator of the Company's operating performance, or as an alternative to operating cash flows as a measure of liquidity. The EBITDA measure presented may not always be comparable to similarly titled measures reported by other companies due to differences in the components of the calculation.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6"/>
              </w:rPr>
              <w:t>Fiscal 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Q1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Q3</w:t>
            </w:r>
          </w:p>
        </w:tc>
        <w:tc>
          <w:tcPr>
            <w:tcW w:w="100" w:type="dxa"/>
            <w:vAlign w:val="bottom"/>
          </w:tcPr>
          <w:p>
            <w:pPr>
              <w:spacing w:after="0"/>
              <w:rPr>
                <w:sz w:val="12"/>
                <w:szCs w:val="12"/>
                <w:color w:val="auto"/>
              </w:rPr>
            </w:pPr>
          </w:p>
        </w:tc>
        <w:tc>
          <w:tcPr>
            <w:tcW w:w="4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680" w:type="dxa"/>
            <w:vAlign w:val="bottom"/>
          </w:tcPr>
          <w:p>
            <w:pPr>
              <w:jc w:val="right"/>
              <w:ind w:right="126"/>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Net income (loss)</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$32,732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(89,954)</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$27,652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 (29,570)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4,735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14,715</w:t>
            </w:r>
          </w:p>
        </w:tc>
        <w:tc>
          <w:tcPr>
            <w:tcW w:w="0" w:type="dxa"/>
            <w:vAlign w:val="bottom"/>
          </w:tcPr>
          <w:p>
            <w:pPr>
              <w:spacing w:after="0"/>
              <w:rPr>
                <w:sz w:val="1"/>
                <w:szCs w:val="1"/>
                <w:color w:val="auto"/>
              </w:rPr>
            </w:pP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11,109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8,635</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9,676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29,420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32,921</w:t>
            </w:r>
          </w:p>
        </w:tc>
        <w:tc>
          <w:tcPr>
            <w:tcW w:w="0" w:type="dxa"/>
            <w:vAlign w:val="bottom"/>
          </w:tcPr>
          <w:p>
            <w:pPr>
              <w:spacing w:after="0"/>
              <w:rPr>
                <w:sz w:val="1"/>
                <w:szCs w:val="1"/>
                <w:color w:val="auto"/>
              </w:rPr>
            </w:pPr>
          </w:p>
        </w:tc>
      </w:tr>
      <w:tr>
        <w:trPr>
          <w:trHeight w:val="223"/>
        </w:trPr>
        <w:tc>
          <w:tcPr>
            <w:tcW w:w="7020" w:type="dxa"/>
            <w:vAlign w:val="bottom"/>
          </w:tcPr>
          <w:p>
            <w:pPr>
              <w:ind w:left="880"/>
              <w:spacing w:after="0"/>
              <w:rPr>
                <w:sz w:val="20"/>
                <w:szCs w:val="20"/>
                <w:color w:val="auto"/>
              </w:rPr>
            </w:pPr>
            <w:r>
              <w:rPr>
                <w:rFonts w:ascii="Arial" w:cs="Arial" w:eastAsia="Arial" w:hAnsi="Arial"/>
                <w:sz w:val="18"/>
                <w:szCs w:val="18"/>
                <w:color w:val="auto"/>
              </w:rPr>
              <w:t>Impairment charge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115,688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EBITDA (non-GAAP measure)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60,129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50,237</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163,174</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color w:val="auto"/>
                <w:w w:val="86"/>
              </w:rPr>
              <w:t>Fiscal 2011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color w:val="auto"/>
              </w:rPr>
              <w:t>Q1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rPr>
              <w:t>Q2</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85"/>
              </w:rPr>
              <w:t>Q3</w:t>
            </w:r>
          </w:p>
        </w:tc>
        <w:tc>
          <w:tcPr>
            <w:tcW w:w="100" w:type="dxa"/>
            <w:vAlign w:val="bottom"/>
          </w:tcPr>
          <w:p>
            <w:pPr>
              <w:spacing w:after="0"/>
              <w:rPr>
                <w:sz w:val="12"/>
                <w:szCs w:val="12"/>
                <w:color w:val="auto"/>
              </w:rPr>
            </w:pPr>
          </w:p>
        </w:tc>
        <w:tc>
          <w:tcPr>
            <w:tcW w:w="48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Q4</w:t>
            </w:r>
          </w:p>
        </w:tc>
        <w:tc>
          <w:tcPr>
            <w:tcW w:w="320" w:type="dxa"/>
            <w:vAlign w:val="bottom"/>
          </w:tcPr>
          <w:p>
            <w:pPr>
              <w:spacing w:after="0"/>
              <w:rPr>
                <w:sz w:val="12"/>
                <w:szCs w:val="12"/>
                <w:color w:val="auto"/>
              </w:rPr>
            </w:pPr>
          </w:p>
        </w:tc>
        <w:tc>
          <w:tcPr>
            <w:tcW w:w="680" w:type="dxa"/>
            <w:vAlign w:val="bottom"/>
          </w:tcPr>
          <w:p>
            <w:pPr>
              <w:jc w:val="right"/>
              <w:ind w:right="126"/>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24,199</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$28,589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29,583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$108,652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22,124</w:t>
            </w:r>
          </w:p>
        </w:tc>
        <w:tc>
          <w:tcPr>
            <w:tcW w:w="0" w:type="dxa"/>
            <w:vAlign w:val="bottom"/>
          </w:tcPr>
          <w:p>
            <w:pPr>
              <w:spacing w:after="0"/>
              <w:rPr>
                <w:sz w:val="1"/>
                <w:szCs w:val="1"/>
                <w:color w:val="auto"/>
              </w:rPr>
            </w:pP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Income taxes</w:t>
            </w:r>
          </w:p>
        </w:tc>
        <w:tc>
          <w:tcPr>
            <w:tcW w:w="580" w:type="dxa"/>
            <w:vAlign w:val="bottom"/>
          </w:tcPr>
          <w:p>
            <w:pPr>
              <w:jc w:val="right"/>
              <w:spacing w:after="0"/>
              <w:rPr>
                <w:sz w:val="20"/>
                <w:szCs w:val="20"/>
                <w:color w:val="auto"/>
              </w:rPr>
            </w:pPr>
            <w:r>
              <w:rPr>
                <w:rFonts w:ascii="Arial" w:cs="Arial" w:eastAsia="Arial" w:hAnsi="Arial"/>
                <w:sz w:val="18"/>
                <w:szCs w:val="18"/>
                <w:color w:val="auto"/>
              </w:rPr>
              <w:t>9,925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8,205</w:t>
            </w:r>
          </w:p>
        </w:tc>
        <w:tc>
          <w:tcPr>
            <w:tcW w:w="18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8,669</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35,406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11,305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48,827</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40"/>
              <w:spacing w:after="0"/>
              <w:rPr>
                <w:sz w:val="20"/>
                <w:szCs w:val="20"/>
                <w:color w:val="auto"/>
              </w:rPr>
            </w:pPr>
            <w:r>
              <w:rPr>
                <w:rFonts w:ascii="Arial" w:cs="Arial" w:eastAsia="Arial" w:hAnsi="Arial"/>
                <w:sz w:val="18"/>
                <w:szCs w:val="18"/>
                <w:color w:val="auto"/>
              </w:rPr>
              <w:t>EBITDA (non-GAAP measure)</w:t>
            </w: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54,487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51,162</w:t>
            </w:r>
          </w:p>
        </w:tc>
        <w:tc>
          <w:tcPr>
            <w:tcW w:w="180" w:type="dxa"/>
            <w:vAlign w:val="bottom"/>
          </w:tcPr>
          <w:p>
            <w:pPr>
              <w:spacing w:after="0"/>
              <w:rPr>
                <w:sz w:val="19"/>
                <w:szCs w:val="19"/>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54,319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55,041</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215,009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Diluted Earnings Per Share Excluding Impairment and Restructuring Charges:</w:t>
      </w:r>
    </w:p>
    <w:p>
      <w:pPr>
        <w:spacing w:after="0" w:line="96" w:lineRule="exact"/>
        <w:rPr>
          <w:sz w:val="20"/>
          <w:szCs w:val="20"/>
          <w:color w:val="auto"/>
        </w:rPr>
      </w:pPr>
    </w:p>
    <w:p>
      <w:pPr>
        <w:ind w:right="520"/>
        <w:spacing w:after="0" w:line="323" w:lineRule="auto"/>
        <w:rPr>
          <w:sz w:val="20"/>
          <w:szCs w:val="20"/>
          <w:color w:val="auto"/>
        </w:rPr>
      </w:pPr>
      <w:r>
        <w:rPr>
          <w:rFonts w:ascii="Arial" w:cs="Arial" w:eastAsia="Arial" w:hAnsi="Arial"/>
          <w:sz w:val="15"/>
          <w:szCs w:val="15"/>
          <w:color w:val="auto"/>
        </w:rPr>
        <w:t>This is a measure of the Company’s diluted net earnings per share excluding the current year Asia non-cash goodwill impairment charge and prior year restructuring charges. We do not view these items to be part of our sustainable results. We believe this earnings per share measure provides an important perspective of underlying business trends and results and provides a more comparable measure of year-on-year earnings per share growth. The table below provides a reconciliation of diluted net earnings per share to diluted earnings per share excluding the impairment charge and restructuring charges: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color w:val="auto"/>
                <w:w w:val="94"/>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center"/>
              <w:ind w:right="200"/>
              <w:spacing w:after="0"/>
              <w:rPr>
                <w:sz w:val="20"/>
                <w:szCs w:val="20"/>
                <w:color w:val="auto"/>
              </w:rPr>
            </w:pPr>
            <w:r>
              <w:rPr>
                <w:rFonts w:ascii="Arial" w:cs="Arial" w:eastAsia="Arial" w:hAnsi="Arial"/>
                <w:sz w:val="14"/>
                <w:szCs w:val="14"/>
                <w:color w:val="auto"/>
                <w:w w:val="87"/>
              </w:rPr>
              <w:t>Nine Months Ended</w:t>
            </w:r>
          </w:p>
        </w:tc>
      </w:tr>
      <w:tr>
        <w:trPr>
          <w:trHeight w:val="159"/>
        </w:trPr>
        <w:tc>
          <w:tcPr>
            <w:tcW w:w="7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340"/>
              <w:spacing w:after="0" w:line="159" w:lineRule="exact"/>
              <w:rPr>
                <w:sz w:val="20"/>
                <w:szCs w:val="20"/>
                <w:color w:val="auto"/>
              </w:rPr>
            </w:pPr>
            <w:r>
              <w:rPr>
                <w:rFonts w:ascii="Arial" w:cs="Arial" w:eastAsia="Arial" w:hAnsi="Arial"/>
                <w:sz w:val="14"/>
                <w:szCs w:val="14"/>
                <w:color w:val="auto"/>
                <w:w w:val="97"/>
              </w:rPr>
              <w:t>April 30,</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93"/>
              </w:rPr>
              <w:t>April 30,</w:t>
            </w:r>
          </w:p>
        </w:tc>
      </w:tr>
      <w:tr>
        <w:trPr>
          <w:trHeight w:val="142"/>
        </w:trPr>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3"/>
              </w:rPr>
              <w:t>2011</w:t>
            </w: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7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(0.57)</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$ 1.49</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Non-Cash Goodwill Impairment</w:t>
            </w:r>
          </w:p>
        </w:tc>
        <w:tc>
          <w:tcPr>
            <w:tcW w:w="100" w:type="dxa"/>
            <w:vAlign w:val="bottom"/>
          </w:tcPr>
          <w:p>
            <w:pPr>
              <w:spacing w:after="0"/>
              <w:rPr>
                <w:sz w:val="18"/>
                <w:szCs w:val="18"/>
                <w:color w:val="auto"/>
              </w:rPr>
            </w:pPr>
          </w:p>
        </w:tc>
        <w:tc>
          <w:tcPr>
            <w:tcW w:w="38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2.21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r>
      <w:tr>
        <w:trPr>
          <w:trHeight w:val="223"/>
        </w:trPr>
        <w:tc>
          <w:tcPr>
            <w:tcW w:w="7340" w:type="dxa"/>
            <w:vAlign w:val="bottom"/>
          </w:tcPr>
          <w:p>
            <w:pPr>
              <w:ind w:left="440"/>
              <w:spacing w:after="0"/>
              <w:rPr>
                <w:sz w:val="20"/>
                <w:szCs w:val="20"/>
                <w:color w:val="auto"/>
              </w:rPr>
            </w:pPr>
            <w:r>
              <w:rPr>
                <w:rFonts w:ascii="Arial" w:cs="Arial" w:eastAsia="Arial" w:hAnsi="Arial"/>
                <w:sz w:val="18"/>
                <w:szCs w:val="18"/>
                <w:b w:val="1"/>
                <w:bCs w:val="1"/>
                <w:color w:val="auto"/>
              </w:rPr>
              <w:t>Diluted Earnings per Share Excluding</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Impairment and Restructuring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1.69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$ 1.58</w:t>
            </w:r>
          </w:p>
        </w:tc>
        <w:tc>
          <w:tcPr>
            <w:tcW w:w="100" w:type="dxa"/>
            <w:vAlign w:val="bottom"/>
            <w:shd w:val="clear" w:color="auto" w:fill="CCEEFF"/>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Excluding Impairment and Restructuring Charges: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is a measure of the Company’s net income excluding the current year Asia non-cash goodwill impairment charge and prior year restructuring charges. We do not view these items to be part of our sustainable results. We believe this net income measure provides an important perspective of underlying business trends and results and provides a more comparable measure of year-on-year net income growth. The table below provides a reconciliation of net income to net income excluding the impairment charge and restructuring charges:</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color w:val="auto"/>
                <w:w w:val="87"/>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ind w:left="180"/>
              <w:spacing w:after="0"/>
              <w:rPr>
                <w:sz w:val="20"/>
                <w:szCs w:val="20"/>
                <w:color w:val="auto"/>
              </w:rPr>
            </w:pPr>
            <w:r>
              <w:rPr>
                <w:rFonts w:ascii="Arial" w:cs="Arial" w:eastAsia="Arial" w:hAnsi="Arial"/>
                <w:sz w:val="14"/>
                <w:szCs w:val="14"/>
                <w:color w:val="auto"/>
              </w:rPr>
              <w:t>Nine Months Ended</w:t>
            </w:r>
          </w:p>
        </w:tc>
      </w:tr>
      <w:tr>
        <w:trPr>
          <w:trHeight w:val="159"/>
        </w:trPr>
        <w:tc>
          <w:tcPr>
            <w:tcW w:w="5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40" w:type="dxa"/>
            <w:vAlign w:val="bottom"/>
            <w:gridSpan w:val="5"/>
          </w:tcPr>
          <w:p>
            <w:pPr>
              <w:jc w:val="center"/>
              <w:ind w:right="200"/>
              <w:spacing w:after="0" w:line="159" w:lineRule="exact"/>
              <w:rPr>
                <w:sz w:val="20"/>
                <w:szCs w:val="20"/>
                <w:color w:val="auto"/>
              </w:rPr>
            </w:pPr>
            <w:r>
              <w:rPr>
                <w:rFonts w:ascii="Arial" w:cs="Arial" w:eastAsia="Arial" w:hAnsi="Arial"/>
                <w:sz w:val="14"/>
                <w:szCs w:val="14"/>
                <w:color w:val="auto"/>
                <w:w w:val="97"/>
              </w:rPr>
              <w:t>April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April 30,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$27,652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$28,589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(29,570)</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$79,069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Non-Cash Goodwill Impairment</w:t>
            </w:r>
          </w:p>
        </w:tc>
        <w:tc>
          <w:tcPr>
            <w:tcW w:w="14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82"/>
              </w:rPr>
              <w:t>115,688</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Restructuring Charges</w:t>
            </w:r>
          </w:p>
        </w:tc>
        <w:tc>
          <w:tcPr>
            <w:tcW w:w="2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2,683</w:t>
            </w:r>
          </w:p>
        </w:tc>
        <w:tc>
          <w:tcPr>
            <w:tcW w:w="9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Arial" w:cs="Arial" w:eastAsia="Arial" w:hAnsi="Arial"/>
                <w:sz w:val="18"/>
                <w:szCs w:val="18"/>
                <w:b w:val="1"/>
                <w:bCs w:val="1"/>
                <w:color w:val="auto"/>
              </w:rPr>
              <w:t>Net Income Excluding</w:t>
            </w:r>
          </w:p>
        </w:tc>
        <w:tc>
          <w:tcPr>
            <w:tcW w:w="14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Impairment and Restructuring Charges</w:t>
            </w:r>
          </w:p>
        </w:tc>
        <w:tc>
          <w:tcPr>
            <w:tcW w:w="2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30,335</w:t>
            </w:r>
          </w:p>
        </w:tc>
        <w:tc>
          <w:tcPr>
            <w:tcW w:w="96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29,461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98"/>
              </w:rPr>
              <w:t>88,801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84,063</w:t>
            </w:r>
          </w:p>
        </w:tc>
        <w:tc>
          <w:tcPr>
            <w:tcW w:w="10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All reconciling items are presented net of tax. Tax effects are calculated consistent with the nature of the underlying transaction.</w:t>
      </w:r>
    </w:p>
    <w:p>
      <w:pPr>
        <w:sectPr>
          <w:pgSz w:w="11900" w:h="16838" w:orient="portrait"/>
          <w:cols w:equalWidth="0" w:num="1">
            <w:col w:w="11400"/>
          </w:cols>
          <w:pgMar w:left="240" w:top="274" w:right="259" w:bottom="1440" w:gutter="0" w:footer="0" w:header="0"/>
        </w:sectPr>
      </w:pPr>
    </w:p>
    <w:bookmarkStart w:id="13" w:name="page14"/>
    <w:bookmarkEnd w:id="13"/>
    <w:p>
      <w:pPr>
        <w:ind w:left="922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147320</wp:posOffset>
            </wp:positionV>
            <wp:extent cx="6174740" cy="9321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9321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4740" cy="9321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2019-12-09T08:45:12Z</dcterms:created>
  <dcterms:modified xsi:type="dcterms:W3CDTF">2019-12-09T08:45:12Z</dcterms:modified>
</cp:coreProperties>
</file>