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18, 2008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919"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20"/>
          </w:cols>
          <w:pgMar w:left="240" w:top="919" w:right="23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(17CFR 240.14d-2(b))</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1.01 ENTRY INTO A MATERIAL DEFINITIVE AGREEMENT</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March 18, 2008, Brady Corporation (the “Corporation”) and certain of its subsidiaries entered into an amendment of the Corporation’s revolving loan agreement with the various lenders thereto pursuant to which the maturity date of the revolving loan agreement has been extended from October 5, 2011 to March 18, 2013. The above description of the amendment is qualified in its entirety by reference to the full text of the amendment, a copy of which is being furnished to the Securities and Exchange Commission as Exhibit 10.1 attached herewith and is incorporated herein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rPr>
          <w:sz w:val="20"/>
          <w:szCs w:val="20"/>
          <w:color w:val="auto"/>
        </w:rPr>
      </w:pPr>
      <w:r>
        <w:rPr>
          <w:rFonts w:ascii="Arial" w:cs="Arial" w:eastAsia="Arial" w:hAnsi="Arial"/>
          <w:sz w:val="18"/>
          <w:szCs w:val="18"/>
          <w:color w:val="auto"/>
        </w:rPr>
        <w:t>(c)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rPr>
              <w:t>Exhibit No.</w:t>
            </w:r>
          </w:p>
        </w:tc>
        <w:tc>
          <w:tcPr>
            <w:tcW w:w="10700" w:type="dxa"/>
            <w:vAlign w:val="bottom"/>
            <w:gridSpan w:val="2"/>
          </w:tcPr>
          <w:p>
            <w:pPr>
              <w:ind w:left="320"/>
              <w:spacing w:after="0"/>
              <w:rPr>
                <w:sz w:val="20"/>
                <w:szCs w:val="20"/>
                <w:color w:val="auto"/>
              </w:rPr>
            </w:pPr>
            <w:r>
              <w:rPr>
                <w:rFonts w:ascii="Arial" w:cs="Arial" w:eastAsia="Arial" w:hAnsi="Arial"/>
                <w:sz w:val="14"/>
                <w:szCs w:val="14"/>
                <w:color w:val="auto"/>
              </w:rPr>
              <w:t>Description of Exhibit</w:t>
            </w:r>
          </w:p>
        </w:tc>
      </w:tr>
      <w:tr>
        <w:trPr>
          <w:trHeight w:val="20"/>
        </w:trPr>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380" w:type="dxa"/>
            <w:vAlign w:val="bottom"/>
            <w:shd w:val="clear" w:color="auto" w:fill="000000"/>
          </w:tcPr>
          <w:p>
            <w:pPr>
              <w:spacing w:after="0" w:line="20" w:lineRule="exact"/>
              <w:rPr>
                <w:sz w:val="1"/>
                <w:szCs w:val="1"/>
                <w:color w:val="auto"/>
              </w:rPr>
            </w:pPr>
          </w:p>
        </w:tc>
      </w:tr>
      <w:tr>
        <w:trPr>
          <w:trHeight w:val="412"/>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700" w:type="dxa"/>
            <w:vAlign w:val="bottom"/>
            <w:gridSpan w:val="2"/>
          </w:tcPr>
          <w:p>
            <w:pPr>
              <w:ind w:left="320"/>
              <w:spacing w:after="0"/>
              <w:rPr>
                <w:sz w:val="20"/>
                <w:szCs w:val="20"/>
                <w:color w:val="auto"/>
              </w:rPr>
            </w:pPr>
            <w:r>
              <w:rPr>
                <w:rFonts w:ascii="Arial" w:cs="Arial" w:eastAsia="Arial" w:hAnsi="Arial"/>
                <w:sz w:val="18"/>
                <w:szCs w:val="18"/>
                <w:color w:val="auto"/>
              </w:rPr>
              <w:t>First Amendment to Revolving Credit Facility Credit Agreement, dated as of March 18, 2008</w:t>
            </w:r>
          </w:p>
        </w:tc>
      </w:tr>
      <w:tr>
        <w:trPr>
          <w:trHeight w:val="605"/>
        </w:trPr>
        <w:tc>
          <w:tcPr>
            <w:tcW w:w="7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Pr>
          <w:p>
            <w:pPr>
              <w:spacing w:after="0"/>
              <w:rPr>
                <w:sz w:val="18"/>
                <w:szCs w:val="18"/>
                <w:color w:val="auto"/>
              </w:rPr>
            </w:pPr>
          </w:p>
        </w:tc>
        <w:tc>
          <w:tcPr>
            <w:tcW w:w="7240" w:type="dxa"/>
            <w:vAlign w:val="bottom"/>
            <w:gridSpan w:val="2"/>
          </w:tcPr>
          <w:p>
            <w:pPr>
              <w:ind w:left="1700"/>
              <w:spacing w:after="0"/>
              <w:rPr>
                <w:sz w:val="20"/>
                <w:szCs w:val="20"/>
                <w:color w:val="auto"/>
              </w:rPr>
            </w:pPr>
            <w:r>
              <w:rPr>
                <w:rFonts w:ascii="Arial" w:cs="Arial" w:eastAsia="Arial" w:hAnsi="Arial"/>
                <w:sz w:val="18"/>
                <w:szCs w:val="18"/>
                <w:color w:val="auto"/>
              </w:rPr>
              <w:t>BRADY CORPORATION</w:t>
            </w:r>
          </w:p>
        </w:tc>
        <w:tc>
          <w:tcPr>
            <w:tcW w:w="760" w:type="dxa"/>
            <w:vAlign w:val="bottom"/>
          </w:tcPr>
          <w:p>
            <w:pPr>
              <w:spacing w:after="0"/>
              <w:rPr>
                <w:sz w:val="18"/>
                <w:szCs w:val="18"/>
                <w:color w:val="auto"/>
              </w:rPr>
            </w:pPr>
          </w:p>
        </w:tc>
      </w:tr>
      <w:tr>
        <w:trPr>
          <w:trHeight w:val="391"/>
        </w:trPr>
        <w:tc>
          <w:tcPr>
            <w:tcW w:w="3420" w:type="dxa"/>
            <w:vAlign w:val="bottom"/>
          </w:tcPr>
          <w:p>
            <w:pPr>
              <w:spacing w:after="0"/>
              <w:rPr>
                <w:sz w:val="20"/>
                <w:szCs w:val="20"/>
                <w:color w:val="auto"/>
              </w:rPr>
            </w:pPr>
            <w:r>
              <w:rPr>
                <w:rFonts w:ascii="Arial" w:cs="Arial" w:eastAsia="Arial" w:hAnsi="Arial"/>
                <w:sz w:val="18"/>
                <w:szCs w:val="18"/>
                <w:color w:val="auto"/>
              </w:rPr>
              <w:t>Date: March 19, 2008</w:t>
            </w:r>
          </w:p>
        </w:tc>
        <w:tc>
          <w:tcPr>
            <w:tcW w:w="2340" w:type="dxa"/>
            <w:vAlign w:val="bottom"/>
          </w:tcPr>
          <w:p>
            <w:pPr>
              <w:ind w:left="170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Felmer</w:t>
            </w:r>
          </w:p>
        </w:tc>
        <w:tc>
          <w:tcPr>
            <w:tcW w:w="760" w:type="dxa"/>
            <w:vAlign w:val="bottom"/>
          </w:tcPr>
          <w:p>
            <w:pPr>
              <w:spacing w:after="0"/>
              <w:rPr>
                <w:sz w:val="24"/>
                <w:szCs w:val="24"/>
                <w:color w:val="auto"/>
              </w:rPr>
            </w:pPr>
          </w:p>
        </w:tc>
      </w:tr>
      <w:tr>
        <w:trPr>
          <w:trHeight w:val="210"/>
        </w:trPr>
        <w:tc>
          <w:tcPr>
            <w:tcW w:w="3420" w:type="dxa"/>
            <w:vAlign w:val="bottom"/>
          </w:tcPr>
          <w:p>
            <w:pPr>
              <w:spacing w:after="0"/>
              <w:rPr>
                <w:sz w:val="18"/>
                <w:szCs w:val="18"/>
                <w:color w:val="auto"/>
              </w:rPr>
            </w:pPr>
          </w:p>
        </w:tc>
        <w:tc>
          <w:tcPr>
            <w:tcW w:w="2340" w:type="dxa"/>
            <w:vAlign w:val="bottom"/>
          </w:tcPr>
          <w:p>
            <w:pPr>
              <w:ind w:left="1700"/>
              <w:spacing w:after="0" w:line="197"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Thomas Felmer</w:t>
            </w:r>
          </w:p>
        </w:tc>
        <w:tc>
          <w:tcPr>
            <w:tcW w:w="760" w:type="dxa"/>
            <w:vAlign w:val="bottom"/>
          </w:tcPr>
          <w:p>
            <w:pPr>
              <w:spacing w:after="0"/>
              <w:rPr>
                <w:sz w:val="18"/>
                <w:szCs w:val="18"/>
                <w:color w:val="auto"/>
              </w:rPr>
            </w:pPr>
          </w:p>
        </w:tc>
      </w:tr>
      <w:tr>
        <w:trPr>
          <w:trHeight w:val="217"/>
        </w:trPr>
        <w:tc>
          <w:tcPr>
            <w:tcW w:w="3420" w:type="dxa"/>
            <w:vAlign w:val="bottom"/>
          </w:tcPr>
          <w:p>
            <w:pPr>
              <w:spacing w:after="0"/>
              <w:rPr>
                <w:sz w:val="18"/>
                <w:szCs w:val="18"/>
                <w:color w:val="auto"/>
              </w:rPr>
            </w:pPr>
          </w:p>
        </w:tc>
        <w:tc>
          <w:tcPr>
            <w:tcW w:w="2340" w:type="dxa"/>
            <w:vAlign w:val="bottom"/>
          </w:tcPr>
          <w:p>
            <w:pPr>
              <w:ind w:left="170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760" w:type="dxa"/>
            <w:vAlign w:val="bottom"/>
          </w:tcPr>
          <w:p>
            <w:pPr>
              <w:spacing w:after="0"/>
              <w:rPr>
                <w:sz w:val="18"/>
                <w:szCs w:val="18"/>
                <w:color w:val="auto"/>
              </w:rPr>
            </w:pPr>
          </w:p>
        </w:tc>
      </w:tr>
      <w:tr>
        <w:trPr>
          <w:trHeight w:val="605"/>
        </w:trPr>
        <w:tc>
          <w:tcPr>
            <w:tcW w:w="342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4" w:name="page5"/>
    <w:bookmarkEnd w:id="4"/>
    <w:p>
      <w:pPr>
        <w:ind w:left="5060"/>
        <w:spacing w:after="0"/>
        <w:rPr>
          <w:sz w:val="20"/>
          <w:szCs w:val="20"/>
          <w:color w:val="auto"/>
        </w:rPr>
      </w:pPr>
      <w:r>
        <w:rPr>
          <w:rFonts w:ascii="Arial" w:cs="Arial" w:eastAsia="Arial" w:hAnsi="Arial"/>
          <w:sz w:val="18"/>
          <w:szCs w:val="18"/>
          <w:color w:val="auto"/>
        </w:rPr>
        <w:t>EXHIBIT INDEX</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line="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-1905</wp:posOffset>
            </wp:positionV>
            <wp:extent cx="6637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1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First Amendment to Revolving Credit Facility Credit Agreement, dated as of March 18, 2008</w:t>
      </w:r>
    </w:p>
    <w:p>
      <w:pPr>
        <w:sectPr>
          <w:pgSz w:w="11900" w:h="16838" w:orient="portrait"/>
          <w:cols w:equalWidth="0" w:num="1">
            <w:col w:w="10219"/>
          </w:cols>
          <w:pgMar w:left="240" w:top="97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u w:val="single" w:color="auto"/>
          <w:color w:val="auto"/>
        </w:rPr>
        <w:t>Exhibit 10.1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FIRST AMENDMENT TO AMENDED AND RESTATED CREDIT AGREEMENT</w:t>
      </w:r>
    </w:p>
    <w:p>
      <w:pPr>
        <w:spacing w:after="0" w:line="104" w:lineRule="exact"/>
        <w:rPr>
          <w:sz w:val="20"/>
          <w:szCs w:val="20"/>
          <w:color w:val="auto"/>
        </w:rPr>
      </w:pPr>
    </w:p>
    <w:p>
      <w:pPr>
        <w:ind w:right="40" w:firstLine="247"/>
        <w:spacing w:after="0" w:line="237" w:lineRule="auto"/>
        <w:rPr>
          <w:sz w:val="20"/>
          <w:szCs w:val="20"/>
          <w:color w:val="auto"/>
        </w:rPr>
      </w:pPr>
      <w:r>
        <w:rPr>
          <w:rFonts w:ascii="Arial" w:cs="Arial" w:eastAsia="Arial" w:hAnsi="Arial"/>
          <w:sz w:val="18"/>
          <w:szCs w:val="18"/>
          <w:color w:val="auto"/>
        </w:rPr>
        <w:t>THIS FIRST AMENDMENT TO AMENDED AND RESTATED CREDIT AGREEMENT, dated as of March 18, 2008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among BRADY CORPORATION,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BRADY WORLDWIDE, INC., a Wisconsin corporation (“</w:t>
      </w:r>
      <w:r>
        <w:rPr>
          <w:rFonts w:ascii="Arial" w:cs="Arial" w:eastAsia="Arial" w:hAnsi="Arial"/>
          <w:sz w:val="18"/>
          <w:szCs w:val="18"/>
          <w:u w:val="single" w:color="auto"/>
          <w:color w:val="auto"/>
        </w:rPr>
        <w:t>Worldwide</w:t>
      </w:r>
      <w:r>
        <w:rPr>
          <w:rFonts w:ascii="Arial" w:cs="Arial" w:eastAsia="Arial" w:hAnsi="Arial"/>
          <w:sz w:val="18"/>
          <w:szCs w:val="18"/>
          <w:color w:val="auto"/>
        </w:rPr>
        <w:t>”), and TRICOR DIRECT, INC., a Delaware corporation (“</w:t>
      </w:r>
      <w:r>
        <w:rPr>
          <w:rFonts w:ascii="Arial" w:cs="Arial" w:eastAsia="Arial" w:hAnsi="Arial"/>
          <w:sz w:val="18"/>
          <w:szCs w:val="18"/>
          <w:u w:val="single" w:color="auto"/>
          <w:color w:val="auto"/>
        </w:rPr>
        <w:t>Tricor</w:t>
      </w:r>
      <w:r>
        <w:rPr>
          <w:rFonts w:ascii="Arial" w:cs="Arial" w:eastAsia="Arial" w:hAnsi="Arial"/>
          <w:sz w:val="18"/>
          <w:szCs w:val="18"/>
          <w:color w:val="auto"/>
        </w:rPr>
        <w:t>”, together with the Company and Worldwide, the “</w:t>
      </w:r>
      <w:r>
        <w:rPr>
          <w:rFonts w:ascii="Arial" w:cs="Arial" w:eastAsia="Arial" w:hAnsi="Arial"/>
          <w:sz w:val="18"/>
          <w:szCs w:val="18"/>
          <w:u w:val="single" w:color="auto"/>
          <w:color w:val="auto"/>
        </w:rPr>
        <w:t>Borrowers</w:t>
      </w:r>
      <w:r>
        <w:rPr>
          <w:rFonts w:ascii="Arial" w:cs="Arial" w:eastAsia="Arial" w:hAnsi="Arial"/>
          <w:sz w:val="18"/>
          <w:szCs w:val="18"/>
          <w:color w:val="auto"/>
        </w:rPr>
        <w:t>”), the guarantors identified on the signature pages hereto as Guarantors (the “</w:t>
      </w:r>
      <w:r>
        <w:rPr>
          <w:rFonts w:ascii="Arial" w:cs="Arial" w:eastAsia="Arial" w:hAnsi="Arial"/>
          <w:sz w:val="18"/>
          <w:szCs w:val="18"/>
          <w:u w:val="single" w:color="auto"/>
          <w:color w:val="auto"/>
        </w:rPr>
        <w:t>Guarantors</w:t>
      </w:r>
      <w:r>
        <w:rPr>
          <w:rFonts w:ascii="Arial" w:cs="Arial" w:eastAsia="Arial" w:hAnsi="Arial"/>
          <w:sz w:val="18"/>
          <w:szCs w:val="18"/>
          <w:color w:val="auto"/>
        </w:rPr>
        <w:t>”), the lenders identified on the signature pages hereto as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herein and not otherwise defined shall have the meanings ascribed thereto in the Credit Agreement (as defined below).</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04" w:lineRule="exact"/>
        <w:rPr>
          <w:sz w:val="20"/>
          <w:szCs w:val="20"/>
          <w:color w:val="auto"/>
        </w:rPr>
      </w:pPr>
    </w:p>
    <w:p>
      <w:pPr>
        <w:ind w:right="660" w:firstLine="240"/>
        <w:spacing w:after="0" w:line="246" w:lineRule="auto"/>
        <w:rPr>
          <w:sz w:val="20"/>
          <w:szCs w:val="20"/>
          <w:color w:val="auto"/>
        </w:rPr>
      </w:pPr>
      <w:r>
        <w:rPr>
          <w:rFonts w:ascii="Arial" w:cs="Arial" w:eastAsia="Arial" w:hAnsi="Arial"/>
          <w:sz w:val="18"/>
          <w:szCs w:val="18"/>
          <w:color w:val="auto"/>
        </w:rPr>
        <w:t>A. The Borrowers, the Guarantors, the Lenders and the Administrative Agent entered into that certain Amended and Restated Credit Agreement, dated as of October 5, 2006 (as amended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 The parties to the Credit Agreement have agreed to amend the Credit Agreement as provided herein.</w:t>
      </w:r>
    </w:p>
    <w:p>
      <w:pPr>
        <w:spacing w:after="0" w:line="104" w:lineRule="exact"/>
        <w:rPr>
          <w:sz w:val="20"/>
          <w:szCs w:val="20"/>
          <w:color w:val="auto"/>
        </w:rPr>
      </w:pPr>
    </w:p>
    <w:p>
      <w:pPr>
        <w:ind w:right="460" w:firstLine="250"/>
        <w:spacing w:after="0" w:line="246" w:lineRule="auto"/>
        <w:rPr>
          <w:sz w:val="20"/>
          <w:szCs w:val="20"/>
          <w:color w:val="auto"/>
        </w:rPr>
      </w:pPr>
      <w:r>
        <w:rPr>
          <w:rFonts w:ascii="Arial" w:cs="Arial" w:eastAsia="Arial" w:hAnsi="Arial"/>
          <w:sz w:val="18"/>
          <w:szCs w:val="18"/>
          <w:color w:val="auto"/>
        </w:rPr>
        <w:t>C. In consideration of the agreements hereinafter set forth, and for other good and valuable consideration, the receipt and adequacy of which are hereby acknowledged, the parties hereto agree as follows.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104" w:lineRule="exact"/>
        <w:rPr>
          <w:sz w:val="20"/>
          <w:szCs w:val="20"/>
          <w:color w:val="auto"/>
        </w:rPr>
      </w:pPr>
    </w:p>
    <w:p>
      <w:pPr>
        <w:ind w:left="460" w:hanging="20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The definition of “Maturity Date” appearing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to read as follows:</w:t>
      </w:r>
    </w:p>
    <w:p>
      <w:pPr>
        <w:spacing w:after="0" w:line="104" w:lineRule="exact"/>
        <w:rPr>
          <w:sz w:val="20"/>
          <w:szCs w:val="20"/>
          <w:color w:val="auto"/>
        </w:rPr>
      </w:pPr>
    </w:p>
    <w:p>
      <w:pPr>
        <w:ind w:left="240" w:right="360" w:firstLine="250"/>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March 18, 2013;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such date is not a Business Day, the Maturity Date shall be the next preceding Business Day.</w:t>
      </w:r>
    </w:p>
    <w:p>
      <w:pPr>
        <w:spacing w:after="0" w:line="89" w:lineRule="exact"/>
        <w:rPr>
          <w:sz w:val="20"/>
          <w:szCs w:val="20"/>
          <w:color w:val="auto"/>
        </w:rPr>
      </w:pPr>
    </w:p>
    <w:p>
      <w:pPr>
        <w:ind w:right="160" w:firstLine="258"/>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Joinder of Visual Wear LLC, DAWG, Inc. and Sorbent Products Company, Inc.</w:t>
      </w:r>
      <w:r>
        <w:rPr>
          <w:rFonts w:ascii="Arial" w:cs="Arial" w:eastAsia="Arial" w:hAnsi="Arial"/>
          <w:sz w:val="18"/>
          <w:szCs w:val="18"/>
          <w:color w:val="auto"/>
        </w:rPr>
        <w:t xml:space="preserve"> Notwithstanding anything in the Credit Agreement to the contrary (including Section 7.12 thereof), the Loan Parties shall not be required to cause any of Visual Wear LLC, DAWG, Inc. or Sorbent Products Company, Inc. to become a Guarantor prior to September 30, 2008.</w:t>
      </w:r>
    </w:p>
    <w:p>
      <w:pPr>
        <w:spacing w:after="0" w:line="95" w:lineRule="exact"/>
        <w:rPr>
          <w:sz w:val="20"/>
          <w:szCs w:val="20"/>
          <w:color w:val="auto"/>
        </w:rPr>
      </w:pPr>
    </w:p>
    <w:p>
      <w:pPr>
        <w:ind w:right="320" w:firstLine="258"/>
        <w:spacing w:after="0" w:line="246" w:lineRule="auto"/>
        <w:tabs>
          <w:tab w:leader="none" w:pos="45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Effectiveness; Conditions Precedent</w:t>
      </w:r>
      <w:r>
        <w:rPr>
          <w:rFonts w:ascii="Arial" w:cs="Arial" w:eastAsia="Arial" w:hAnsi="Arial"/>
          <w:sz w:val="18"/>
          <w:szCs w:val="18"/>
          <w:color w:val="auto"/>
        </w:rPr>
        <w:t>. This Agreement shall be effective as of the date hereof when all of the conditions set forth in this Section 2 shall have been satisfied in form and substance satisfactory to the Administrative Agent.</w:t>
      </w:r>
    </w:p>
    <w:p>
      <w:pPr>
        <w:spacing w:after="0" w:line="88" w:lineRule="exact"/>
        <w:rPr>
          <w:rFonts w:ascii="Arial" w:cs="Arial" w:eastAsia="Arial" w:hAnsi="Arial"/>
          <w:sz w:val="18"/>
          <w:szCs w:val="18"/>
          <w:color w:val="auto"/>
        </w:rPr>
      </w:pPr>
    </w:p>
    <w:p>
      <w:pPr>
        <w:ind w:left="240" w:right="260" w:firstLine="246"/>
        <w:spacing w:after="0" w:line="246" w:lineRule="auto"/>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Execution and Delivery of Agreement</w:t>
      </w:r>
      <w:r>
        <w:rPr>
          <w:rFonts w:ascii="Arial" w:cs="Arial" w:eastAsia="Arial" w:hAnsi="Arial"/>
          <w:sz w:val="18"/>
          <w:szCs w:val="18"/>
          <w:color w:val="auto"/>
        </w:rPr>
        <w:t>. The Administrative Agent shall have received copies of this Agreement duly executed by the Loan Parties, the Lenders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p>
      <w:pPr>
        <w:ind w:left="240" w:right="80" w:firstLine="246"/>
        <w:spacing w:after="0" w:line="246"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Amendment Fee</w:t>
      </w:r>
      <w:r>
        <w:rPr>
          <w:rFonts w:ascii="Arial" w:cs="Arial" w:eastAsia="Arial" w:hAnsi="Arial"/>
          <w:sz w:val="18"/>
          <w:szCs w:val="18"/>
          <w:color w:val="auto"/>
        </w:rPr>
        <w:t>. The Administrative Agent shall have received, for the account of each Lender, an amendment fee equal to 0.075% of such Lender’s Commitment.</w:t>
      </w:r>
    </w:p>
    <w:p>
      <w:pPr>
        <w:spacing w:after="0" w:line="88" w:lineRule="exact"/>
        <w:rPr>
          <w:rFonts w:ascii="Arial" w:cs="Arial" w:eastAsia="Arial" w:hAnsi="Arial"/>
          <w:sz w:val="18"/>
          <w:szCs w:val="18"/>
          <w:color w:val="auto"/>
        </w:rPr>
      </w:pPr>
    </w:p>
    <w:p>
      <w:pPr>
        <w:ind w:left="740" w:hanging="254"/>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Payment of all fees and expenses owed by the Borrowers to the Administrative Agent.</w:t>
      </w:r>
    </w:p>
    <w:p>
      <w:pPr>
        <w:spacing w:after="0" w:line="103" w:lineRule="exact"/>
        <w:rPr>
          <w:rFonts w:ascii="Arial" w:cs="Arial" w:eastAsia="Arial" w:hAnsi="Arial"/>
          <w:sz w:val="18"/>
          <w:szCs w:val="18"/>
          <w:color w:val="auto"/>
        </w:rPr>
      </w:pPr>
    </w:p>
    <w:p>
      <w:pPr>
        <w:ind w:right="720" w:firstLine="258"/>
        <w:spacing w:after="0" w:line="246" w:lineRule="auto"/>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Ratification of Credit Agreement</w:t>
      </w:r>
      <w:r>
        <w:rPr>
          <w:rFonts w:ascii="Arial" w:cs="Arial" w:eastAsia="Arial" w:hAnsi="Arial"/>
          <w:sz w:val="18"/>
          <w:szCs w:val="18"/>
          <w:color w:val="auto"/>
        </w:rPr>
        <w:t>. Each Loan Party acknowledges and consents to the terms set forth herein and agrees that this Agreement does not impair, reduce or limit any of its obligations under the Loan Documents.</w:t>
      </w:r>
    </w:p>
    <w:p>
      <w:pPr>
        <w:spacing w:after="0" w:line="88" w:lineRule="exact"/>
        <w:rPr>
          <w:rFonts w:ascii="Arial" w:cs="Arial" w:eastAsia="Arial" w:hAnsi="Arial"/>
          <w:sz w:val="18"/>
          <w:szCs w:val="18"/>
          <w:color w:val="auto"/>
        </w:rPr>
      </w:pPr>
    </w:p>
    <w:p>
      <w:pPr>
        <w:ind w:left="460" w:hanging="20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Authority/Enforceability</w:t>
      </w:r>
      <w:r>
        <w:rPr>
          <w:rFonts w:ascii="Arial" w:cs="Arial" w:eastAsia="Arial" w:hAnsi="Arial"/>
          <w:sz w:val="18"/>
          <w:szCs w:val="18"/>
          <w:color w:val="auto"/>
        </w:rPr>
        <w:t>. Each Loan Party represents and warrants as follows:</w:t>
      </w:r>
    </w:p>
    <w:p>
      <w:pPr>
        <w:spacing w:after="0" w:line="103" w:lineRule="exact"/>
        <w:rPr>
          <w:rFonts w:ascii="Arial" w:cs="Arial" w:eastAsia="Arial" w:hAnsi="Arial"/>
          <w:sz w:val="18"/>
          <w:szCs w:val="18"/>
          <w:color w:val="auto"/>
        </w:rPr>
      </w:pPr>
    </w:p>
    <w:p>
      <w:pPr>
        <w:ind w:left="760" w:hanging="274"/>
        <w:spacing w:after="0"/>
        <w:tabs>
          <w:tab w:leader="none" w:pos="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It has taken all necessary action to authorize the execution, delivery and performance of this Agreement.</w:t>
      </w:r>
    </w:p>
    <w:p>
      <w:pPr>
        <w:spacing w:after="0" w:line="103" w:lineRule="exact"/>
        <w:rPr>
          <w:rFonts w:ascii="Arial" w:cs="Arial" w:eastAsia="Arial" w:hAnsi="Arial"/>
          <w:sz w:val="18"/>
          <w:szCs w:val="18"/>
          <w:color w:val="auto"/>
        </w:rPr>
      </w:pPr>
    </w:p>
    <w:p>
      <w:pPr>
        <w:ind w:left="240" w:right="140" w:firstLine="246"/>
        <w:spacing w:after="0"/>
        <w:tabs>
          <w:tab w:leader="none" w:pos="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each Loan Party and constitutes its legal, valid and binding obligation, enforceable in accordance with its terms, except as such enforceability may be subject to (i) applicable Debtor Relief Laws and (ii) general principles of equity (regardless of whether such enforceability is considered in a proceeding at law or in equity).</w:t>
      </w:r>
    </w:p>
    <w:p>
      <w:pPr>
        <w:spacing w:after="0" w:line="94" w:lineRule="exact"/>
        <w:rPr>
          <w:rFonts w:ascii="Arial" w:cs="Arial" w:eastAsia="Arial" w:hAnsi="Arial"/>
          <w:sz w:val="18"/>
          <w:szCs w:val="18"/>
          <w:color w:val="auto"/>
        </w:rPr>
      </w:pPr>
    </w:p>
    <w:p>
      <w:pPr>
        <w:ind w:left="240" w:right="100" w:firstLine="246"/>
        <w:spacing w:after="0" w:line="246" w:lineRule="auto"/>
        <w:tabs>
          <w:tab w:leader="none" w:pos="75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registration or qualification with, any court or governmental authority or third party is required in connection with the execution, delivery or performance by such Person of this Agreement.</w:t>
      </w:r>
    </w:p>
    <w:p>
      <w:pPr>
        <w:spacing w:after="0" w:line="88" w:lineRule="exact"/>
        <w:rPr>
          <w:rFonts w:ascii="Arial" w:cs="Arial" w:eastAsia="Arial" w:hAnsi="Arial"/>
          <w:sz w:val="18"/>
          <w:szCs w:val="18"/>
          <w:color w:val="auto"/>
        </w:rPr>
      </w:pPr>
    </w:p>
    <w:p>
      <w:pPr>
        <w:ind w:left="240" w:right="680" w:firstLine="246"/>
        <w:spacing w:after="0" w:line="246" w:lineRule="auto"/>
        <w:tabs>
          <w:tab w:leader="none" w:pos="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execution and delivery of this Agreement does not (i) violate, contravene or conflict with any provision of its Organization Documents or (ii) materially violate, contravene or conflict with any Laws applicable to it or any of its Subsidiaries.</w:t>
      </w:r>
    </w:p>
    <w:p>
      <w:pPr>
        <w:spacing w:after="0" w:line="88" w:lineRule="exact"/>
        <w:rPr>
          <w:rFonts w:ascii="Arial" w:cs="Arial" w:eastAsia="Arial" w:hAnsi="Arial"/>
          <w:sz w:val="18"/>
          <w:szCs w:val="18"/>
          <w:color w:val="auto"/>
        </w:rPr>
      </w:pPr>
    </w:p>
    <w:p>
      <w:pPr>
        <w:ind w:firstLine="258"/>
        <w:spacing w:after="0"/>
        <w:tabs>
          <w:tab w:leader="none" w:pos="45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Loan Parties</w:t>
      </w:r>
      <w:r>
        <w:rPr>
          <w:rFonts w:ascii="Arial" w:cs="Arial" w:eastAsia="Arial" w:hAnsi="Arial"/>
          <w:sz w:val="18"/>
          <w:szCs w:val="18"/>
          <w:color w:val="auto"/>
        </w:rPr>
        <w:t>. Each Loan Party represents and warrants to the Lenders that (a) the representations and warranties of the Loan Parties set forth in Article VI of the Credit Agreement are true and correct in all material respects as of the date hereof, and (b) no event has occurred and is continuing which constitutes a Default or an Event of Default.</w:t>
      </w:r>
    </w:p>
    <w:p>
      <w:pPr>
        <w:spacing w:after="0" w:line="95" w:lineRule="exact"/>
        <w:rPr>
          <w:sz w:val="20"/>
          <w:szCs w:val="20"/>
          <w:color w:val="auto"/>
        </w:rPr>
      </w:pPr>
    </w:p>
    <w:p>
      <w:pPr>
        <w:ind w:right="40" w:firstLine="258"/>
        <w:spacing w:after="0"/>
        <w:tabs>
          <w:tab w:leader="none" w:pos="45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Counterparts/Telecopy</w:t>
      </w:r>
      <w:r>
        <w:rPr>
          <w:rFonts w:ascii="Arial" w:cs="Arial" w:eastAsia="Arial" w:hAnsi="Arial"/>
          <w:sz w:val="18"/>
          <w:szCs w:val="18"/>
          <w:color w:val="auto"/>
        </w:rPr>
        <w:t>. This Agreement may be executed in any number of counterparts, each of which when so executed and delivered shall be an original, but all of which shall constitute one and the same instrument. Delivery of executed counterparts of this Agreement by telecopy shall be effective as an original.</w:t>
      </w:r>
    </w:p>
    <w:p>
      <w:pPr>
        <w:spacing w:after="0" w:line="72" w:lineRule="exact"/>
        <w:rPr>
          <w:rFonts w:ascii="Arial" w:cs="Arial" w:eastAsia="Arial" w:hAnsi="Arial"/>
          <w:sz w:val="18"/>
          <w:szCs w:val="18"/>
          <w:color w:val="auto"/>
        </w:rPr>
      </w:pPr>
    </w:p>
    <w:p>
      <w:pPr>
        <w:ind w:left="460" w:hanging="20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AGREEMENT AND THE RIGHTS AND OBLIGATIONS OF THE PARTIES HEREUNDER SHALL BE</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GOVERNED BY AND CONSTRUED AND INTERPRETED IN ACCORDANCE WITH THE LAWS OF THE STATE OF ILLINOIS.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7" w:name="page8"/>
    <w:bookmarkEnd w:id="7"/>
    <w:p>
      <w:pPr>
        <w:ind w:left="260"/>
        <w:spacing w:after="0"/>
        <w:rPr>
          <w:sz w:val="20"/>
          <w:szCs w:val="20"/>
          <w:color w:val="auto"/>
        </w:rPr>
      </w:pPr>
      <w:r>
        <w:rPr>
          <w:rFonts w:ascii="Arial" w:cs="Arial" w:eastAsia="Arial" w:hAnsi="Arial"/>
          <w:sz w:val="18"/>
          <w:szCs w:val="18"/>
          <w:color w:val="auto"/>
        </w:rPr>
        <w:t>IN WITNESS WHEREOF</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hereto have caused this Agreement to be duly executed as of the date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Arial" w:cs="Arial" w:eastAsia="Arial" w:hAnsi="Arial"/>
                <w:sz w:val="18"/>
                <w:szCs w:val="18"/>
                <w:color w:val="auto"/>
              </w:rPr>
              <w:t>BORROWERS:</w:t>
            </w: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BRADY CORPORATION,</w:t>
            </w:r>
          </w:p>
        </w:tc>
        <w:tc>
          <w:tcPr>
            <w:tcW w:w="760" w:type="dxa"/>
            <w:vAlign w:val="bottom"/>
          </w:tcPr>
          <w:p>
            <w:pPr>
              <w:spacing w:after="0"/>
              <w:rPr>
                <w:sz w:val="17"/>
                <w:szCs w:val="17"/>
                <w:color w:val="auto"/>
              </w:rPr>
            </w:pPr>
          </w:p>
        </w:tc>
      </w:tr>
      <w:tr>
        <w:trPr>
          <w:trHeight w:val="217"/>
        </w:trPr>
        <w:tc>
          <w:tcPr>
            <w:tcW w:w="3180" w:type="dxa"/>
            <w:vAlign w:val="bottom"/>
          </w:tcPr>
          <w:p>
            <w:pPr>
              <w:spacing w:after="0"/>
              <w:rPr>
                <w:sz w:val="18"/>
                <w:szCs w:val="18"/>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a Wisconsin corporation</w:t>
            </w:r>
          </w:p>
        </w:tc>
        <w:tc>
          <w:tcPr>
            <w:tcW w:w="760" w:type="dxa"/>
            <w:vAlign w:val="bottom"/>
          </w:tcPr>
          <w:p>
            <w:pPr>
              <w:spacing w:after="0"/>
              <w:rPr>
                <w:sz w:val="18"/>
                <w:szCs w:val="18"/>
                <w:color w:val="auto"/>
              </w:rPr>
            </w:pPr>
          </w:p>
        </w:tc>
      </w:tr>
      <w:tr>
        <w:trPr>
          <w:trHeight w:val="392"/>
        </w:trPr>
        <w:tc>
          <w:tcPr>
            <w:tcW w:w="3180" w:type="dxa"/>
            <w:vAlign w:val="bottom"/>
          </w:tcPr>
          <w:p>
            <w:pPr>
              <w:spacing w:after="0"/>
              <w:rPr>
                <w:sz w:val="24"/>
                <w:szCs w:val="24"/>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 Bolens</w:t>
            </w:r>
          </w:p>
        </w:tc>
        <w:tc>
          <w:tcPr>
            <w:tcW w:w="760" w:type="dxa"/>
            <w:vAlign w:val="bottom"/>
          </w:tcPr>
          <w:p>
            <w:pPr>
              <w:spacing w:after="0"/>
              <w:rPr>
                <w:sz w:val="24"/>
                <w:szCs w:val="24"/>
                <w:color w:val="auto"/>
              </w:rPr>
            </w:pPr>
          </w:p>
        </w:tc>
      </w:tr>
      <w:tr>
        <w:trPr>
          <w:trHeight w:val="209"/>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Barbara G. Bolens</w:t>
            </w:r>
          </w:p>
        </w:tc>
        <w:tc>
          <w:tcPr>
            <w:tcW w:w="760" w:type="dxa"/>
            <w:vAlign w:val="bottom"/>
          </w:tcPr>
          <w:p>
            <w:pPr>
              <w:spacing w:after="0"/>
              <w:rPr>
                <w:sz w:val="18"/>
                <w:szCs w:val="18"/>
                <w:color w:val="auto"/>
              </w:rPr>
            </w:pPr>
          </w:p>
        </w:tc>
      </w:tr>
      <w:tr>
        <w:trPr>
          <w:trHeight w:val="217"/>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760" w:type="dxa"/>
            <w:vAlign w:val="bottom"/>
          </w:tcPr>
          <w:p>
            <w:pPr>
              <w:spacing w:after="0"/>
              <w:rPr>
                <w:sz w:val="18"/>
                <w:szCs w:val="18"/>
                <w:color w:val="auto"/>
              </w:rPr>
            </w:pPr>
          </w:p>
        </w:tc>
      </w:tr>
      <w:tr>
        <w:trPr>
          <w:trHeight w:val="391"/>
        </w:trPr>
        <w:tc>
          <w:tcPr>
            <w:tcW w:w="3180" w:type="dxa"/>
            <w:vAlign w:val="bottom"/>
          </w:tcPr>
          <w:p>
            <w:pPr>
              <w:spacing w:after="0"/>
              <w:rPr>
                <w:sz w:val="24"/>
                <w:szCs w:val="24"/>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BRADY WORLDWIDE, INC.,</w:t>
            </w:r>
          </w:p>
        </w:tc>
        <w:tc>
          <w:tcPr>
            <w:tcW w:w="760" w:type="dxa"/>
            <w:vAlign w:val="bottom"/>
          </w:tcPr>
          <w:p>
            <w:pPr>
              <w:spacing w:after="0"/>
              <w:rPr>
                <w:sz w:val="24"/>
                <w:szCs w:val="24"/>
                <w:color w:val="auto"/>
              </w:rPr>
            </w:pPr>
          </w:p>
        </w:tc>
      </w:tr>
      <w:tr>
        <w:trPr>
          <w:trHeight w:val="217"/>
        </w:trPr>
        <w:tc>
          <w:tcPr>
            <w:tcW w:w="3180" w:type="dxa"/>
            <w:vAlign w:val="bottom"/>
          </w:tcPr>
          <w:p>
            <w:pPr>
              <w:spacing w:after="0"/>
              <w:rPr>
                <w:sz w:val="18"/>
                <w:szCs w:val="18"/>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a Wisconsin corporation</w:t>
            </w:r>
          </w:p>
        </w:tc>
        <w:tc>
          <w:tcPr>
            <w:tcW w:w="760" w:type="dxa"/>
            <w:vAlign w:val="bottom"/>
          </w:tcPr>
          <w:p>
            <w:pPr>
              <w:spacing w:after="0"/>
              <w:rPr>
                <w:sz w:val="18"/>
                <w:szCs w:val="18"/>
                <w:color w:val="auto"/>
              </w:rPr>
            </w:pPr>
          </w:p>
        </w:tc>
      </w:tr>
      <w:tr>
        <w:trPr>
          <w:trHeight w:val="392"/>
        </w:trPr>
        <w:tc>
          <w:tcPr>
            <w:tcW w:w="3180" w:type="dxa"/>
            <w:vAlign w:val="bottom"/>
          </w:tcPr>
          <w:p>
            <w:pPr>
              <w:spacing w:after="0"/>
              <w:rPr>
                <w:sz w:val="24"/>
                <w:szCs w:val="24"/>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 Bolens</w:t>
            </w:r>
          </w:p>
        </w:tc>
        <w:tc>
          <w:tcPr>
            <w:tcW w:w="760" w:type="dxa"/>
            <w:vAlign w:val="bottom"/>
          </w:tcPr>
          <w:p>
            <w:pPr>
              <w:spacing w:after="0"/>
              <w:rPr>
                <w:sz w:val="24"/>
                <w:szCs w:val="24"/>
                <w:color w:val="auto"/>
              </w:rPr>
            </w:pPr>
          </w:p>
        </w:tc>
      </w:tr>
      <w:tr>
        <w:trPr>
          <w:trHeight w:val="209"/>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Barbara G. Bolens</w:t>
            </w:r>
          </w:p>
        </w:tc>
        <w:tc>
          <w:tcPr>
            <w:tcW w:w="760" w:type="dxa"/>
            <w:vAlign w:val="bottom"/>
          </w:tcPr>
          <w:p>
            <w:pPr>
              <w:spacing w:after="0"/>
              <w:rPr>
                <w:sz w:val="18"/>
                <w:szCs w:val="18"/>
                <w:color w:val="auto"/>
              </w:rPr>
            </w:pPr>
          </w:p>
        </w:tc>
      </w:tr>
      <w:tr>
        <w:trPr>
          <w:trHeight w:val="217"/>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760" w:type="dxa"/>
            <w:vAlign w:val="bottom"/>
          </w:tcPr>
          <w:p>
            <w:pPr>
              <w:spacing w:after="0"/>
              <w:rPr>
                <w:sz w:val="18"/>
                <w:szCs w:val="18"/>
                <w:color w:val="auto"/>
              </w:rPr>
            </w:pPr>
          </w:p>
        </w:tc>
      </w:tr>
      <w:tr>
        <w:trPr>
          <w:trHeight w:val="391"/>
        </w:trPr>
        <w:tc>
          <w:tcPr>
            <w:tcW w:w="3180" w:type="dxa"/>
            <w:vAlign w:val="bottom"/>
          </w:tcPr>
          <w:p>
            <w:pPr>
              <w:spacing w:after="0"/>
              <w:rPr>
                <w:sz w:val="24"/>
                <w:szCs w:val="24"/>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TRICOR DIRECT, INC.,</w:t>
            </w:r>
          </w:p>
        </w:tc>
        <w:tc>
          <w:tcPr>
            <w:tcW w:w="760" w:type="dxa"/>
            <w:vAlign w:val="bottom"/>
          </w:tcPr>
          <w:p>
            <w:pPr>
              <w:spacing w:after="0"/>
              <w:rPr>
                <w:sz w:val="24"/>
                <w:szCs w:val="24"/>
                <w:color w:val="auto"/>
              </w:rPr>
            </w:pPr>
          </w:p>
        </w:tc>
      </w:tr>
      <w:tr>
        <w:trPr>
          <w:trHeight w:val="217"/>
        </w:trPr>
        <w:tc>
          <w:tcPr>
            <w:tcW w:w="3180" w:type="dxa"/>
            <w:vAlign w:val="bottom"/>
          </w:tcPr>
          <w:p>
            <w:pPr>
              <w:spacing w:after="0"/>
              <w:rPr>
                <w:sz w:val="18"/>
                <w:szCs w:val="18"/>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a Delaware corporation</w:t>
            </w:r>
          </w:p>
        </w:tc>
        <w:tc>
          <w:tcPr>
            <w:tcW w:w="760" w:type="dxa"/>
            <w:vAlign w:val="bottom"/>
          </w:tcPr>
          <w:p>
            <w:pPr>
              <w:spacing w:after="0"/>
              <w:rPr>
                <w:sz w:val="18"/>
                <w:szCs w:val="18"/>
                <w:color w:val="auto"/>
              </w:rPr>
            </w:pPr>
          </w:p>
        </w:tc>
      </w:tr>
      <w:tr>
        <w:trPr>
          <w:trHeight w:val="392"/>
        </w:trPr>
        <w:tc>
          <w:tcPr>
            <w:tcW w:w="3180" w:type="dxa"/>
            <w:vAlign w:val="bottom"/>
          </w:tcPr>
          <w:p>
            <w:pPr>
              <w:spacing w:after="0"/>
              <w:rPr>
                <w:sz w:val="24"/>
                <w:szCs w:val="24"/>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 Bolens</w:t>
            </w:r>
          </w:p>
        </w:tc>
        <w:tc>
          <w:tcPr>
            <w:tcW w:w="760" w:type="dxa"/>
            <w:vAlign w:val="bottom"/>
          </w:tcPr>
          <w:p>
            <w:pPr>
              <w:spacing w:after="0"/>
              <w:rPr>
                <w:sz w:val="24"/>
                <w:szCs w:val="24"/>
                <w:color w:val="auto"/>
              </w:rPr>
            </w:pPr>
          </w:p>
        </w:tc>
      </w:tr>
      <w:tr>
        <w:trPr>
          <w:trHeight w:val="209"/>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Barbara G. Bolens</w:t>
            </w:r>
          </w:p>
        </w:tc>
        <w:tc>
          <w:tcPr>
            <w:tcW w:w="760" w:type="dxa"/>
            <w:vAlign w:val="bottom"/>
          </w:tcPr>
          <w:p>
            <w:pPr>
              <w:spacing w:after="0"/>
              <w:rPr>
                <w:sz w:val="18"/>
                <w:szCs w:val="18"/>
                <w:color w:val="auto"/>
              </w:rPr>
            </w:pPr>
          </w:p>
        </w:tc>
      </w:tr>
      <w:tr>
        <w:trPr>
          <w:trHeight w:val="217"/>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760" w:type="dxa"/>
            <w:vAlign w:val="bottom"/>
          </w:tcPr>
          <w:p>
            <w:pPr>
              <w:spacing w:after="0"/>
              <w:rPr>
                <w:sz w:val="18"/>
                <w:szCs w:val="18"/>
                <w:color w:val="auto"/>
              </w:rPr>
            </w:pPr>
          </w:p>
        </w:tc>
      </w:tr>
      <w:tr>
        <w:trPr>
          <w:trHeight w:val="391"/>
        </w:trPr>
        <w:tc>
          <w:tcPr>
            <w:tcW w:w="3180" w:type="dxa"/>
            <w:vAlign w:val="bottom"/>
          </w:tcPr>
          <w:p>
            <w:pPr>
              <w:spacing w:after="0"/>
              <w:rPr>
                <w:sz w:val="20"/>
                <w:szCs w:val="20"/>
                <w:color w:val="auto"/>
              </w:rPr>
            </w:pPr>
            <w:r>
              <w:rPr>
                <w:rFonts w:ascii="Arial" w:cs="Arial" w:eastAsia="Arial" w:hAnsi="Arial"/>
                <w:sz w:val="18"/>
                <w:szCs w:val="18"/>
                <w:color w:val="auto"/>
              </w:rPr>
              <w:t>GUARANTORS:</w:t>
            </w: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BRADY INTERNATIONAL CO.,</w:t>
            </w:r>
          </w:p>
        </w:tc>
        <w:tc>
          <w:tcPr>
            <w:tcW w:w="760" w:type="dxa"/>
            <w:vAlign w:val="bottom"/>
          </w:tcPr>
          <w:p>
            <w:pPr>
              <w:spacing w:after="0"/>
              <w:rPr>
                <w:sz w:val="24"/>
                <w:szCs w:val="24"/>
                <w:color w:val="auto"/>
              </w:rPr>
            </w:pPr>
          </w:p>
        </w:tc>
      </w:tr>
      <w:tr>
        <w:trPr>
          <w:trHeight w:val="217"/>
        </w:trPr>
        <w:tc>
          <w:tcPr>
            <w:tcW w:w="3180" w:type="dxa"/>
            <w:vAlign w:val="bottom"/>
          </w:tcPr>
          <w:p>
            <w:pPr>
              <w:spacing w:after="0"/>
              <w:rPr>
                <w:sz w:val="18"/>
                <w:szCs w:val="18"/>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a Wisconsin corporation</w:t>
            </w:r>
          </w:p>
        </w:tc>
        <w:tc>
          <w:tcPr>
            <w:tcW w:w="760" w:type="dxa"/>
            <w:vAlign w:val="bottom"/>
          </w:tcPr>
          <w:p>
            <w:pPr>
              <w:spacing w:after="0"/>
              <w:rPr>
                <w:sz w:val="18"/>
                <w:szCs w:val="18"/>
                <w:color w:val="auto"/>
              </w:rPr>
            </w:pPr>
          </w:p>
        </w:tc>
      </w:tr>
      <w:tr>
        <w:trPr>
          <w:trHeight w:val="392"/>
        </w:trPr>
        <w:tc>
          <w:tcPr>
            <w:tcW w:w="3180" w:type="dxa"/>
            <w:vAlign w:val="bottom"/>
          </w:tcPr>
          <w:p>
            <w:pPr>
              <w:spacing w:after="0"/>
              <w:rPr>
                <w:sz w:val="24"/>
                <w:szCs w:val="24"/>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 Bolens</w:t>
            </w:r>
          </w:p>
        </w:tc>
        <w:tc>
          <w:tcPr>
            <w:tcW w:w="760" w:type="dxa"/>
            <w:vAlign w:val="bottom"/>
          </w:tcPr>
          <w:p>
            <w:pPr>
              <w:spacing w:after="0"/>
              <w:rPr>
                <w:sz w:val="24"/>
                <w:szCs w:val="24"/>
                <w:color w:val="auto"/>
              </w:rPr>
            </w:pPr>
          </w:p>
        </w:tc>
      </w:tr>
      <w:tr>
        <w:trPr>
          <w:trHeight w:val="209"/>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Barbara G. Bolens</w:t>
            </w:r>
          </w:p>
        </w:tc>
        <w:tc>
          <w:tcPr>
            <w:tcW w:w="760" w:type="dxa"/>
            <w:vAlign w:val="bottom"/>
          </w:tcPr>
          <w:p>
            <w:pPr>
              <w:spacing w:after="0"/>
              <w:rPr>
                <w:sz w:val="18"/>
                <w:szCs w:val="18"/>
                <w:color w:val="auto"/>
              </w:rPr>
            </w:pPr>
          </w:p>
        </w:tc>
      </w:tr>
      <w:tr>
        <w:trPr>
          <w:trHeight w:val="217"/>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760" w:type="dxa"/>
            <w:vAlign w:val="bottom"/>
          </w:tcPr>
          <w:p>
            <w:pPr>
              <w:spacing w:after="0"/>
              <w:rPr>
                <w:sz w:val="18"/>
                <w:szCs w:val="18"/>
                <w:color w:val="auto"/>
              </w:rPr>
            </w:pPr>
          </w:p>
        </w:tc>
      </w:tr>
      <w:tr>
        <w:trPr>
          <w:trHeight w:val="391"/>
        </w:trPr>
        <w:tc>
          <w:tcPr>
            <w:tcW w:w="3180" w:type="dxa"/>
            <w:vAlign w:val="bottom"/>
          </w:tcPr>
          <w:p>
            <w:pPr>
              <w:spacing w:after="0"/>
              <w:rPr>
                <w:sz w:val="24"/>
                <w:szCs w:val="24"/>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BRADY INVESTMENT CO.,</w:t>
            </w:r>
          </w:p>
        </w:tc>
        <w:tc>
          <w:tcPr>
            <w:tcW w:w="760" w:type="dxa"/>
            <w:vAlign w:val="bottom"/>
          </w:tcPr>
          <w:p>
            <w:pPr>
              <w:spacing w:after="0"/>
              <w:rPr>
                <w:sz w:val="24"/>
                <w:szCs w:val="24"/>
                <w:color w:val="auto"/>
              </w:rPr>
            </w:pPr>
          </w:p>
        </w:tc>
      </w:tr>
      <w:tr>
        <w:trPr>
          <w:trHeight w:val="217"/>
        </w:trPr>
        <w:tc>
          <w:tcPr>
            <w:tcW w:w="3180" w:type="dxa"/>
            <w:vAlign w:val="bottom"/>
          </w:tcPr>
          <w:p>
            <w:pPr>
              <w:spacing w:after="0"/>
              <w:rPr>
                <w:sz w:val="18"/>
                <w:szCs w:val="18"/>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a Nevada corporation</w:t>
            </w:r>
          </w:p>
        </w:tc>
        <w:tc>
          <w:tcPr>
            <w:tcW w:w="760" w:type="dxa"/>
            <w:vAlign w:val="bottom"/>
          </w:tcPr>
          <w:p>
            <w:pPr>
              <w:spacing w:after="0"/>
              <w:rPr>
                <w:sz w:val="18"/>
                <w:szCs w:val="18"/>
                <w:color w:val="auto"/>
              </w:rPr>
            </w:pPr>
          </w:p>
        </w:tc>
      </w:tr>
      <w:tr>
        <w:trPr>
          <w:trHeight w:val="392"/>
        </w:trPr>
        <w:tc>
          <w:tcPr>
            <w:tcW w:w="3180" w:type="dxa"/>
            <w:vAlign w:val="bottom"/>
          </w:tcPr>
          <w:p>
            <w:pPr>
              <w:spacing w:after="0"/>
              <w:rPr>
                <w:sz w:val="24"/>
                <w:szCs w:val="24"/>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Ivan Farris</w:t>
            </w:r>
          </w:p>
        </w:tc>
        <w:tc>
          <w:tcPr>
            <w:tcW w:w="760" w:type="dxa"/>
            <w:vAlign w:val="bottom"/>
          </w:tcPr>
          <w:p>
            <w:pPr>
              <w:spacing w:after="0"/>
              <w:rPr>
                <w:sz w:val="24"/>
                <w:szCs w:val="24"/>
                <w:color w:val="auto"/>
              </w:rPr>
            </w:pPr>
          </w:p>
        </w:tc>
      </w:tr>
      <w:tr>
        <w:trPr>
          <w:trHeight w:val="209"/>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Ivan Farris</w:t>
            </w:r>
          </w:p>
        </w:tc>
        <w:tc>
          <w:tcPr>
            <w:tcW w:w="760" w:type="dxa"/>
            <w:vAlign w:val="bottom"/>
          </w:tcPr>
          <w:p>
            <w:pPr>
              <w:spacing w:after="0"/>
              <w:rPr>
                <w:sz w:val="18"/>
                <w:szCs w:val="18"/>
                <w:color w:val="auto"/>
              </w:rPr>
            </w:pPr>
          </w:p>
        </w:tc>
      </w:tr>
      <w:tr>
        <w:trPr>
          <w:trHeight w:val="217"/>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President</w:t>
            </w:r>
          </w:p>
        </w:tc>
        <w:tc>
          <w:tcPr>
            <w:tcW w:w="760" w:type="dxa"/>
            <w:vAlign w:val="bottom"/>
          </w:tcPr>
          <w:p>
            <w:pPr>
              <w:spacing w:after="0"/>
              <w:rPr>
                <w:sz w:val="18"/>
                <w:szCs w:val="18"/>
                <w:color w:val="auto"/>
              </w:rPr>
            </w:pPr>
          </w:p>
        </w:tc>
      </w:tr>
      <w:tr>
        <w:trPr>
          <w:trHeight w:val="391"/>
        </w:trPr>
        <w:tc>
          <w:tcPr>
            <w:tcW w:w="3180" w:type="dxa"/>
            <w:vAlign w:val="bottom"/>
          </w:tcPr>
          <w:p>
            <w:pPr>
              <w:spacing w:after="0"/>
              <w:rPr>
                <w:sz w:val="24"/>
                <w:szCs w:val="24"/>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WORLDMARK OF WISCONSIN, INC.,</w:t>
            </w:r>
          </w:p>
        </w:tc>
        <w:tc>
          <w:tcPr>
            <w:tcW w:w="760" w:type="dxa"/>
            <w:vAlign w:val="bottom"/>
          </w:tcPr>
          <w:p>
            <w:pPr>
              <w:spacing w:after="0"/>
              <w:rPr>
                <w:sz w:val="24"/>
                <w:szCs w:val="24"/>
                <w:color w:val="auto"/>
              </w:rPr>
            </w:pPr>
          </w:p>
        </w:tc>
      </w:tr>
      <w:tr>
        <w:trPr>
          <w:trHeight w:val="217"/>
        </w:trPr>
        <w:tc>
          <w:tcPr>
            <w:tcW w:w="3180" w:type="dxa"/>
            <w:vAlign w:val="bottom"/>
          </w:tcPr>
          <w:p>
            <w:pPr>
              <w:spacing w:after="0"/>
              <w:rPr>
                <w:sz w:val="18"/>
                <w:szCs w:val="18"/>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a Delaware corporation</w:t>
            </w:r>
          </w:p>
        </w:tc>
        <w:tc>
          <w:tcPr>
            <w:tcW w:w="760" w:type="dxa"/>
            <w:vAlign w:val="bottom"/>
          </w:tcPr>
          <w:p>
            <w:pPr>
              <w:spacing w:after="0"/>
              <w:rPr>
                <w:sz w:val="18"/>
                <w:szCs w:val="18"/>
                <w:color w:val="auto"/>
              </w:rPr>
            </w:pPr>
          </w:p>
        </w:tc>
      </w:tr>
      <w:tr>
        <w:trPr>
          <w:trHeight w:val="392"/>
        </w:trPr>
        <w:tc>
          <w:tcPr>
            <w:tcW w:w="3180" w:type="dxa"/>
            <w:vAlign w:val="bottom"/>
          </w:tcPr>
          <w:p>
            <w:pPr>
              <w:spacing w:after="0"/>
              <w:rPr>
                <w:sz w:val="24"/>
                <w:szCs w:val="24"/>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 Bolens</w:t>
            </w:r>
          </w:p>
        </w:tc>
        <w:tc>
          <w:tcPr>
            <w:tcW w:w="760" w:type="dxa"/>
            <w:vAlign w:val="bottom"/>
          </w:tcPr>
          <w:p>
            <w:pPr>
              <w:spacing w:after="0"/>
              <w:rPr>
                <w:sz w:val="24"/>
                <w:szCs w:val="24"/>
                <w:color w:val="auto"/>
              </w:rPr>
            </w:pPr>
          </w:p>
        </w:tc>
      </w:tr>
      <w:tr>
        <w:trPr>
          <w:trHeight w:val="209"/>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Barbara G. Bolens</w:t>
            </w:r>
          </w:p>
        </w:tc>
        <w:tc>
          <w:tcPr>
            <w:tcW w:w="760" w:type="dxa"/>
            <w:vAlign w:val="bottom"/>
          </w:tcPr>
          <w:p>
            <w:pPr>
              <w:spacing w:after="0"/>
              <w:rPr>
                <w:sz w:val="18"/>
                <w:szCs w:val="18"/>
                <w:color w:val="auto"/>
              </w:rPr>
            </w:pPr>
          </w:p>
        </w:tc>
      </w:tr>
      <w:tr>
        <w:trPr>
          <w:trHeight w:val="217"/>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760" w:type="dxa"/>
            <w:vAlign w:val="bottom"/>
          </w:tcPr>
          <w:p>
            <w:pPr>
              <w:spacing w:after="0"/>
              <w:rPr>
                <w:sz w:val="18"/>
                <w:szCs w:val="18"/>
                <w:color w:val="auto"/>
              </w:rPr>
            </w:pPr>
          </w:p>
        </w:tc>
      </w:tr>
      <w:tr>
        <w:trPr>
          <w:trHeight w:val="391"/>
        </w:trPr>
        <w:tc>
          <w:tcPr>
            <w:tcW w:w="3180" w:type="dxa"/>
            <w:vAlign w:val="bottom"/>
          </w:tcPr>
          <w:p>
            <w:pPr>
              <w:spacing w:after="0"/>
              <w:rPr>
                <w:sz w:val="24"/>
                <w:szCs w:val="24"/>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TRUMED TECHNOLOGIES, INC.,</w:t>
            </w:r>
          </w:p>
        </w:tc>
        <w:tc>
          <w:tcPr>
            <w:tcW w:w="760" w:type="dxa"/>
            <w:vAlign w:val="bottom"/>
          </w:tcPr>
          <w:p>
            <w:pPr>
              <w:spacing w:after="0"/>
              <w:rPr>
                <w:sz w:val="24"/>
                <w:szCs w:val="24"/>
                <w:color w:val="auto"/>
              </w:rPr>
            </w:pPr>
          </w:p>
        </w:tc>
      </w:tr>
      <w:tr>
        <w:trPr>
          <w:trHeight w:val="217"/>
        </w:trPr>
        <w:tc>
          <w:tcPr>
            <w:tcW w:w="3180" w:type="dxa"/>
            <w:vAlign w:val="bottom"/>
          </w:tcPr>
          <w:p>
            <w:pPr>
              <w:spacing w:after="0"/>
              <w:rPr>
                <w:sz w:val="18"/>
                <w:szCs w:val="18"/>
                <w:color w:val="auto"/>
              </w:rPr>
            </w:pPr>
          </w:p>
        </w:tc>
        <w:tc>
          <w:tcPr>
            <w:tcW w:w="7480" w:type="dxa"/>
            <w:vAlign w:val="bottom"/>
            <w:gridSpan w:val="2"/>
          </w:tcPr>
          <w:p>
            <w:pPr>
              <w:ind w:left="1860"/>
              <w:spacing w:after="0"/>
              <w:rPr>
                <w:sz w:val="20"/>
                <w:szCs w:val="20"/>
                <w:color w:val="auto"/>
              </w:rPr>
            </w:pPr>
            <w:r>
              <w:rPr>
                <w:rFonts w:ascii="Arial" w:cs="Arial" w:eastAsia="Arial" w:hAnsi="Arial"/>
                <w:sz w:val="18"/>
                <w:szCs w:val="18"/>
                <w:color w:val="auto"/>
              </w:rPr>
              <w:t>a Minnesota corporation</w:t>
            </w:r>
          </w:p>
        </w:tc>
        <w:tc>
          <w:tcPr>
            <w:tcW w:w="760" w:type="dxa"/>
            <w:vAlign w:val="bottom"/>
          </w:tcPr>
          <w:p>
            <w:pPr>
              <w:spacing w:after="0"/>
              <w:rPr>
                <w:sz w:val="18"/>
                <w:szCs w:val="18"/>
                <w:color w:val="auto"/>
              </w:rPr>
            </w:pPr>
          </w:p>
        </w:tc>
      </w:tr>
      <w:tr>
        <w:trPr>
          <w:trHeight w:val="392"/>
        </w:trPr>
        <w:tc>
          <w:tcPr>
            <w:tcW w:w="3180" w:type="dxa"/>
            <w:vAlign w:val="bottom"/>
          </w:tcPr>
          <w:p>
            <w:pPr>
              <w:spacing w:after="0"/>
              <w:rPr>
                <w:sz w:val="24"/>
                <w:szCs w:val="24"/>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G. Bolens</w:t>
            </w:r>
          </w:p>
        </w:tc>
        <w:tc>
          <w:tcPr>
            <w:tcW w:w="760" w:type="dxa"/>
            <w:vAlign w:val="bottom"/>
          </w:tcPr>
          <w:p>
            <w:pPr>
              <w:spacing w:after="0"/>
              <w:rPr>
                <w:sz w:val="24"/>
                <w:szCs w:val="24"/>
                <w:color w:val="auto"/>
              </w:rPr>
            </w:pPr>
          </w:p>
        </w:tc>
      </w:tr>
      <w:tr>
        <w:trPr>
          <w:trHeight w:val="209"/>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Barbara G. Bolens</w:t>
            </w:r>
          </w:p>
        </w:tc>
        <w:tc>
          <w:tcPr>
            <w:tcW w:w="760" w:type="dxa"/>
            <w:vAlign w:val="bottom"/>
          </w:tcPr>
          <w:p>
            <w:pPr>
              <w:spacing w:after="0"/>
              <w:rPr>
                <w:sz w:val="18"/>
                <w:szCs w:val="18"/>
                <w:color w:val="auto"/>
              </w:rPr>
            </w:pPr>
          </w:p>
        </w:tc>
      </w:tr>
      <w:tr>
        <w:trPr>
          <w:trHeight w:val="217"/>
        </w:trPr>
        <w:tc>
          <w:tcPr>
            <w:tcW w:w="3180" w:type="dxa"/>
            <w:vAlign w:val="bottom"/>
          </w:tcPr>
          <w:p>
            <w:pPr>
              <w:spacing w:after="0"/>
              <w:rPr>
                <w:sz w:val="18"/>
                <w:szCs w:val="18"/>
                <w:color w:val="auto"/>
              </w:rPr>
            </w:pPr>
          </w:p>
        </w:tc>
        <w:tc>
          <w:tcPr>
            <w:tcW w:w="2520" w:type="dxa"/>
            <w:vAlign w:val="bottom"/>
          </w:tcPr>
          <w:p>
            <w:pPr>
              <w:ind w:left="186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 and Treasurer</w:t>
            </w:r>
          </w:p>
        </w:tc>
        <w:tc>
          <w:tcPr>
            <w:tcW w:w="760" w:type="dxa"/>
            <w:vAlign w:val="bottom"/>
          </w:tcPr>
          <w:p>
            <w:pPr>
              <w:spacing w:after="0"/>
              <w:rPr>
                <w:sz w:val="18"/>
                <w:szCs w:val="18"/>
                <w:color w:val="auto"/>
              </w:rPr>
            </w:pPr>
          </w:p>
        </w:tc>
      </w:tr>
      <w:tr>
        <w:trPr>
          <w:trHeight w:val="605"/>
        </w:trPr>
        <w:tc>
          <w:tcPr>
            <w:tcW w:w="31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ind w:left="3820"/>
        <w:spacing w:after="0"/>
        <w:rPr>
          <w:sz w:val="20"/>
          <w:szCs w:val="20"/>
          <w:color w:val="auto"/>
        </w:rPr>
      </w:pPr>
      <w:r>
        <w:rPr>
          <w:rFonts w:ascii="Arial" w:cs="Arial" w:eastAsia="Arial" w:hAnsi="Arial"/>
          <w:sz w:val="18"/>
          <w:szCs w:val="18"/>
          <w:color w:val="auto"/>
        </w:rPr>
        <w:t>PERMAR SYSTEMS, INC.</w:t>
      </w:r>
    </w:p>
    <w:p>
      <w:pPr>
        <w:ind w:left="3820"/>
        <w:spacing w:after="0" w:line="234" w:lineRule="auto"/>
        <w:rPr>
          <w:sz w:val="20"/>
          <w:szCs w:val="20"/>
          <w:color w:val="auto"/>
        </w:rPr>
      </w:pPr>
      <w:r>
        <w:rPr>
          <w:rFonts w:ascii="Arial" w:cs="Arial" w:eastAsia="Arial" w:hAnsi="Arial"/>
          <w:sz w:val="18"/>
          <w:szCs w:val="18"/>
          <w:color w:val="auto"/>
        </w:rPr>
        <w:t>(d/b/a/ Electromark),</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 New York corporation</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19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AIO HOLDING, INC,</w:t>
      </w:r>
    </w:p>
    <w:p>
      <w:pPr>
        <w:ind w:left="3820"/>
        <w:spacing w:after="0" w:line="234" w:lineRule="auto"/>
        <w:rPr>
          <w:sz w:val="20"/>
          <w:szCs w:val="20"/>
          <w:color w:val="auto"/>
        </w:rPr>
      </w:pPr>
      <w:r>
        <w:rPr>
          <w:rFonts w:ascii="Arial" w:cs="Arial" w:eastAsia="Arial" w:hAnsi="Arial"/>
          <w:sz w:val="18"/>
          <w:szCs w:val="18"/>
          <w:color w:val="auto"/>
        </w:rPr>
        <w:t>(d/b/a Personnel Concepts),</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 Delaware corporation</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19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STOPWARE, INC.</w:t>
      </w:r>
    </w:p>
    <w:p>
      <w:pPr>
        <w:ind w:left="3820"/>
        <w:spacing w:after="0"/>
        <w:rPr>
          <w:sz w:val="20"/>
          <w:szCs w:val="20"/>
          <w:color w:val="auto"/>
        </w:rPr>
      </w:pPr>
      <w:r>
        <w:rPr>
          <w:rFonts w:ascii="Arial" w:cs="Arial" w:eastAsia="Arial" w:hAnsi="Arial"/>
          <w:sz w:val="18"/>
          <w:szCs w:val="18"/>
          <w:color w:val="auto"/>
        </w:rPr>
        <w:t>a California corporation</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19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DUAL CORE LLC,</w:t>
      </w:r>
    </w:p>
    <w:p>
      <w:pPr>
        <w:ind w:left="3820"/>
        <w:spacing w:after="0" w:line="234" w:lineRule="auto"/>
        <w:rPr>
          <w:sz w:val="20"/>
          <w:szCs w:val="20"/>
          <w:color w:val="auto"/>
        </w:rPr>
      </w:pPr>
      <w:r>
        <w:rPr>
          <w:rFonts w:ascii="Arial" w:cs="Arial" w:eastAsia="Arial" w:hAnsi="Arial"/>
          <w:sz w:val="18"/>
          <w:szCs w:val="18"/>
          <w:color w:val="auto"/>
        </w:rPr>
        <w:t>a Wisconsin limited liability company</w:t>
      </w:r>
    </w:p>
    <w:p>
      <w:pPr>
        <w:ind w:left="3820"/>
        <w:spacing w:after="0" w:line="235" w:lineRule="auto"/>
        <w:rPr>
          <w:sz w:val="20"/>
          <w:szCs w:val="20"/>
          <w:color w:val="auto"/>
        </w:rPr>
      </w:pPr>
      <w:r>
        <w:rPr>
          <w:rFonts w:ascii="Arial" w:cs="Arial" w:eastAsia="Arial" w:hAnsi="Arial"/>
          <w:sz w:val="18"/>
          <w:szCs w:val="18"/>
          <w:color w:val="auto"/>
        </w:rPr>
        <w:t>(f/k/a Identicard Systems Worldwide, Inc.,</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 Pennsylvania corporation)</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19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BRADY PEOPLE IDENTIFICATION LLC</w:t>
      </w:r>
    </w:p>
    <w:p>
      <w:pPr>
        <w:ind w:left="3820"/>
        <w:spacing w:after="0"/>
        <w:rPr>
          <w:sz w:val="20"/>
          <w:szCs w:val="20"/>
          <w:color w:val="auto"/>
        </w:rPr>
      </w:pPr>
      <w:r>
        <w:rPr>
          <w:rFonts w:ascii="Arial" w:cs="Arial" w:eastAsia="Arial" w:hAnsi="Arial"/>
          <w:sz w:val="18"/>
          <w:szCs w:val="18"/>
          <w:color w:val="auto"/>
        </w:rPr>
        <w:t>a Wisconsin limited liability company</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198"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COMPREHENSIVE IDENTIFICATION PRODUCTS, INC.</w:t>
      </w:r>
    </w:p>
    <w:p>
      <w:pPr>
        <w:spacing w:after="0" w:line="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 Massachusetts corporation</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381635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9" w:name="page10"/>
    <w:bookmarkEnd w:id="9"/>
    <w:p>
      <w:pPr>
        <w:ind w:left="3820"/>
        <w:spacing w:after="0"/>
        <w:rPr>
          <w:sz w:val="20"/>
          <w:szCs w:val="20"/>
          <w:color w:val="auto"/>
        </w:rPr>
      </w:pPr>
      <w:r>
        <w:rPr>
          <w:rFonts w:ascii="Arial" w:cs="Arial" w:eastAsia="Arial" w:hAnsi="Arial"/>
          <w:sz w:val="18"/>
          <w:szCs w:val="18"/>
          <w:color w:val="auto"/>
        </w:rPr>
        <w:t>PV ACQUISITIONS LLC</w:t>
      </w:r>
    </w:p>
    <w:p>
      <w:pPr>
        <w:ind w:left="3820"/>
        <w:spacing w:after="0"/>
        <w:rPr>
          <w:sz w:val="20"/>
          <w:szCs w:val="20"/>
          <w:color w:val="auto"/>
        </w:rPr>
      </w:pPr>
      <w:r>
        <w:rPr>
          <w:rFonts w:ascii="Arial" w:cs="Arial" w:eastAsia="Arial" w:hAnsi="Arial"/>
          <w:sz w:val="18"/>
          <w:szCs w:val="18"/>
          <w:color w:val="auto"/>
        </w:rPr>
        <w:t>a Delaware limited liability company</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19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BRADY MEXICO HOLDING LLC</w:t>
      </w:r>
    </w:p>
    <w:p>
      <w:pPr>
        <w:ind w:left="3820"/>
        <w:spacing w:after="0"/>
        <w:rPr>
          <w:sz w:val="20"/>
          <w:szCs w:val="20"/>
          <w:color w:val="auto"/>
        </w:rPr>
      </w:pPr>
      <w:r>
        <w:rPr>
          <w:rFonts w:ascii="Arial" w:cs="Arial" w:eastAsia="Arial" w:hAnsi="Arial"/>
          <w:sz w:val="18"/>
          <w:szCs w:val="18"/>
          <w:color w:val="auto"/>
        </w:rPr>
        <w:t>a Delaware limited liability company</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194"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BRADY PRECISION CONVERTING, LLC</w:t>
      </w:r>
    </w:p>
    <w:p>
      <w:pPr>
        <w:ind w:left="3820"/>
        <w:spacing w:after="0"/>
        <w:rPr>
          <w:sz w:val="20"/>
          <w:szCs w:val="20"/>
          <w:color w:val="auto"/>
        </w:rPr>
      </w:pPr>
      <w:r>
        <w:rPr>
          <w:rFonts w:ascii="Arial" w:cs="Arial" w:eastAsia="Arial" w:hAnsi="Arial"/>
          <w:sz w:val="18"/>
          <w:szCs w:val="18"/>
          <w:color w:val="auto"/>
        </w:rPr>
        <w:t>a Wisconsin limited liability company</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198"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CLEMENT COMMUNICATIONS, INCORPORATED</w:t>
      </w:r>
    </w:p>
    <w:p>
      <w:pPr>
        <w:spacing w:after="0" w:line="7"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 Pennsylvania corporation</w:t>
      </w:r>
    </w:p>
    <w:p>
      <w:pPr>
        <w:spacing w:after="0" w:line="198" w:lineRule="exact"/>
        <w:rPr>
          <w:sz w:val="20"/>
          <w:szCs w:val="20"/>
          <w:color w:val="auto"/>
        </w:rPr>
      </w:pPr>
    </w:p>
    <w:p>
      <w:pPr>
        <w:ind w:left="382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G. Bolens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-1905</wp:posOffset>
            </wp:positionV>
            <wp:extent cx="31642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3820"/>
        <w:spacing w:after="0"/>
        <w:rPr>
          <w:sz w:val="20"/>
          <w:szCs w:val="20"/>
          <w:color w:val="auto"/>
        </w:rPr>
      </w:pPr>
      <w:r>
        <w:rPr>
          <w:rFonts w:ascii="Arial" w:cs="Arial" w:eastAsia="Arial" w:hAnsi="Arial"/>
          <w:sz w:val="18"/>
          <w:szCs w:val="18"/>
          <w:color w:val="auto"/>
        </w:rPr>
        <w:t>Name: Barbara G. Bolens</w:t>
      </w:r>
    </w:p>
    <w:p>
      <w:pPr>
        <w:ind w:left="3820"/>
        <w:spacing w:after="0"/>
        <w:tabs>
          <w:tab w:leader="none" w:pos="4440" w:val="left"/>
        </w:tabs>
        <w:rPr>
          <w:sz w:val="20"/>
          <w:szCs w:val="20"/>
          <w:color w:val="auto"/>
        </w:rPr>
      </w:pPr>
      <w:r>
        <w:rPr>
          <w:rFonts w:ascii="Arial" w:cs="Arial" w:eastAsia="Arial" w:hAnsi="Arial"/>
          <w:sz w:val="18"/>
          <w:szCs w:val="18"/>
          <w:color w:val="auto"/>
        </w:rPr>
        <w:t>Title:</w:t>
        <w:tab/>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381635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Arial" w:cs="Arial" w:eastAsia="Arial" w:hAnsi="Arial"/>
                <w:sz w:val="18"/>
                <w:szCs w:val="18"/>
                <w:color w:val="auto"/>
              </w:rPr>
              <w:t>ADMINISTRATIVE</w:t>
            </w:r>
          </w:p>
        </w:tc>
        <w:tc>
          <w:tcPr>
            <w:tcW w:w="242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AGENT:</w:t>
            </w:r>
          </w:p>
        </w:tc>
        <w:tc>
          <w:tcPr>
            <w:tcW w:w="7380" w:type="dxa"/>
            <w:vAlign w:val="bottom"/>
            <w:gridSpan w:val="2"/>
          </w:tcPr>
          <w:p>
            <w:pPr>
              <w:ind w:left="1780"/>
              <w:spacing w:after="0" w:line="202" w:lineRule="exact"/>
              <w:rPr>
                <w:sz w:val="20"/>
                <w:szCs w:val="20"/>
                <w:color w:val="auto"/>
              </w:rPr>
            </w:pPr>
            <w:r>
              <w:rPr>
                <w:rFonts w:ascii="Arial" w:cs="Arial" w:eastAsia="Arial" w:hAnsi="Arial"/>
                <w:sz w:val="18"/>
                <w:szCs w:val="18"/>
                <w:color w:val="auto"/>
              </w:rPr>
              <w:t>BANK OF AMERICA, N.A.,</w:t>
            </w:r>
          </w:p>
        </w:tc>
      </w:tr>
      <w:tr>
        <w:trPr>
          <w:trHeight w:val="217"/>
        </w:trPr>
        <w:tc>
          <w:tcPr>
            <w:tcW w:w="3280" w:type="dxa"/>
            <w:vAlign w:val="bottom"/>
          </w:tcPr>
          <w:p>
            <w:pPr>
              <w:spacing w:after="0"/>
              <w:rPr>
                <w:sz w:val="18"/>
                <w:szCs w:val="18"/>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as Administrative Agent</w:t>
            </w:r>
          </w:p>
        </w:tc>
      </w:tr>
      <w:tr>
        <w:trPr>
          <w:trHeight w:val="392"/>
        </w:trPr>
        <w:tc>
          <w:tcPr>
            <w:tcW w:w="328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Brashler</w:t>
            </w:r>
          </w:p>
        </w:tc>
      </w:tr>
      <w:tr>
        <w:trPr>
          <w:trHeight w:val="209"/>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Michael Brashler</w:t>
            </w:r>
          </w:p>
        </w:tc>
      </w:tr>
      <w:tr>
        <w:trPr>
          <w:trHeight w:val="217"/>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391"/>
        </w:trPr>
        <w:tc>
          <w:tcPr>
            <w:tcW w:w="3280" w:type="dxa"/>
            <w:vAlign w:val="bottom"/>
          </w:tcPr>
          <w:p>
            <w:pPr>
              <w:spacing w:after="0"/>
              <w:rPr>
                <w:sz w:val="20"/>
                <w:szCs w:val="20"/>
                <w:color w:val="auto"/>
              </w:rPr>
            </w:pPr>
            <w:r>
              <w:rPr>
                <w:rFonts w:ascii="Arial" w:cs="Arial" w:eastAsia="Arial" w:hAnsi="Arial"/>
                <w:sz w:val="18"/>
                <w:szCs w:val="18"/>
                <w:color w:val="auto"/>
              </w:rPr>
              <w:t>LENDERS:</w:t>
            </w: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BANK OF AMERICA, N.A.,</w:t>
            </w:r>
          </w:p>
        </w:tc>
      </w:tr>
      <w:tr>
        <w:trPr>
          <w:trHeight w:val="217"/>
        </w:trPr>
        <w:tc>
          <w:tcPr>
            <w:tcW w:w="3280" w:type="dxa"/>
            <w:vAlign w:val="bottom"/>
          </w:tcPr>
          <w:p>
            <w:pPr>
              <w:spacing w:after="0"/>
              <w:rPr>
                <w:sz w:val="18"/>
                <w:szCs w:val="18"/>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as a Lender, L/C Issuer and Swing Line Lender</w:t>
            </w:r>
          </w:p>
        </w:tc>
      </w:tr>
      <w:tr>
        <w:trPr>
          <w:trHeight w:val="392"/>
        </w:trPr>
        <w:tc>
          <w:tcPr>
            <w:tcW w:w="328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K. Kessler</w:t>
            </w:r>
          </w:p>
        </w:tc>
      </w:tr>
      <w:tr>
        <w:trPr>
          <w:trHeight w:val="209"/>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Steven K. Kessler</w:t>
            </w:r>
          </w:p>
        </w:tc>
      </w:tr>
      <w:tr>
        <w:trPr>
          <w:trHeight w:val="217"/>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391"/>
        </w:trPr>
        <w:tc>
          <w:tcPr>
            <w:tcW w:w="3280" w:type="dxa"/>
            <w:vAlign w:val="bottom"/>
          </w:tcPr>
          <w:p>
            <w:pPr>
              <w:spacing w:after="0"/>
              <w:rPr>
                <w:sz w:val="24"/>
                <w:szCs w:val="24"/>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HARRIS N.A.,</w:t>
            </w:r>
          </w:p>
        </w:tc>
      </w:tr>
      <w:tr>
        <w:trPr>
          <w:trHeight w:val="217"/>
        </w:trPr>
        <w:tc>
          <w:tcPr>
            <w:tcW w:w="3280" w:type="dxa"/>
            <w:vAlign w:val="bottom"/>
          </w:tcPr>
          <w:p>
            <w:pPr>
              <w:spacing w:after="0"/>
              <w:rPr>
                <w:sz w:val="18"/>
                <w:szCs w:val="18"/>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as a Lender</w:t>
            </w:r>
          </w:p>
        </w:tc>
      </w:tr>
      <w:tr>
        <w:trPr>
          <w:trHeight w:val="392"/>
        </w:trPr>
        <w:tc>
          <w:tcPr>
            <w:tcW w:w="328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Cavaiani</w:t>
            </w:r>
          </w:p>
        </w:tc>
      </w:tr>
      <w:tr>
        <w:trPr>
          <w:trHeight w:val="209"/>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Christopher C. Cavaiani</w:t>
            </w:r>
          </w:p>
        </w:tc>
      </w:tr>
      <w:tr>
        <w:trPr>
          <w:trHeight w:val="217"/>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391"/>
        </w:trPr>
        <w:tc>
          <w:tcPr>
            <w:tcW w:w="3280" w:type="dxa"/>
            <w:vAlign w:val="bottom"/>
          </w:tcPr>
          <w:p>
            <w:pPr>
              <w:spacing w:after="0"/>
              <w:rPr>
                <w:sz w:val="24"/>
                <w:szCs w:val="24"/>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M &amp;I MARSHALL &amp; ILSLEY BANK,</w:t>
            </w:r>
          </w:p>
        </w:tc>
      </w:tr>
      <w:tr>
        <w:trPr>
          <w:trHeight w:val="217"/>
        </w:trPr>
        <w:tc>
          <w:tcPr>
            <w:tcW w:w="3280" w:type="dxa"/>
            <w:vAlign w:val="bottom"/>
          </w:tcPr>
          <w:p>
            <w:pPr>
              <w:spacing w:after="0"/>
              <w:rPr>
                <w:sz w:val="18"/>
                <w:szCs w:val="18"/>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as a Lender</w:t>
            </w:r>
          </w:p>
        </w:tc>
      </w:tr>
      <w:tr>
        <w:trPr>
          <w:trHeight w:val="392"/>
        </w:trPr>
        <w:tc>
          <w:tcPr>
            <w:tcW w:w="328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 D. Freeman</w:t>
            </w:r>
          </w:p>
        </w:tc>
      </w:tr>
      <w:tr>
        <w:trPr>
          <w:trHeight w:val="209"/>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Leo D. Freeman</w:t>
            </w:r>
          </w:p>
        </w:tc>
      </w:tr>
      <w:tr>
        <w:trPr>
          <w:trHeight w:val="217"/>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392"/>
        </w:trPr>
        <w:tc>
          <w:tcPr>
            <w:tcW w:w="328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R. Miller</w:t>
            </w:r>
          </w:p>
        </w:tc>
      </w:tr>
      <w:tr>
        <w:trPr>
          <w:trHeight w:val="209"/>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James R. Miller</w:t>
            </w:r>
          </w:p>
        </w:tc>
      </w:tr>
      <w:tr>
        <w:trPr>
          <w:trHeight w:val="217"/>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391"/>
        </w:trPr>
        <w:tc>
          <w:tcPr>
            <w:tcW w:w="3280" w:type="dxa"/>
            <w:vAlign w:val="bottom"/>
          </w:tcPr>
          <w:p>
            <w:pPr>
              <w:spacing w:after="0"/>
              <w:rPr>
                <w:sz w:val="24"/>
                <w:szCs w:val="24"/>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PNC BANK, N.A.,</w:t>
            </w:r>
          </w:p>
        </w:tc>
      </w:tr>
      <w:tr>
        <w:trPr>
          <w:trHeight w:val="217"/>
        </w:trPr>
        <w:tc>
          <w:tcPr>
            <w:tcW w:w="3280" w:type="dxa"/>
            <w:vAlign w:val="bottom"/>
          </w:tcPr>
          <w:p>
            <w:pPr>
              <w:spacing w:after="0"/>
              <w:rPr>
                <w:sz w:val="18"/>
                <w:szCs w:val="18"/>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as a Lender</w:t>
            </w:r>
          </w:p>
        </w:tc>
      </w:tr>
      <w:tr>
        <w:trPr>
          <w:trHeight w:val="432"/>
        </w:trPr>
        <w:tc>
          <w:tcPr>
            <w:tcW w:w="328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W.J. Bowne</w:t>
            </w:r>
          </w:p>
        </w:tc>
      </w:tr>
      <w:tr>
        <w:trPr>
          <w:trHeight w:val="209"/>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W.J. Bowne</w:t>
            </w:r>
          </w:p>
        </w:tc>
      </w:tr>
      <w:tr>
        <w:trPr>
          <w:trHeight w:val="217"/>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391"/>
        </w:trPr>
        <w:tc>
          <w:tcPr>
            <w:tcW w:w="3280" w:type="dxa"/>
            <w:vAlign w:val="bottom"/>
          </w:tcPr>
          <w:p>
            <w:pPr>
              <w:spacing w:after="0"/>
              <w:rPr>
                <w:sz w:val="24"/>
                <w:szCs w:val="24"/>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WELLS FARGO BANK, N.A.,</w:t>
            </w:r>
          </w:p>
        </w:tc>
      </w:tr>
      <w:tr>
        <w:trPr>
          <w:trHeight w:val="217"/>
        </w:trPr>
        <w:tc>
          <w:tcPr>
            <w:tcW w:w="3280" w:type="dxa"/>
            <w:vAlign w:val="bottom"/>
          </w:tcPr>
          <w:p>
            <w:pPr>
              <w:spacing w:after="0"/>
              <w:rPr>
                <w:sz w:val="18"/>
                <w:szCs w:val="18"/>
                <w:color w:val="auto"/>
              </w:rPr>
            </w:pPr>
          </w:p>
        </w:tc>
        <w:tc>
          <w:tcPr>
            <w:tcW w:w="7380" w:type="dxa"/>
            <w:vAlign w:val="bottom"/>
            <w:gridSpan w:val="2"/>
          </w:tcPr>
          <w:p>
            <w:pPr>
              <w:ind w:left="1780"/>
              <w:spacing w:after="0"/>
              <w:rPr>
                <w:sz w:val="20"/>
                <w:szCs w:val="20"/>
                <w:color w:val="auto"/>
              </w:rPr>
            </w:pPr>
            <w:r>
              <w:rPr>
                <w:rFonts w:ascii="Arial" w:cs="Arial" w:eastAsia="Arial" w:hAnsi="Arial"/>
                <w:sz w:val="18"/>
                <w:szCs w:val="18"/>
                <w:color w:val="auto"/>
              </w:rPr>
              <w:t>as a Lender</w:t>
            </w:r>
          </w:p>
        </w:tc>
      </w:tr>
      <w:tr>
        <w:trPr>
          <w:trHeight w:val="392"/>
        </w:trPr>
        <w:tc>
          <w:tcPr>
            <w:tcW w:w="328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Hennessy</w:t>
            </w:r>
          </w:p>
        </w:tc>
      </w:tr>
      <w:tr>
        <w:trPr>
          <w:trHeight w:val="209"/>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Paul J. Hennessy</w:t>
            </w:r>
          </w:p>
        </w:tc>
      </w:tr>
      <w:tr>
        <w:trPr>
          <w:trHeight w:val="217"/>
        </w:trPr>
        <w:tc>
          <w:tcPr>
            <w:tcW w:w="3280" w:type="dxa"/>
            <w:vAlign w:val="bottom"/>
          </w:tcPr>
          <w:p>
            <w:pPr>
              <w:spacing w:after="0"/>
              <w:rPr>
                <w:sz w:val="18"/>
                <w:szCs w:val="18"/>
                <w:color w:val="auto"/>
              </w:rPr>
            </w:pPr>
          </w:p>
        </w:tc>
        <w:tc>
          <w:tcPr>
            <w:tcW w:w="2420" w:type="dxa"/>
            <w:vAlign w:val="bottom"/>
          </w:tcPr>
          <w:p>
            <w:pPr>
              <w:ind w:left="178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 w:lineRule="exact"/>
        <w:rPr>
          <w:sz w:val="20"/>
          <w:szCs w:val="20"/>
          <w:color w:val="auto"/>
        </w:rPr>
      </w:pPr>
    </w:p>
    <w:sectPr>
      <w:pgSz w:w="11900" w:h="16838" w:orient="portrait"/>
      <w:cols w:equalWidth="0" w:num="1">
        <w:col w:w="10660"/>
      </w:cols>
      <w:pgMar w:left="240" w:top="114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14"/>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decimal"/>
      <w:start w:val="2"/>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2"/>
    </w:lvl>
  </w:abstractNum>
  <w:abstractNum w:abstractNumId="6">
    <w:nsid w:val="79E2A9E3"/>
    <w:multiLevelType w:val="hybridMultilevel"/>
    <w:lvl w:ilvl="0">
      <w:lvlJc w:val="left"/>
      <w:lvlText w:val="%1."/>
      <w:numFmt w:val="decimal"/>
      <w:start w:val="3"/>
    </w:lvl>
    <w:lvl w:ilvl="1">
      <w:lvlJc w:val="left"/>
      <w:lvlText w:val="(%2)"/>
      <w:numFmt w:val="lowerLetter"/>
      <w:start w:val="1"/>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2019-12-13T14:10:37Z</dcterms:created>
  <dcterms:modified xsi:type="dcterms:W3CDTF">2019-12-13T14:10:37Z</dcterms:modified>
</cp:coreProperties>
</file>