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147955</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139065</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5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380" w:type="dxa"/>
            <w:vAlign w:val="bottom"/>
          </w:tcPr>
          <w:p>
            <w:pPr>
              <w:jc w:val="right"/>
              <w:ind w:right="2299"/>
              <w:spacing w:after="0"/>
              <w:rPr>
                <w:sz w:val="20"/>
                <w:szCs w:val="20"/>
                <w:color w:val="auto"/>
              </w:rPr>
            </w:pPr>
            <w:r>
              <w:rPr>
                <w:rFonts w:ascii="Times New Roman" w:cs="Times New Roman" w:eastAsia="Times New Roman" w:hAnsi="Times New Roman"/>
                <w:sz w:val="18"/>
                <w:szCs w:val="18"/>
                <w:b w:val="1"/>
                <w:bCs w:val="1"/>
                <w:color w:val="auto"/>
              </w:rPr>
              <w:t>1-14959</w:t>
            </w:r>
          </w:p>
        </w:tc>
      </w:tr>
      <w:tr>
        <w:trPr>
          <w:trHeight w:val="182"/>
        </w:trPr>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0" w:type="dxa"/>
            <w:vAlign w:val="bottom"/>
          </w:tcPr>
          <w:p>
            <w:pPr>
              <w:spacing w:after="0"/>
              <w:rPr>
                <w:sz w:val="15"/>
                <w:szCs w:val="15"/>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r>
      <w:tr>
        <w:trPr>
          <w:trHeight w:val="851"/>
        </w:trPr>
        <w:tc>
          <w:tcPr>
            <w:tcW w:w="5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6555 West Good Hope Road, Milwaukee, Wisconsin</w:t>
            </w:r>
          </w:p>
        </w:tc>
        <w:tc>
          <w:tcPr>
            <w:tcW w:w="5380" w:type="dxa"/>
            <w:vAlign w:val="bottom"/>
          </w:tcPr>
          <w:p>
            <w:pPr>
              <w:jc w:val="right"/>
              <w:ind w:right="2379"/>
              <w:spacing w:after="0"/>
              <w:rPr>
                <w:sz w:val="20"/>
                <w:szCs w:val="20"/>
                <w:color w:val="auto"/>
              </w:rPr>
            </w:pPr>
            <w:r>
              <w:rPr>
                <w:rFonts w:ascii="Times New Roman" w:cs="Times New Roman" w:eastAsia="Times New Roman" w:hAnsi="Times New Roman"/>
                <w:sz w:val="18"/>
                <w:szCs w:val="18"/>
                <w:b w:val="1"/>
                <w:bCs w:val="1"/>
                <w:color w:val="auto"/>
              </w:rPr>
              <w:t>53223</w:t>
            </w:r>
          </w:p>
        </w:tc>
      </w:tr>
      <w:tr>
        <w:trPr>
          <w:trHeight w:val="182"/>
        </w:trPr>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0" w:type="dxa"/>
            <w:vAlign w:val="bottom"/>
          </w:tcPr>
          <w:p>
            <w:pPr>
              <w:spacing w:after="0"/>
              <w:rPr>
                <w:sz w:val="15"/>
                <w:szCs w:val="15"/>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Andrew T. Gorman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(414) 358-6600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9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117"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ectPr>
          <w:pgSz w:w="11900" w:h="16838" w:orient="portrait"/>
          <w:cols w:equalWidth="0" w:num="1">
            <w:col w:w="11220"/>
          </w:cols>
          <w:pgMar w:left="320" w:top="98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Brady Corporation and its subsidiaries (“Brady,” the “Company,” “we,” “us,” or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(“DRC”) or an adjoining country (the “Covered Countries”). For calendar year 2023, Brady has conducted its reasonable country of origin inquiry (“RCOI”) in good faith for the products manufactured, or contracted to manufacture, by the Company where 3TG Minerals are necessary to the functionality or production of such products. We also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DRC and the Covered Countries. However, our due diligence with our suppliers is ongoing with continuous improvement in our supply chain transparency and responsible sourcing of materials contained in our products.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RCOI described in our Conflict Minerals Report, several suppliers disclosed to us that their only sources of 3TG Minerals were from 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Disclosure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calendar year 2023, Brady Corporation is filing a Conflict Minerals Report which is attached as Exhibit 1.01 in Item 3.01 and is also publicly available on our website at the below link.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https://www.bradyid.com/corporate/supplier-information</w:t>
      </w:r>
    </w:p>
    <w:p>
      <w:pPr>
        <w:spacing w:after="0" w:line="289"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tab/>
        <w:t>Resource Extraction Issuer Disclosure and Report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as required by Items 1.01 and 1.02 of this Form SD for calendar year ended December 31, 2023.</w:t>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/s/ ANN E. THORNTON</w:t>
      </w:r>
      <w:r>
        <w:rPr>
          <w:sz w:val="20"/>
          <w:szCs w:val="20"/>
          <w:color w:val="auto"/>
        </w:rPr>
        <w:tab/>
      </w:r>
      <w:r>
        <w:rPr>
          <w:rFonts w:ascii="Times New Roman" w:cs="Times New Roman" w:eastAsia="Times New Roman" w:hAnsi="Times New Roman"/>
          <w:sz w:val="17"/>
          <w:szCs w:val="17"/>
          <w:color w:val="auto"/>
        </w:rPr>
        <w:t>Date: May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 E. Thornton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2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1130" w:right="339" w:bottom="1440" w:gutter="0" w:footer="0" w:header="0"/>
        </w:sectPr>
      </w:pPr>
    </w:p>
    <w:bookmarkStart w:id="3" w:name="page4"/>
    <w:bookmarkEnd w:id="3"/>
    <w:p>
      <w:pPr>
        <w:ind w:left="97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30" w:lineRule="exact"/>
        <w:rPr>
          <w:sz w:val="20"/>
          <w:szCs w:val="20"/>
          <w:color w:val="auto"/>
        </w:rPr>
      </w:pPr>
    </w:p>
    <w:p>
      <w:pPr>
        <w:ind w:left="400" w:hanging="378"/>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report has been prepared by management of Brady Corporation (hereinafter referred to as “Brady,” the “Company,” “we,” “us,” or “our”) pursuant to Rule 13p-1 under the Securities Exchange Act of 1934 as amended, for the reporting period January 1 to December 31, 2023. The report discusses efforts undertaken by Brady to determine whether our products contain cassiterite,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 (“Covered Countries”). The scope of the reasonable country of origin inquiry (“RCOI”) and due diligence efforts discussed includes products both sourced directly by, and manufactured for Brady in calendar year 2023.</w:t>
      </w:r>
    </w:p>
    <w:p>
      <w:pPr>
        <w:spacing w:after="0" w:line="215" w:lineRule="exact"/>
        <w:rPr>
          <w:rFonts w:ascii="Times New Roman" w:cs="Times New Roman" w:eastAsia="Times New Roman" w:hAnsi="Times New Roman"/>
          <w:sz w:val="18"/>
          <w:szCs w:val="18"/>
          <w:b w:val="1"/>
          <w:bCs w:val="1"/>
          <w:color w:val="auto"/>
        </w:rPr>
      </w:pPr>
    </w:p>
    <w:p>
      <w:pPr>
        <w:ind w:left="4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statements below are based on the activities performed to date in good faith by Brady and are based on information available at the time of this filing.</w:t>
      </w:r>
    </w:p>
    <w:p>
      <w:pPr>
        <w:spacing w:after="0" w:line="188" w:lineRule="exact"/>
        <w:rPr>
          <w:rFonts w:ascii="Times New Roman" w:cs="Times New Roman" w:eastAsia="Times New Roman" w:hAnsi="Times New Roman"/>
          <w:sz w:val="18"/>
          <w:szCs w:val="18"/>
          <w:b w:val="1"/>
          <w:bCs w:val="1"/>
          <w:color w:val="auto"/>
        </w:rPr>
      </w:pPr>
    </w:p>
    <w:p>
      <w:pPr>
        <w:jc w:val="both"/>
        <w:ind w:left="4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 from the smelter or mine. The information available globally on the traceability and sourcing of these ores is limited at this time, and this situation is not unique to Brady.</w:t>
      </w:r>
    </w:p>
    <w:p>
      <w:pPr>
        <w:spacing w:after="0" w:line="210" w:lineRule="exact"/>
        <w:rPr>
          <w:sz w:val="20"/>
          <w:szCs w:val="20"/>
          <w:color w:val="auto"/>
        </w:rPr>
      </w:pPr>
    </w:p>
    <w:p>
      <w:pPr>
        <w:ind w:left="400" w:hanging="394"/>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2023 RCOI began with identifying the products we manufacture or contract to manufacture that have a possibility of containing 3TG Minerals, or where 3TG Minerals are required for the functionality or production of such products. In 2023, Brady expanded the scope of the review of its product lines by evaluating new products and their material suppliers during the filing year, and where there was uncertainty about whether a particular product potentially contained 3TG Minerals, it was included in the 2023 inquiries. The potential suppliers of the 3TG Minerals that may 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214" w:lineRule="exact"/>
        <w:rPr>
          <w:rFonts w:ascii="Times New Roman" w:cs="Times New Roman" w:eastAsia="Times New Roman" w:hAnsi="Times New Roman"/>
          <w:sz w:val="18"/>
          <w:szCs w:val="18"/>
          <w:b w:val="1"/>
          <w:bCs w:val="1"/>
          <w:color w:val="auto"/>
        </w:rPr>
      </w:pPr>
    </w:p>
    <w:p>
      <w:pPr>
        <w:jc w:val="both"/>
        <w:ind w:left="4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conducted its RCOI of those suppliers deemed in scope, using the Conflict Materials Reporting Template (CMRT), which is the Responsible Minerals Initiative (RMI) reporting template. 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included an escalation procedure seeking information from non-responsive suppliers resulting in 100% in-scope supplier responses.</w:t>
      </w:r>
    </w:p>
    <w:p>
      <w:pPr>
        <w:spacing w:after="0" w:line="210"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2023, 299 unique smelters were identified as potentially being part of our supply chain. In addition, Brady undertook due diligence on the identified smelters to determine their status regarding 3TG Minerals.</w:t>
      </w:r>
    </w:p>
    <w:p>
      <w:pPr>
        <w:spacing w:after="0" w:line="18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such, we believe our process was reasonably designed and performed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500" w:top="887" w:right="339" w:bottom="1440" w:gutter="0" w:footer="0" w:header="0"/>
        </w:sectPr>
      </w:pPr>
    </w:p>
    <w:bookmarkStart w:id="4" w:name="page5"/>
    <w:bookmarkEnd w:id="4"/>
    <w:p>
      <w:pPr>
        <w:ind w:left="380" w:hanging="374"/>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of Due Diligence Measures</w:t>
      </w:r>
    </w:p>
    <w:p>
      <w:pPr>
        <w:spacing w:after="0" w:line="254" w:lineRule="exact"/>
        <w:rPr>
          <w:rFonts w:ascii="Times New Roman" w:cs="Times New Roman" w:eastAsia="Times New Roman" w:hAnsi="Times New Roman"/>
          <w:sz w:val="18"/>
          <w:szCs w:val="18"/>
          <w:b w:val="1"/>
          <w:bCs w:val="1"/>
          <w:color w:val="auto"/>
        </w:rPr>
      </w:pPr>
    </w:p>
    <w:p>
      <w:pPr>
        <w:jc w:val="both"/>
        <w:ind w:left="40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Brady designed its 3TG Minerals compliance procedures based on, and in conformity with, the five-step framework the </w:t>
      </w:r>
      <w:r>
        <w:rPr>
          <w:rFonts w:ascii="Times New Roman" w:cs="Times New Roman" w:eastAsia="Times New Roman" w:hAnsi="Times New Roman"/>
          <w:sz w:val="18"/>
          <w:szCs w:val="18"/>
          <w:i w:val="1"/>
          <w:iCs w:val="1"/>
          <w:color w:val="auto"/>
        </w:rPr>
        <w:t>OECD Due Diligence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Guidance for Responsible Supply Chains of Minerals from Conflict-Affected and High-Risk Areas: Third Edition</w:t>
      </w:r>
      <w:r>
        <w:rPr>
          <w:rFonts w:ascii="Times New Roman" w:cs="Times New Roman" w:eastAsia="Times New Roman" w:hAnsi="Times New Roman"/>
          <w:sz w:val="18"/>
          <w:szCs w:val="18"/>
          <w:color w:val="auto"/>
        </w:rPr>
        <w:t>, and related supplements on 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tungsten, tantalum, and the supplement on gold, as these relate to our position in the supply chain as a downstream user.</w:t>
      </w:r>
    </w:p>
    <w:p>
      <w:pPr>
        <w:spacing w:after="0" w:line="20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1: Maintain strong company management systems</w:t>
      </w:r>
    </w:p>
    <w:p>
      <w:pPr>
        <w:spacing w:after="0" w:line="27"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2: Identify and assess risks in the supply chain</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4: Support independent third-party audits of smelter/refiner's due diligence practices</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5: Report annually on supply chain due diligence</w:t>
      </w:r>
    </w:p>
    <w:p>
      <w:pPr>
        <w:spacing w:after="0" w:line="22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Measures Performed by Brady Corporation</w:t>
      </w:r>
    </w:p>
    <w:p>
      <w:pPr>
        <w:spacing w:after="0" w:line="22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are the due diligence measures performed by Brady with respect to the reporting year:</w:t>
      </w:r>
    </w:p>
    <w:p>
      <w:pPr>
        <w:spacing w:after="0" w:line="248" w:lineRule="exact"/>
        <w:rPr>
          <w:rFonts w:ascii="Times New Roman" w:cs="Times New Roman" w:eastAsia="Times New Roman" w:hAnsi="Times New Roman"/>
          <w:sz w:val="18"/>
          <w:szCs w:val="18"/>
          <w:b w:val="1"/>
          <w:bCs w:val="1"/>
          <w:color w:val="auto"/>
        </w:rPr>
      </w:pPr>
    </w:p>
    <w:p>
      <w:pPr>
        <w:ind w:left="800" w:hanging="405"/>
        <w:spacing w:after="0"/>
        <w:tabs>
          <w:tab w:leader="none" w:pos="80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1-Maintain strong company management systems</w:t>
      </w:r>
    </w:p>
    <w:p>
      <w:pPr>
        <w:spacing w:after="0" w:line="256" w:lineRule="exact"/>
        <w:rPr>
          <w:rFonts w:ascii="Times New Roman" w:cs="Times New Roman" w:eastAsia="Times New Roman" w:hAnsi="Times New Roman"/>
          <w:sz w:val="18"/>
          <w:szCs w:val="18"/>
          <w:b w:val="1"/>
          <w:bCs w:val="1"/>
          <w:color w:val="auto"/>
        </w:rPr>
      </w:pPr>
    </w:p>
    <w:p>
      <w:pPr>
        <w:ind w:left="1120" w:right="220" w:hanging="320"/>
        <w:spacing w:after="0" w:line="261"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maintains an internal conflict minerals team involving sourcing and global product compliance staff. The focus of this team is to implement our Conflict Minerals program and ensure compliance.</w:t>
      </w:r>
    </w:p>
    <w:p>
      <w:pPr>
        <w:ind w:left="1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maintains a Conflict Minerals Policy, which is available on our company website (see link below) in addition to our due diligence process for assessing the chain of custody of 3TG Minerals.</w:t>
      </w: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https://www.bradyid.com/corporate/supplier-information</w:t>
      </w:r>
    </w:p>
    <w:p>
      <w:pPr>
        <w:spacing w:after="0" w:line="9" w:lineRule="exact"/>
        <w:rPr>
          <w:rFonts w:ascii="Times New Roman" w:cs="Times New Roman" w:eastAsia="Times New Roman" w:hAnsi="Times New Roman"/>
          <w:sz w:val="18"/>
          <w:szCs w:val="18"/>
          <w:color w:val="auto"/>
        </w:rPr>
      </w:pPr>
    </w:p>
    <w:p>
      <w:pPr>
        <w:ind w:left="1120" w:right="20" w:hanging="320"/>
        <w:spacing w:after="0" w:line="250" w:lineRule="auto"/>
        <w:tabs>
          <w:tab w:leader="none" w:pos="1143"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engagement – Brady conducted internal training to educate relevant employees in our conflict minerals program including reporting obligations.</w:t>
      </w: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engagement – Brady communicated the requirements of the conflict minerals rule to its suppliers regarding 3TG Minerals.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team reports on our conflict minerals program to relevant business leaders and the head of Global Compliance.</w:t>
      </w:r>
    </w:p>
    <w:p>
      <w:pPr>
        <w:spacing w:after="0" w:line="9" w:lineRule="exact"/>
        <w:rPr>
          <w:rFonts w:ascii="Times New Roman" w:cs="Times New Roman" w:eastAsia="Times New Roman" w:hAnsi="Times New Roman"/>
          <w:sz w:val="18"/>
          <w:szCs w:val="18"/>
          <w:color w:val="auto"/>
        </w:rPr>
      </w:pPr>
    </w:p>
    <w:p>
      <w:pPr>
        <w:ind w:left="1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mechanism to enable the reporting of and response to any customer facing questions related to conflict minerals and other supply chain matters.</w:t>
      </w:r>
    </w:p>
    <w:p>
      <w:pPr>
        <w:ind w:left="1120" w:hanging="320"/>
        <w:spacing w:after="0" w:line="260" w:lineRule="auto"/>
        <w:tabs>
          <w:tab w:leader="none" w:pos="117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retain conflict minerals program documentation in accordance with the Company’s existing corporate retention policy and procedures.</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2-Identify and assess risk in the supply chain</w:t>
      </w:r>
    </w:p>
    <w:p>
      <w:pPr>
        <w:spacing w:after="0" w:line="256" w:lineRule="exact"/>
        <w:rPr>
          <w:rFonts w:ascii="Times New Roman" w:cs="Times New Roman" w:eastAsia="Times New Roman" w:hAnsi="Times New Roman"/>
          <w:sz w:val="18"/>
          <w:szCs w:val="18"/>
          <w:b w:val="1"/>
          <w:bCs w:val="1"/>
          <w:color w:val="auto"/>
        </w:rPr>
      </w:pPr>
    </w:p>
    <w:p>
      <w:pPr>
        <w:ind w:left="1120" w:hanging="320"/>
        <w:spacing w:after="0" w:line="261"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Brady conflict minerals team conducted a detailed review of the products manufactured or contracted to be manufactured during the reporting year 2023 to identify products that may be in scope of the rule.</w:t>
      </w: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identified the direct suppliers of products or components that may contain 3TG Minerals.</w:t>
      </w:r>
    </w:p>
    <w:p>
      <w:pPr>
        <w:spacing w:after="0" w:line="9" w:lineRule="exact"/>
        <w:rPr>
          <w:rFonts w:ascii="Times New Roman" w:cs="Times New Roman" w:eastAsia="Times New Roman" w:hAnsi="Times New Roman"/>
          <w:sz w:val="18"/>
          <w:szCs w:val="18"/>
          <w:color w:val="auto"/>
        </w:rPr>
      </w:pPr>
    </w:p>
    <w:p>
      <w:pPr>
        <w:jc w:val="both"/>
        <w:ind w:left="1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conducted supply chain surveys of the in-scope suppliers using the industry-developed CMRT and requested that suppliers conduct their own 3TG Mineral inquiries to identify smelters and refineries as well as the country of origin of 3TG Minerals in products that are supplied to Brady.</w:t>
      </w:r>
    </w:p>
    <w:p>
      <w:pPr>
        <w:spacing w:after="0" w:line="1"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followed up with non-responding direct suppliers and also worked to clarify and validate the responses from the suppliers.</w:t>
      </w:r>
    </w:p>
    <w:p>
      <w:pPr>
        <w:spacing w:after="0" w:line="9" w:lineRule="exact"/>
        <w:rPr>
          <w:rFonts w:ascii="Times New Roman" w:cs="Times New Roman" w:eastAsia="Times New Roman" w:hAnsi="Times New Roman"/>
          <w:sz w:val="18"/>
          <w:szCs w:val="18"/>
          <w:color w:val="auto"/>
        </w:rPr>
      </w:pPr>
    </w:p>
    <w:p>
      <w:pPr>
        <w:ind w:left="1120" w:hanging="320"/>
        <w:spacing w:after="0" w:line="26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smelter listings supplied by responding suppliers with the RMI list of validated conflict free and verified facilities. Further smelter confirmation was conducted using a commercially available smelter verification service.</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3-Design and implement a strategy to respond to identified risks</w:t>
      </w:r>
    </w:p>
    <w:p>
      <w:pPr>
        <w:spacing w:after="0" w:line="256" w:lineRule="exact"/>
        <w:rPr>
          <w:rFonts w:ascii="Times New Roman" w:cs="Times New Roman" w:eastAsia="Times New Roman" w:hAnsi="Times New Roman"/>
          <w:sz w:val="18"/>
          <w:szCs w:val="18"/>
          <w:b w:val="1"/>
          <w:bCs w:val="1"/>
          <w:color w:val="auto"/>
        </w:rPr>
      </w:pPr>
    </w:p>
    <w:p>
      <w:pPr>
        <w:ind w:left="1120" w:hanging="320"/>
        <w:spacing w:after="0" w:line="261" w:lineRule="auto"/>
        <w:tabs>
          <w:tab w:leader="none" w:pos="113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has a risk management plan that addresses known issues with suppliers that do not meet the requirements of Brady’s corporate sourcing policy.</w:t>
      </w:r>
    </w:p>
    <w:p>
      <w:pPr>
        <w:ind w:left="1120" w:hanging="320"/>
        <w:spacing w:after="0" w:line="260" w:lineRule="auto"/>
        <w:tabs>
          <w:tab w:leader="none" w:pos="1143"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team reports to relevant business leaders and the head of Global Compliance on the status of direct supplier responses.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887" w:right="339" w:bottom="1440" w:gutter="0" w:footer="0" w:header="0"/>
        </w:sectPr>
      </w:pPr>
    </w:p>
    <w:bookmarkStart w:id="5" w:name="page6"/>
    <w:bookmarkEnd w:id="5"/>
    <w:p>
      <w:pPr>
        <w:ind w:left="800" w:hanging="324"/>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4-Support independent third-party audits of smelter/refiners' due diligence practices</w:t>
      </w:r>
    </w:p>
    <w:p>
      <w:pPr>
        <w:spacing w:after="0" w:line="256" w:lineRule="exact"/>
        <w:rPr>
          <w:rFonts w:ascii="Times New Roman" w:cs="Times New Roman" w:eastAsia="Times New Roman" w:hAnsi="Times New Roman"/>
          <w:sz w:val="18"/>
          <w:szCs w:val="18"/>
          <w:b w:val="1"/>
          <w:bCs w:val="1"/>
          <w:color w:val="auto"/>
        </w:rPr>
      </w:pPr>
    </w:p>
    <w:p>
      <w:pPr>
        <w:jc w:val="both"/>
        <w:ind w:left="1120" w:hanging="320"/>
        <w:spacing w:after="0" w:line="257" w:lineRule="auto"/>
        <w:tabs>
          <w:tab w:leader="none" w:pos="113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relies on RMI’s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spacing w:after="0" w:line="1" w:lineRule="exact"/>
        <w:rPr>
          <w:rFonts w:ascii="Times New Roman" w:cs="Times New Roman" w:eastAsia="Times New Roman" w:hAnsi="Times New Roman"/>
          <w:sz w:val="18"/>
          <w:szCs w:val="18"/>
          <w:color w:val="auto"/>
        </w:rPr>
      </w:pPr>
    </w:p>
    <w:p>
      <w:pPr>
        <w:ind w:left="1120" w:hanging="320"/>
        <w:spacing w:after="0" w:line="260"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supported the development and implementation of independent third-party audits of smelters/refiners through our Conflict Minerals Policy and procurement practices, which encourage suppliers to purchase materials from audited smelters/refiners.</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5-Report on supply chain due diligence</w:t>
      </w:r>
    </w:p>
    <w:p>
      <w:pPr>
        <w:spacing w:after="0" w:line="256" w:lineRule="exact"/>
        <w:rPr>
          <w:rFonts w:ascii="Times New Roman" w:cs="Times New Roman" w:eastAsia="Times New Roman" w:hAnsi="Times New Roman"/>
          <w:sz w:val="18"/>
          <w:szCs w:val="18"/>
          <w:b w:val="1"/>
          <w:bCs w:val="1"/>
          <w:color w:val="auto"/>
        </w:rPr>
      </w:pPr>
    </w:p>
    <w:p>
      <w:pPr>
        <w:ind w:left="1120" w:right="3580" w:hanging="320"/>
        <w:spacing w:after="0" w:line="532"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Brady has publicly communicated its Conflict Minerals Policy on our company website. </w:t>
      </w:r>
      <w:r>
        <w:rPr>
          <w:rFonts w:ascii="Times New Roman" w:cs="Times New Roman" w:eastAsia="Times New Roman" w:hAnsi="Times New Roman"/>
          <w:sz w:val="18"/>
          <w:szCs w:val="18"/>
          <w:u w:val="single" w:color="auto"/>
          <w:color w:val="0000FF"/>
        </w:rPr>
        <w:t>https://www.bradyid.com/corporate/supplier-information</w:t>
      </w:r>
    </w:p>
    <w:p>
      <w:pPr>
        <w:ind w:left="1120" w:right="1280" w:hanging="320"/>
        <w:spacing w:after="0" w:line="529"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Brady’s Form SD and Conflict Minerals Report were filed with the SEC and are also available on our company website. </w:t>
      </w:r>
      <w:r>
        <w:rPr>
          <w:rFonts w:ascii="Times New Roman" w:cs="Times New Roman" w:eastAsia="Times New Roman" w:hAnsi="Times New Roman"/>
          <w:sz w:val="18"/>
          <w:szCs w:val="18"/>
          <w:u w:val="single" w:color="auto"/>
          <w:color w:val="0000FF"/>
        </w:rPr>
        <w:t>https://www.bradyid.com/corporate/supplier-information</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Results of the Due Diligence measures</w:t>
      </w:r>
    </w:p>
    <w:p>
      <w:pPr>
        <w:spacing w:after="0" w:line="256"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Brady’s due diligence on the source and chain of custody of necessary 3TG Minerals contained in its products revealed that a majority of smelters identified in our supply chain are either conformant or low risk. However, not all smelters in global mineral supply chains have been audited or re-audited yet. In addition, the compliance or operational status of certain smelters/refiners may have changed since December 31, 2023. Brady is working with its suppliers to ensure that all the smelters in its supply chain comply with the requirements of the rule. Additional due diligence is on-going, since most suppliers provided a company-level and not product-level declaration.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Product Description; Processing Facilities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scope of our inquiry covered the following products, which we believe are the most likely to contain metallic forms of 3TG Minerals:</w:t>
      </w:r>
    </w:p>
    <w:p>
      <w:pPr>
        <w:spacing w:after="0" w:line="252" w:lineRule="exact"/>
        <w:rPr>
          <w:sz w:val="20"/>
          <w:szCs w:val="20"/>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Inkjet and thermal transfer printers—both handheld and desktop models—containing electronic parts;</w:t>
      </w:r>
    </w:p>
    <w:p>
      <w:pPr>
        <w:spacing w:after="0" w:line="27"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Labels and tapes for thermal transfer printing, some of which are in cassettes containing electronic parts;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Preprinted labels and tapes, some with external coating, pipe and wire markers, and metal asset tags;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devices including barcode scanners, barcode readers, and RFID devices;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signs and traffic signs;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Pads for medical applications and sorbent materials for environmental clean-up;</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 / tag-out devices;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Visitor identification badges, badge holders and lanyards, and wristbands; and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Die-cut materials for the telecommunications industry, primarily plastics and polyester foams.</w:t>
      </w:r>
    </w:p>
    <w:p>
      <w:pPr>
        <w:spacing w:after="0" w:line="234"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lock-out/tag-out devices. Brady also develops software for products that is factory-installed or downloadable. All of the foregoing products are not within the scope of this report.</w:t>
      </w:r>
    </w:p>
    <w:p>
      <w:pPr>
        <w:spacing w:after="0" w:line="207"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The smelting and refining facilities used to process the 3TG Minerals that were identified by our suppliers are listed in Appendix 1 and the potential countries of origin of the 3TG Minerals are listed in Appendix 2 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887" w:right="339" w:bottom="1440" w:gutter="0" w:footer="0" w:header="0"/>
        </w:sectPr>
      </w:pPr>
    </w:p>
    <w:bookmarkStart w:id="6" w:name="page7"/>
    <w:bookmarkEnd w:id="6"/>
    <w:p>
      <w:pPr>
        <w:ind w:left="360" w:hanging="354"/>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Improve Due Diligence</w:t>
      </w:r>
    </w:p>
    <w:p>
      <w:pPr>
        <w:spacing w:after="0" w:line="256"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We will continue to communicate our expectations and information requirements regarding 3TG Minerals to our direct suppliers, as a part of our 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 discussions regarding relevant policies, procedures and practices. We will continue to monitor changes in circumstances that may impact the facts or our determination regarding the source of our 3TG Minerals. Over time, we anticipate that the amount of information globally on the traceability 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 we will continue to monitor the smelters in our supply chain that are currently participating in audit programs for their “conflict-free” status.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Independent Private Sector Audit</w:t>
      </w:r>
    </w:p>
    <w:p>
      <w:pPr>
        <w:spacing w:after="0" w:line="256"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Pursuant to SEC rules and related guidance, an independent private sector audit was not required for Brady’s Conflict Minerals Report for calendar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887" w:right="339" w:bottom="1440" w:gutter="0" w:footer="0" w:header="0"/>
        </w:sectPr>
      </w:pPr>
    </w:p>
    <w:bookmarkStart w:id="7" w:name="page8"/>
    <w:bookmarkEnd w:id="7"/>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Smelters/Refiners Identified by Suppliers Identified in Brady’s Supply Chain</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398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420" w:type="dxa"/>
            <w:vAlign w:val="bottom"/>
            <w:tcBorders>
              <w:top w:val="single" w:sz="8" w:color="auto"/>
              <w:bottom w:val="single" w:sz="8" w:color="auto"/>
              <w:right w:val="single" w:sz="8" w:color="auto"/>
            </w:tcBorders>
          </w:tcPr>
          <w:p>
            <w:pPr>
              <w:spacing w:after="0"/>
              <w:rPr>
                <w:sz w:val="22"/>
                <w:szCs w:val="22"/>
                <w:color w:val="auto"/>
              </w:rPr>
            </w:pPr>
          </w:p>
        </w:tc>
        <w:tc>
          <w:tcPr>
            <w:tcW w:w="3480" w:type="dxa"/>
            <w:vAlign w:val="bottom"/>
            <w:tcBorders>
              <w:top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Country Location</w:t>
            </w: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Entity ID</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ABC Refinery Pty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CID002920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CID002708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Agosi AG</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CID000035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CID000019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Albino Mountinho Lda.</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CID002760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Almalyk Mining and Metallurgical Complex (AMMC)</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Pretec Corp.</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CID000924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USA Inc.</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CID000920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AG</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CID000113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Bangalore Refinery</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CID002863</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4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CID000128</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42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Boliden Ronnskar</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CID000157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 Hafner GmbH + Co. KG</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Caridad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CID000185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CGR Metalloys Pvt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CID003382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Chimet S.p.A.</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CID000233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Chugai Mining</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CID000264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Coimpa Industrial LTDA</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CID004010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CID002867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CID003348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Dongwu Gold Group</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CID003663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CID000401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DSC (Do Sung Corporation)</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CID000359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CID000425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CID003424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CID003425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CID003487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CID003488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CID003489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CID003490</w:t>
            </w:r>
          </w:p>
        </w:tc>
      </w:tr>
      <w:tr>
        <w:trPr>
          <w:trHeight w:val="864"/>
        </w:trPr>
        <w:tc>
          <w:tcPr>
            <w:tcW w:w="1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887" w:right="67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Fujairah Gold FZC</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Coast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GHANA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CID003186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CID001909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CID000651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CID000671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Heimerle + Meule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CID000694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CID000711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CID000707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CID000767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CID000773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HwaSeong CJ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CID000778</w:t>
            </w:r>
          </w:p>
        </w:tc>
      </w:tr>
      <w:tr>
        <w:trPr>
          <w:trHeight w:val="211"/>
        </w:trPr>
        <w:tc>
          <w:tcPr>
            <w:tcW w:w="158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Inner Mongolia Qiankun Gold and Silver Refinery Share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CID000801</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CID000807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Istanbul Gold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CID000814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Italpreziosi</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JALAN &amp;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CID002893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CID000823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CID000855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CID000937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 Rasmussen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CID003497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Kazakhmys Smelting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CID000956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Kazzinc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CID000969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Kojima Chemicals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CID000981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Zinc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CID002605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CID003463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CID001058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L'Orfebre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ANDORRA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MnM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 Metal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CID001113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Matsuda Sangyo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MD Overseas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CID003548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CID003575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Metallix Refining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CID001161</w:t>
            </w:r>
          </w:p>
        </w:tc>
      </w:tr>
    </w:tbl>
    <w:p>
      <w:pPr>
        <w:spacing w:after="0" w:line="200" w:lineRule="exact"/>
        <w:rPr>
          <w:sz w:val="20"/>
          <w:szCs w:val="20"/>
          <w:color w:val="auto"/>
        </w:rPr>
      </w:pPr>
    </w:p>
    <w:p>
      <w:pPr>
        <w:sectPr>
          <w:pgSz w:w="11900" w:h="16838" w:orient="portrait"/>
          <w:cols w:equalWidth="0" w:num="1">
            <w:col w:w="10900"/>
          </w:cols>
          <w:pgMar w:left="320" w:top="916" w:right="6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00"/>
          </w:cols>
          <w:pgMar w:left="320" w:top="916" w:right="679" w:bottom="1440" w:gutter="0" w:footer="0" w:header="0"/>
          <w:type w:val="continuous"/>
        </w:sectPr>
      </w:pPr>
    </w:p>
    <w:bookmarkStart w:id="9" w:name="page10"/>
    <w:bookmarkEnd w:id="9"/>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CID001188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MKS PAMP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MMTC-PAMP India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 and Watson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CID002282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CID001220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CID001236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NH Recytech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CID001259</w:t>
            </w:r>
          </w:p>
        </w:tc>
      </w:tr>
      <w:tr>
        <w:trPr>
          <w:trHeight w:val="211"/>
        </w:trPr>
        <w:tc>
          <w:tcPr>
            <w:tcW w:w="158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Ogussa Osterreichische Gold- und Silber-Scheideanstalt</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CID002779</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GmbH</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CID001325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Pease &amp; Curren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CID002872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CID001397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PX Precinox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CID001498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QG Refining,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CID003324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 Refinery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CID001512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CID000522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REMONDIS PMR B.V.</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 Canadian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CID001534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Sabin Metal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CID001546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SAFINA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CID002290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Sai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CID002853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 Precious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CID003666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Samwon Metals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CID001585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CID001916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CID002525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CID001619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CID001622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CID002750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CID002527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CID001736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Sovereign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CID003383</w:t>
            </w:r>
          </w:p>
        </w:tc>
      </w:tr>
      <w:tr>
        <w:trPr>
          <w:trHeight w:val="211"/>
        </w:trPr>
        <w:tc>
          <w:tcPr>
            <w:tcW w:w="158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LITHUANIA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CID003153</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4"/>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CID001798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SungEel HiMetal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CID002918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CID001810</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7</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T.C.A S.p.A</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Tokuriki Honten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CID001947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TOO Tau-Ken-Altyn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Torecom</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CID001993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Valcambi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WEEEREFINING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CID002030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Yamakin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Yokohama 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CID002129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CID000197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5D Production OU</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CID003926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 Brasil</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Block Metals,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CID002842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Tanbre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de Mexico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CID002539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 Newton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NPM Silmet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PowerX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CID004054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QuantumClean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CID003583</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8</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Taki Chemical Co.,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Japan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Telex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CID001522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Alpha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Beerse</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Berango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CID000228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Tin Group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CID001070</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CID003486</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Synergies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Ayi Jaya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Venus Inti Perkasa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CID003356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CID000402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 Myanmar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MYANMAR</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CID003831</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CID002572</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Metallurgy Joint Stock Company</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 Vinto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Estanho de Rondonia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Fenix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CID003410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CID000942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CID002844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CID001231</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9</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Luna Smelter,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CID003387</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CID003379</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CID002468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CID001105</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Melt Metais e Ligas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CID002500</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Metallic Resources,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CID001173</w:t>
            </w:r>
          </w:p>
        </w:tc>
      </w:tr>
      <w:tr>
        <w:trPr>
          <w:trHeight w:val="211"/>
        </w:trPr>
        <w:tc>
          <w:tcPr>
            <w:tcW w:w="1580" w:type="dxa"/>
            <w:vAlign w:val="bottom"/>
            <w:tcBorders>
              <w:left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CONGO, DEMOCRATIC REPUBLIC OF</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CID004065</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Minsur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CID001182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CID001191</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CID002858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CID001314</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CID002517</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CID001337</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MYANMAR</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CID003208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CID003409</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CID000309</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Artha Cipta Langgeng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CID001399</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Inti Perkasa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CID001402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CID001406</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Prima Tin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CID002776</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Serumpun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CID003205</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Tin Industry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CID001419</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CID001421</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Bukit Timah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CID001428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Cipta Persada Mulia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CID002696</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Menara Cipta Mulia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CID002835</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Stania Prima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CID001453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CID003449</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Panca Mega Persada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CID001457</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CID000313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Prima Timah Utama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CID001458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CID003868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CID003381</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Rajehan Ariq</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CID002593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Refined Bangka Tin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CID001460</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CID001463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CID001468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CID002816</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Kundur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CID001477</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Mentok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CID001482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Tinindo Inter Nusa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CID001490</w:t>
            </w:r>
          </w:p>
        </w:tc>
      </w:tr>
    </w:tbl>
    <w:p>
      <w:pPr>
        <w:spacing w:after="0" w:line="200" w:lineRule="exact"/>
        <w:rPr>
          <w:sz w:val="20"/>
          <w:szCs w:val="20"/>
          <w:color w:val="auto"/>
        </w:rPr>
      </w:pPr>
    </w:p>
    <w:p>
      <w:pPr>
        <w:sectPr>
          <w:pgSz w:w="11900" w:h="16838" w:orient="portrait"/>
          <w:cols w:equalWidth="0" w:num="1">
            <w:col w:w="10900"/>
          </w:cols>
          <w:pgMar w:left="320" w:top="916" w:right="6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916" w:right="679" w:bottom="144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Tirus Putra Mandiri</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CID002478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Tommy Utama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CID001493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CID001539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Ligas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CID002756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CID001898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CID002036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CID003397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CID000004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ACL Metais Eireli</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CID002833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CID003427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CID000281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Cronimet Brasil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CID003609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CID002494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CID000218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Tungsten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HANNAE FOR T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CID003978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CID000766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CID000769</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Shizhuyuan Nonferrous Metals Co., Ltd. Chenzhou</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CID002513</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Products Branch</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New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CID002321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CID002313</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CID002318</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4"/>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Fallon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CID000966</w:t>
            </w:r>
          </w:p>
        </w:tc>
      </w:tr>
      <w:tr>
        <w:trPr>
          <w:trHeight w:val="864"/>
        </w:trPr>
        <w:tc>
          <w:tcPr>
            <w:tcW w:w="1580" w:type="dxa"/>
            <w:vAlign w:val="bottom"/>
          </w:tcPr>
          <w:p>
            <w:pPr>
              <w:spacing w:after="0"/>
              <w:rPr>
                <w:sz w:val="24"/>
                <w:szCs w:val="24"/>
                <w:color w:val="auto"/>
              </w:rPr>
            </w:pPr>
          </w:p>
        </w:tc>
        <w:tc>
          <w:tcPr>
            <w:tcW w:w="44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11</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Huntsville</w:t>
            </w:r>
          </w:p>
        </w:tc>
        <w:tc>
          <w:tcPr>
            <w:tcW w:w="660" w:type="dxa"/>
            <w:vAlign w:val="bottom"/>
            <w:tcBorders>
              <w:top w:val="single" w:sz="8" w:color="auto"/>
              <w:bottom w:val="single" w:sz="8" w:color="auto"/>
              <w:right w:val="single" w:sz="8" w:color="auto"/>
            </w:tcBorders>
          </w:tcPr>
          <w:p>
            <w:pPr>
              <w:spacing w:after="0"/>
              <w:rPr>
                <w:sz w:val="22"/>
                <w:szCs w:val="22"/>
                <w:color w:val="auto"/>
              </w:rPr>
            </w:pP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CID000105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Metals Co., Ltd.</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CID003407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CID004034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Niagara Refining LLC</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CID002827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CID004430</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CID002542</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CID003993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CID002724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CID002044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CID002320</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Co., Ltd.</w:t>
            </w:r>
          </w:p>
        </w:tc>
        <w:tc>
          <w:tcPr>
            <w:tcW w:w="6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CID002082</w:t>
            </w:r>
          </w:p>
        </w:tc>
      </w:tr>
      <w:tr>
        <w:trPr>
          <w:trHeight w:val="229"/>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660" w:type="dxa"/>
            <w:vAlign w:val="bottom"/>
            <w:tcBorders>
              <w:bottom w:val="single" w:sz="8" w:color="auto"/>
              <w:right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CID003662</w:t>
            </w:r>
          </w:p>
        </w:tc>
      </w:tr>
      <w:tr>
        <w:trPr>
          <w:trHeight w:val="858"/>
        </w:trPr>
        <w:tc>
          <w:tcPr>
            <w:tcW w:w="1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5" w:name="page16"/>
    <w:bookmarkEnd w:id="15"/>
    <w:p>
      <w:pPr>
        <w:spacing w:after="0" w:line="1" w:lineRule="exact"/>
        <w:rPr>
          <w:sz w:val="20"/>
          <w:szCs w:val="20"/>
          <w:color w:val="auto"/>
        </w:rPr>
      </w:pPr>
    </w:p>
    <w:tbl>
      <w:tblPr>
        <w:tblLayout w:type="fixed"/>
        <w:tblInd w:w="185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484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9"/>
              </w:rPr>
              <w:t>Appendix 2</w:t>
            </w:r>
          </w:p>
        </w:tc>
      </w:tr>
      <w:tr>
        <w:trPr>
          <w:trHeight w:val="459"/>
        </w:trPr>
        <w:tc>
          <w:tcPr>
            <w:tcW w:w="2780" w:type="dxa"/>
            <w:vAlign w:val="bottom"/>
          </w:tcPr>
          <w:p>
            <w:pPr>
              <w:spacing w:after="0"/>
              <w:rPr>
                <w:sz w:val="24"/>
                <w:szCs w:val="24"/>
                <w:color w:val="auto"/>
              </w:rPr>
            </w:pPr>
          </w:p>
        </w:tc>
        <w:tc>
          <w:tcPr>
            <w:tcW w:w="484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9"/>
              </w:rPr>
              <w:t>Countries of Origin*</w:t>
            </w:r>
          </w:p>
        </w:tc>
      </w:tr>
      <w:tr>
        <w:trPr>
          <w:trHeight w:val="270"/>
        </w:trPr>
        <w:tc>
          <w:tcPr>
            <w:tcW w:w="27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080" w:type="dxa"/>
            <w:vAlign w:val="bottom"/>
            <w:tcBorders>
              <w:bottom w:val="single" w:sz="8" w:color="auto"/>
            </w:tcBorders>
          </w:tcPr>
          <w:p>
            <w:pPr>
              <w:spacing w:after="0"/>
              <w:rPr>
                <w:sz w:val="23"/>
                <w:szCs w:val="23"/>
                <w:color w:val="auto"/>
              </w:rPr>
            </w:pP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Mozambique</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Myanmar</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Benin</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Nicaragua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Niger</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Nigeria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Burundi</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Colombia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Ethiopia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Sierra Leone</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Ghana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Guinea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Guyana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Tanzania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 of Great Britain and Northern Ireland</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Laos</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Madagascar</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Zimbabwe</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Mongolia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spacing w:after="0"/>
              <w:rPr>
                <w:sz w:val="19"/>
                <w:szCs w:val="19"/>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2222"/>
        </w:rPr>
        <w:t>*The information provided in this list is based on supplier declarations.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 in Ukraine and resulting U.S. government sanctions against Russia have impacted the information we have about, and the status of, certain Russian-based smelters. The Company does not source directly from Russia. Furthermore, since Russia invaded Ukraine in February 2022, we have halted new orders and shipments into and out of Russia and Belarus until further notice and in alignment with international sanctions. The inclusion of a country on the list of smelters is not a final indicator that the Company utilized materials sourced from this country.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9"/>
    </w:lvl>
  </w:abstractNum>
  <w:abstractNum w:abstractNumId="3">
    <w:nsid w:val="507ED7AB"/>
    <w:multiLevelType w:val="hybridMultilevel"/>
    <w:lvl w:ilvl="0">
      <w:lvlJc w:val="left"/>
      <w:lvlText w:val="%1."/>
      <w:numFmt w:val="upperLetter"/>
      <w:start w:val="35"/>
    </w:lvl>
  </w:abstractNum>
  <w:abstractNum w:abstractNumId="4">
    <w:nsid w:val="2EB141F2"/>
    <w:multiLevelType w:val="hybridMultilevel"/>
    <w:lvl w:ilvl="0">
      <w:lvlJc w:val="left"/>
      <w:lvlText w:val="%1."/>
      <w:numFmt w:val="upperLetter"/>
      <w:start w:val="6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2024-05-22T12:11:20Z</dcterms:created>
  <dcterms:modified xsi:type="dcterms:W3CDTF">2024-05-22T12:11:20Z</dcterms:modified>
</cp:coreProperties>
</file>