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46990</wp:posOffset>
            </wp:positionV>
            <wp:extent cx="15005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13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75565</wp:posOffset>
            </wp:positionV>
            <wp:extent cx="15005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301" w:lineRule="exact"/>
        <w:rPr>
          <w:sz w:val="24"/>
          <w:szCs w:val="24"/>
          <w:color w:val="auto"/>
        </w:rPr>
      </w:pPr>
    </w:p>
    <w:p>
      <w:pPr>
        <w:ind w:left="980" w:right="100" w:hanging="306"/>
        <w:spacing w:after="0" w:line="231" w:lineRule="auto"/>
        <w:tabs>
          <w:tab w:leader="none" w:pos="1304"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4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October 31, 2021</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980" w:right="100" w:hanging="306"/>
        <w:spacing w:after="0" w:line="235" w:lineRule="auto"/>
        <w:tabs>
          <w:tab w:leader="none" w:pos="130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1-14959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68580</wp:posOffset>
            </wp:positionV>
            <wp:extent cx="1500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16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55880</wp:posOffset>
            </wp:positionV>
            <wp:extent cx="15005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p>
      <w:pPr>
        <w:spacing w:after="0" w:line="300" w:lineRule="exact"/>
        <w:rPr>
          <w:sz w:val="24"/>
          <w:szCs w:val="24"/>
          <w:color w:val="auto"/>
        </w:rPr>
      </w:pPr>
    </w:p>
    <w:p>
      <w:pPr>
        <w:ind w:left="22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39-0178960</w:t>
      </w:r>
    </w:p>
    <w:p>
      <w:pPr>
        <w:spacing w:after="0" w:line="50" w:lineRule="exact"/>
        <w:rPr>
          <w:sz w:val="24"/>
          <w:szCs w:val="24"/>
          <w:color w:val="auto"/>
        </w:rPr>
      </w:pPr>
    </w:p>
    <w:p>
      <w:pPr>
        <w:sectPr>
          <w:pgSz w:w="11900" w:h="16838" w:orient="portrait"/>
          <w:cols w:equalWidth="0" w:num="2">
            <w:col w:w="7440" w:space="720"/>
            <w:col w:w="3100"/>
          </w:cols>
          <w:pgMar w:left="320" w:top="229" w:right="319" w:bottom="1440" w:gutter="0" w:footer="0" w:header="0"/>
          <w:type w:val="continuous"/>
        </w:sectPr>
      </w:pPr>
    </w:p>
    <w:p>
      <w:pPr>
        <w:ind w:left="82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56" w:lineRule="exact"/>
        <w:rPr>
          <w:sz w:val="24"/>
          <w:szCs w:val="24"/>
          <w:color w:val="auto"/>
        </w:rPr>
      </w:pPr>
    </w:p>
    <w:p>
      <w:pPr>
        <w:sectPr>
          <w:pgSz w:w="11900" w:h="16838" w:orient="portrait"/>
          <w:cols w:equalWidth="0" w:num="2">
            <w:col w:w="6760" w:space="720"/>
            <w:col w:w="3780"/>
          </w:cols>
          <w:pgMar w:left="320" w:top="229" w:right="319" w:bottom="1440" w:gutter="0" w:footer="0" w:header="0"/>
          <w:type w:val="continuous"/>
        </w:sectPr>
      </w:pPr>
    </w:p>
    <w:p>
      <w:pPr>
        <w:ind w:left="4520"/>
        <w:spacing w:after="0"/>
        <w:rPr>
          <w:sz w:val="20"/>
          <w:szCs w:val="20"/>
          <w:color w:val="auto"/>
        </w:rPr>
      </w:pPr>
      <w:r>
        <w:rPr>
          <w:rFonts w:ascii="Arial" w:cs="Arial" w:eastAsia="Arial" w:hAnsi="Arial"/>
          <w:sz w:val="16"/>
          <w:szCs w:val="16"/>
          <w:b w:val="1"/>
          <w:bCs w:val="1"/>
          <w:color w:val="auto"/>
        </w:rPr>
        <w:t>6555 West Good Hope Road,</w:t>
      </w:r>
    </w:p>
    <w:p>
      <w:pPr>
        <w:spacing w:after="0" w:line="100" w:lineRule="exact"/>
        <w:rPr>
          <w:sz w:val="24"/>
          <w:szCs w:val="24"/>
          <w:color w:val="auto"/>
        </w:rPr>
      </w:pPr>
    </w:p>
    <w:p>
      <w:pPr>
        <w:ind w:left="4400"/>
        <w:spacing w:after="0"/>
        <w:tabs>
          <w:tab w:leader="none" w:pos="6280" w:val="left"/>
        </w:tabs>
        <w:rPr>
          <w:sz w:val="20"/>
          <w:szCs w:val="20"/>
          <w:color w:val="auto"/>
        </w:rPr>
      </w:pPr>
      <w:r>
        <w:rPr>
          <w:rFonts w:ascii="Arial" w:cs="Arial" w:eastAsia="Arial" w:hAnsi="Arial"/>
          <w:sz w:val="18"/>
          <w:szCs w:val="18"/>
          <w:b w:val="1"/>
          <w:bCs w:val="1"/>
          <w:color w:val="auto"/>
        </w:rPr>
        <w:t>Milwaukee, Wisconsin</w:t>
      </w:r>
      <w:r>
        <w:rPr>
          <w:sz w:val="20"/>
          <w:szCs w:val="20"/>
          <w:color w:val="auto"/>
        </w:rPr>
        <w:tab/>
      </w:r>
      <w:r>
        <w:rPr>
          <w:rFonts w:ascii="Arial" w:cs="Arial" w:eastAsia="Arial" w:hAnsi="Arial"/>
          <w:sz w:val="15"/>
          <w:szCs w:val="15"/>
          <w:b w:val="1"/>
          <w:bCs w:val="1"/>
          <w:color w:val="auto"/>
        </w:rPr>
        <w:t>53223</w:t>
      </w:r>
    </w:p>
    <w:p>
      <w:pPr>
        <w:sectPr>
          <w:pgSz w:w="11900" w:h="16838" w:orient="portrait"/>
          <w:cols w:equalWidth="0" w:num="1">
            <w:col w:w="11260"/>
          </w:cols>
          <w:pgMar w:left="320" w:top="229" w:right="319" w:bottom="1440" w:gutter="0" w:footer="0" w:header="0"/>
          <w:type w:val="continuous"/>
        </w:sectPr>
      </w:pP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(414) 358-6600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56515</wp:posOffset>
            </wp:positionV>
            <wp:extent cx="1500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66"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35"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48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Title of each class</w:t>
            </w:r>
          </w:p>
        </w:tc>
        <w:tc>
          <w:tcPr>
            <w:tcW w:w="23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Trading Symbol</w:t>
            </w:r>
          </w:p>
        </w:tc>
        <w:tc>
          <w:tcPr>
            <w:tcW w:w="41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0"/>
        </w:trPr>
        <w:tc>
          <w:tcPr>
            <w:tcW w:w="4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Class A Nonvoting Common Stock, par value $0.01 per share</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BRC</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New York Stock Exchange</w:t>
            </w:r>
          </w:p>
        </w:tc>
      </w:tr>
    </w:tbl>
    <w:p>
      <w:pPr>
        <w:spacing w:after="0" w:line="157" w:lineRule="exact"/>
        <w:rPr>
          <w:sz w:val="24"/>
          <w:szCs w:val="24"/>
          <w:color w:val="auto"/>
        </w:rPr>
      </w:pPr>
    </w:p>
    <w:p>
      <w:pPr>
        <w:jc w:val="both"/>
        <w:ind w:right="40"/>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jc w:val="both"/>
        <w:ind w:right="4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jc w:val="both"/>
        <w:ind w:right="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9" w:right="319" w:bottom="1440" w:gutter="0" w:footer="0" w:header="0"/>
          <w:type w:val="continuous"/>
        </w:sectPr>
      </w:pPr>
    </w:p>
    <w:p>
      <w:pPr>
        <w:spacing w:after="0" w:line="214"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32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jc w:val="center"/>
        <w:ind w:right="1040"/>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6">
            <w:col w:w="1860" w:space="720"/>
            <w:col w:w="400" w:space="720"/>
            <w:col w:w="1920" w:space="720"/>
            <w:col w:w="400" w:space="720"/>
            <w:col w:w="1900" w:space="720"/>
            <w:col w:w="1180"/>
          </w:cols>
          <w:pgMar w:left="320" w:top="229" w:right="319" w:bottom="1440" w:gutter="0" w:footer="0" w:header="0"/>
          <w:type w:val="continuous"/>
        </w:sectPr>
      </w:pPr>
    </w:p>
    <w:p>
      <w:pPr>
        <w:spacing w:after="0" w:line="48"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340"/>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7" w:lineRule="exact"/>
        <w:rPr>
          <w:sz w:val="24"/>
          <w:szCs w:val="24"/>
          <w:color w:val="auto"/>
        </w:rPr>
      </w:pPr>
    </w:p>
    <w:p>
      <w:pPr>
        <w:sectPr>
          <w:pgSz w:w="11900" w:h="16838" w:orient="portrait"/>
          <w:cols w:equalWidth="0" w:num="4">
            <w:col w:w="1860" w:space="720"/>
            <w:col w:w="400" w:space="720"/>
            <w:col w:w="1920" w:space="720"/>
            <w:col w:w="4920"/>
          </w:cols>
          <w:pgMar w:left="320" w:top="229" w:right="319" w:bottom="1440" w:gutter="0" w:footer="0" w:header="0"/>
          <w:type w:val="continuous"/>
        </w:sectPr>
      </w:pPr>
    </w:p>
    <w:p>
      <w:pPr>
        <w:spacing w:after="0" w:line="29" w:lineRule="exact"/>
        <w:rPr>
          <w:sz w:val="24"/>
          <w:szCs w:val="24"/>
          <w:color w:val="auto"/>
        </w:rPr>
      </w:pPr>
    </w:p>
    <w:p>
      <w:pPr>
        <w:ind w:right="580"/>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tabs>
          <w:tab w:leader="none" w:pos="6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34" w:lineRule="exact"/>
        <w:rPr>
          <w:sz w:val="24"/>
          <w:szCs w:val="24"/>
          <w:color w:val="auto"/>
        </w:rPr>
      </w:pPr>
    </w:p>
    <w:p>
      <w:pPr>
        <w:ind w:right="60"/>
        <w:spacing w:after="0" w:line="273" w:lineRule="auto"/>
        <w:rPr>
          <w:sz w:val="20"/>
          <w:szCs w:val="20"/>
          <w:color w:val="auto"/>
        </w:rPr>
      </w:pPr>
      <w:r>
        <w:rPr>
          <w:rFonts w:ascii="Arial" w:cs="Arial" w:eastAsia="Arial" w:hAnsi="Arial"/>
          <w:sz w:val="14"/>
          <w:szCs w:val="14"/>
          <w:color w:val="auto"/>
        </w:rPr>
        <w:t>As of November 16, 2021, there were 48,292,661 outstanding shares of Class A Nonvoting Common Stock and 3,538,628 shares of Class B Voting Common Stock. The Class B Voting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tcPr>
          <w:p>
            <w:pPr>
              <w:jc w:val="center"/>
              <w:ind w:left="1390"/>
              <w:spacing w:after="0"/>
              <w:rPr>
                <w:sz w:val="20"/>
                <w:szCs w:val="20"/>
                <w:color w:val="auto"/>
              </w:rPr>
            </w:pPr>
            <w:r>
              <w:rPr>
                <w:rFonts w:ascii="Arial" w:cs="Arial" w:eastAsia="Arial" w:hAnsi="Arial"/>
                <w:sz w:val="18"/>
                <w:szCs w:val="18"/>
                <w:color w:val="auto"/>
                <w:w w:val="93"/>
              </w:rPr>
              <w:t>FORM 10-Q</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tcPr>
          <w:p>
            <w:pPr>
              <w:jc w:val="center"/>
              <w:ind w:left="1410"/>
              <w:spacing w:after="0"/>
              <w:rPr>
                <w:sz w:val="20"/>
                <w:szCs w:val="20"/>
                <w:color w:val="auto"/>
              </w:rPr>
            </w:pPr>
            <w:r>
              <w:rPr>
                <w:rFonts w:ascii="Arial" w:cs="Arial" w:eastAsia="Arial" w:hAnsi="Arial"/>
                <w:sz w:val="18"/>
                <w:szCs w:val="18"/>
                <w:color w:val="auto"/>
                <w:w w:val="96"/>
              </w:rPr>
              <w:t>BRADY CORPORATION</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60" w:type="dxa"/>
            <w:vAlign w:val="bottom"/>
          </w:tcPr>
          <w:p>
            <w:pPr>
              <w:jc w:val="center"/>
              <w:ind w:left="1390"/>
              <w:spacing w:after="0"/>
              <w:rPr>
                <w:sz w:val="20"/>
                <w:szCs w:val="20"/>
                <w:color w:val="auto"/>
              </w:rPr>
            </w:pPr>
            <w:r>
              <w:rPr>
                <w:rFonts w:ascii="Arial" w:cs="Arial" w:eastAsia="Arial" w:hAnsi="Arial"/>
                <w:sz w:val="18"/>
                <w:szCs w:val="18"/>
                <w:color w:val="auto"/>
              </w:rPr>
              <w:t>INDEX</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9760" w:type="dxa"/>
            <w:vAlign w:val="bottom"/>
            <w:vMerge w:val="restart"/>
          </w:tcPr>
          <w:p>
            <w:pPr>
              <w:ind w:left="20"/>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1480" w:type="dxa"/>
            <w:vAlign w:val="bottom"/>
            <w:gridSpan w:val="2"/>
          </w:tcPr>
          <w:p>
            <w:pPr>
              <w:ind w:left="5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22"/>
        </w:trPr>
        <w:tc>
          <w:tcPr>
            <w:tcW w:w="9760" w:type="dxa"/>
            <w:vAlign w:val="bottom"/>
            <w:vMerge w:val="continue"/>
          </w:tcPr>
          <w:p>
            <w:pPr>
              <w:spacing w:after="0"/>
              <w:rPr>
                <w:sz w:val="19"/>
                <w:szCs w:val="19"/>
                <w:color w:val="auto"/>
              </w:rPr>
            </w:pPr>
          </w:p>
        </w:tc>
        <w:tc>
          <w:tcPr>
            <w:tcW w:w="1460" w:type="dxa"/>
            <w:vAlign w:val="bottom"/>
            <w:tcBorders>
              <w:top w:val="single" w:sz="8" w:color="auto"/>
            </w:tcBorders>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46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146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w:t>
              </w:r>
            </w:hyperlink>
          </w:p>
        </w:tc>
        <w:tc>
          <w:tcPr>
            <w:tcW w:w="146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w:t>
              </w:r>
            </w:hyperlink>
          </w:p>
        </w:tc>
        <w:tc>
          <w:tcPr>
            <w:tcW w:w="146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360"/>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146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360"/>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460" w:type="dxa"/>
            <w:vAlign w:val="bottom"/>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rFonts w:ascii="Arial" w:cs="Arial" w:eastAsia="Arial" w:hAnsi="Arial"/>
                <w:sz w:val="18"/>
                <w:szCs w:val="18"/>
                <w:color w:val="0000FF"/>
              </w:rPr>
            </w:pPr>
            <w:hyperlink w:anchor="page16">
              <w:r>
                <w:rPr>
                  <w:rFonts w:ascii="Arial" w:cs="Arial" w:eastAsia="Arial" w:hAnsi="Arial"/>
                  <w:sz w:val="18"/>
                  <w:szCs w:val="18"/>
                  <w:color w:val="0000FF"/>
                </w:rPr>
                <w:t>Item 2. Management’s Discussion and Analysis of Results of Operations and Financial Condition</w:t>
              </w:r>
            </w:hyperlink>
          </w:p>
        </w:tc>
        <w:tc>
          <w:tcPr>
            <w:tcW w:w="1460" w:type="dxa"/>
            <w:vAlign w:val="bottom"/>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rFonts w:ascii="Arial" w:cs="Arial" w:eastAsia="Arial" w:hAnsi="Arial"/>
                <w:sz w:val="18"/>
                <w:szCs w:val="18"/>
                <w:color w:val="0000FF"/>
              </w:rPr>
            </w:pPr>
            <w:hyperlink w:anchor="page23">
              <w:r>
                <w:rPr>
                  <w:rFonts w:ascii="Arial" w:cs="Arial" w:eastAsia="Arial" w:hAnsi="Arial"/>
                  <w:sz w:val="18"/>
                  <w:szCs w:val="18"/>
                  <w:color w:val="0000FF"/>
                </w:rPr>
                <w:t>Item 3. Quantitative and Qualitative Disclosures About Market Risk</w:t>
              </w:r>
            </w:hyperlink>
          </w:p>
        </w:tc>
        <w:tc>
          <w:tcPr>
            <w:tcW w:w="146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rFonts w:ascii="Arial" w:cs="Arial" w:eastAsia="Arial" w:hAnsi="Arial"/>
                <w:sz w:val="18"/>
                <w:szCs w:val="18"/>
                <w:color w:val="0000FF"/>
              </w:rPr>
            </w:pPr>
            <w:hyperlink w:anchor="page23">
              <w:r>
                <w:rPr>
                  <w:rFonts w:ascii="Arial" w:cs="Arial" w:eastAsia="Arial" w:hAnsi="Arial"/>
                  <w:sz w:val="18"/>
                  <w:szCs w:val="18"/>
                  <w:color w:val="0000FF"/>
                </w:rPr>
                <w:t>Item 4. Controls and Procedures</w:t>
              </w:r>
            </w:hyperlink>
          </w:p>
        </w:tc>
        <w:tc>
          <w:tcPr>
            <w:tcW w:w="146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20"/>
              <w:spacing w:after="0"/>
              <w:rPr>
                <w:rFonts w:ascii="Arial" w:cs="Arial" w:eastAsia="Arial" w:hAnsi="Arial"/>
                <w:sz w:val="18"/>
                <w:szCs w:val="18"/>
                <w:color w:val="0000FF"/>
              </w:rPr>
            </w:pPr>
            <w:hyperlink w:anchor="page23">
              <w:r>
                <w:rPr>
                  <w:rFonts w:ascii="Arial" w:cs="Arial" w:eastAsia="Arial" w:hAnsi="Arial"/>
                  <w:sz w:val="18"/>
                  <w:szCs w:val="18"/>
                  <w:color w:val="0000FF"/>
                </w:rPr>
                <w:t>PART II. Other Information</w:t>
              </w:r>
            </w:hyperlink>
          </w:p>
        </w:tc>
        <w:tc>
          <w:tcPr>
            <w:tcW w:w="146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rFonts w:ascii="Arial" w:cs="Arial" w:eastAsia="Arial" w:hAnsi="Arial"/>
                <w:sz w:val="18"/>
                <w:szCs w:val="18"/>
                <w:color w:val="0000FF"/>
              </w:rPr>
            </w:pPr>
            <w:hyperlink w:anchor="page24">
              <w:r>
                <w:rPr>
                  <w:rFonts w:ascii="Arial" w:cs="Arial" w:eastAsia="Arial" w:hAnsi="Arial"/>
                  <w:sz w:val="18"/>
                  <w:szCs w:val="18"/>
                  <w:color w:val="0000FF"/>
                </w:rPr>
                <w:t>Item 1A. Risk Factors</w:t>
              </w:r>
            </w:hyperlink>
          </w:p>
        </w:tc>
        <w:tc>
          <w:tcPr>
            <w:tcW w:w="1460" w:type="dxa"/>
            <w:vAlign w:val="bottom"/>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60" w:type="dxa"/>
            <w:vAlign w:val="bottom"/>
          </w:tcPr>
          <w:p>
            <w:pPr>
              <w:ind w:left="140"/>
              <w:spacing w:after="0"/>
              <w:rPr>
                <w:rFonts w:ascii="Arial" w:cs="Arial" w:eastAsia="Arial" w:hAnsi="Arial"/>
                <w:sz w:val="18"/>
                <w:szCs w:val="18"/>
                <w:color w:val="0000FF"/>
              </w:rPr>
            </w:pPr>
            <w:hyperlink w:anchor="page24">
              <w:r>
                <w:rPr>
                  <w:rFonts w:ascii="Arial" w:cs="Arial" w:eastAsia="Arial" w:hAnsi="Arial"/>
                  <w:sz w:val="18"/>
                  <w:szCs w:val="18"/>
                  <w:color w:val="0000FF"/>
                </w:rPr>
                <w:t>Item 2. Unregistered Sales of Equity Securities and Use of Proceeds</w:t>
              </w:r>
            </w:hyperlink>
          </w:p>
        </w:tc>
        <w:tc>
          <w:tcPr>
            <w:tcW w:w="1460" w:type="dxa"/>
            <w:vAlign w:val="bottom"/>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rFonts w:ascii="Arial" w:cs="Arial" w:eastAsia="Arial" w:hAnsi="Arial"/>
                <w:sz w:val="18"/>
                <w:szCs w:val="18"/>
                <w:color w:val="0000FF"/>
              </w:rPr>
            </w:pPr>
            <w:hyperlink w:anchor="page24">
              <w:r>
                <w:rPr>
                  <w:rFonts w:ascii="Arial" w:cs="Arial" w:eastAsia="Arial" w:hAnsi="Arial"/>
                  <w:sz w:val="18"/>
                  <w:szCs w:val="18"/>
                  <w:color w:val="0000FF"/>
                </w:rPr>
                <w:t>Item 6. Exhibits</w:t>
              </w:r>
            </w:hyperlink>
          </w:p>
        </w:tc>
        <w:tc>
          <w:tcPr>
            <w:tcW w:w="1460" w:type="dxa"/>
            <w:vAlign w:val="bottom"/>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60" w:type="dxa"/>
            <w:vAlign w:val="bottom"/>
          </w:tcPr>
          <w:p>
            <w:pPr>
              <w:ind w:left="140"/>
              <w:spacing w:after="0"/>
              <w:rPr>
                <w:rFonts w:ascii="Arial" w:cs="Arial" w:eastAsia="Arial" w:hAnsi="Arial"/>
                <w:sz w:val="18"/>
                <w:szCs w:val="18"/>
                <w:color w:val="0000FF"/>
              </w:rPr>
            </w:pPr>
            <w:hyperlink w:anchor="page25">
              <w:r>
                <w:rPr>
                  <w:rFonts w:ascii="Arial" w:cs="Arial" w:eastAsia="Arial" w:hAnsi="Arial"/>
                  <w:sz w:val="18"/>
                  <w:szCs w:val="18"/>
                  <w:color w:val="0000FF"/>
                </w:rPr>
                <w:t>Signatures</w:t>
              </w:r>
            </w:hyperlink>
          </w:p>
        </w:tc>
        <w:tc>
          <w:tcPr>
            <w:tcW w:w="1460" w:type="dxa"/>
            <w:vAlign w:val="bottom"/>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1"/>
        </w:trPr>
        <w:tc>
          <w:tcPr>
            <w:tcW w:w="9760" w:type="dxa"/>
            <w:vAlign w:val="bottom"/>
          </w:tcPr>
          <w:p>
            <w:pPr>
              <w:jc w:val="center"/>
              <w:ind w:left="1390"/>
              <w:spacing w:after="0"/>
              <w:rPr>
                <w:sz w:val="20"/>
                <w:szCs w:val="20"/>
                <w:color w:val="auto"/>
              </w:rPr>
            </w:pPr>
            <w:r>
              <w:rPr>
                <w:rFonts w:ascii="Arial" w:cs="Arial" w:eastAsia="Arial" w:hAnsi="Arial"/>
                <w:sz w:val="18"/>
                <w:szCs w:val="18"/>
                <w:color w:val="auto"/>
                <w:w w:val="79"/>
              </w:rPr>
              <w:t>2</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7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ITEM 1.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31, 2021</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2021</w:t>
            </w:r>
          </w:p>
        </w:tc>
        <w:tc>
          <w:tcPr>
            <w:tcW w:w="0" w:type="dxa"/>
            <w:vAlign w:val="bottom"/>
          </w:tcPr>
          <w:p>
            <w:pPr>
              <w:spacing w:after="0"/>
              <w:rPr>
                <w:sz w:val="1"/>
                <w:szCs w:val="1"/>
                <w:color w:val="auto"/>
              </w:rPr>
            </w:pPr>
          </w:p>
        </w:tc>
      </w:tr>
      <w:tr>
        <w:trPr>
          <w:trHeight w:val="210"/>
        </w:trPr>
        <w:tc>
          <w:tcPr>
            <w:tcW w:w="7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8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147,335</w:t>
            </w:r>
          </w:p>
        </w:tc>
        <w:tc>
          <w:tcPr>
            <w:tcW w:w="0" w:type="dxa"/>
            <w:vAlign w:val="bottom"/>
          </w:tcPr>
          <w:p>
            <w:pPr>
              <w:spacing w:after="0"/>
              <w:rPr>
                <w:sz w:val="1"/>
                <w:szCs w:val="1"/>
                <w:color w:val="auto"/>
              </w:rPr>
            </w:pPr>
          </w:p>
        </w:tc>
      </w:tr>
      <w:tr>
        <w:trPr>
          <w:trHeight w:val="240"/>
        </w:trPr>
        <w:tc>
          <w:tcPr>
            <w:tcW w:w="7940" w:type="dxa"/>
            <w:vAlign w:val="bottom"/>
          </w:tcPr>
          <w:p>
            <w:pPr>
              <w:ind w:left="360"/>
              <w:spacing w:after="0"/>
              <w:rPr>
                <w:sz w:val="20"/>
                <w:szCs w:val="20"/>
                <w:color w:val="auto"/>
              </w:rPr>
            </w:pPr>
            <w:r>
              <w:rPr>
                <w:rFonts w:ascii="Arial" w:cs="Arial" w:eastAsia="Arial" w:hAnsi="Arial"/>
                <w:sz w:val="16"/>
                <w:szCs w:val="16"/>
                <w:color w:val="auto"/>
              </w:rPr>
              <w:t>Accounts receivable, net of allowance for credit losses of $7,265 and $7,306, respectively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182,791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170,579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136,107</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11,083</w:t>
            </w:r>
          </w:p>
        </w:tc>
        <w:tc>
          <w:tcPr>
            <w:tcW w:w="0" w:type="dxa"/>
            <w:vAlign w:val="bottom"/>
          </w:tcPr>
          <w:p>
            <w:pPr>
              <w:spacing w:after="0"/>
              <w:rPr>
                <w:sz w:val="1"/>
                <w:szCs w:val="1"/>
                <w:color w:val="auto"/>
              </w:rPr>
            </w:pPr>
          </w:p>
        </w:tc>
      </w:tr>
      <w:tr>
        <w:trPr>
          <w:trHeight w:val="213"/>
        </w:trPr>
        <w:tc>
          <w:tcPr>
            <w:tcW w:w="7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505,091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465,104</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Property, plant and equipment—net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128,618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121,741</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610,836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614,137</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88,219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92,334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16,343</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36,655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41,880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24,682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26,217</w:t>
            </w:r>
          </w:p>
        </w:tc>
        <w:tc>
          <w:tcPr>
            <w:tcW w:w="0" w:type="dxa"/>
            <w:vAlign w:val="bottom"/>
          </w:tcPr>
          <w:p>
            <w:pPr>
              <w:spacing w:after="0"/>
              <w:rPr>
                <w:sz w:val="1"/>
                <w:szCs w:val="1"/>
                <w:color w:val="auto"/>
              </w:rPr>
            </w:pPr>
          </w:p>
        </w:tc>
      </w:tr>
      <w:tr>
        <w:trPr>
          <w:trHeight w:val="212"/>
        </w:trPr>
        <w:tc>
          <w:tcPr>
            <w:tcW w:w="794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1,410,478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1,377,756</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shd w:val="clear" w:color="auto" w:fill="CCEEFF"/>
          </w:tcPr>
          <w:p>
            <w:pPr>
              <w:ind w:left="22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82,152</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89,283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81,173</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other than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13,054</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Accrued income taxes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3,915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operating lease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17,667</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59,623</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257,584</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38,000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28,347</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89,658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90,797</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446,585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414,728</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4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2"/>
              </w:rPr>
              <w:t>Class A nonvoting common stock—Issued 51,261,487 shares, and outstanding 48,257,592 and 48,528,245 shares,</w:t>
            </w: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respectively</w:t>
            </w: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340,182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339,125</w:t>
            </w:r>
          </w:p>
        </w:tc>
        <w:tc>
          <w:tcPr>
            <w:tcW w:w="0" w:type="dxa"/>
            <w:vAlign w:val="bottom"/>
          </w:tcPr>
          <w:p>
            <w:pPr>
              <w:spacing w:after="0"/>
              <w:rPr>
                <w:sz w:val="1"/>
                <w:szCs w:val="1"/>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811,820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788,369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8"/>
              </w:rPr>
              <w:t>Treasury stock—3,003,895 and 2,733,242 shares, respectively, of Class A nonvoting common stock, at cost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(109,061)</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(60,671)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(55,953)</w:t>
            </w: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963,893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963,028</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1,410,478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1,377,756</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Except Per Share Amounts,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w w:val="93"/>
              </w:rPr>
              <w:t>Three months ended October 31,</w:t>
            </w:r>
          </w:p>
        </w:tc>
      </w:tr>
      <w:tr>
        <w:trPr>
          <w:trHeight w:val="210"/>
        </w:trPr>
        <w:tc>
          <w:tcPr>
            <w:tcW w:w="8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321,475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277,227</w:t>
            </w:r>
          </w:p>
        </w:tc>
      </w:tr>
      <w:tr>
        <w:trPr>
          <w:trHeight w:val="21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166,487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141,799</w:t>
            </w:r>
          </w:p>
        </w:tc>
      </w:tr>
      <w:tr>
        <w:trPr>
          <w:trHeight w:val="213"/>
        </w:trPr>
        <w:tc>
          <w:tcPr>
            <w:tcW w:w="8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Gross margin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135,428</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10,203</w:t>
            </w:r>
          </w:p>
        </w:tc>
      </w:tr>
      <w:tr>
        <w:trPr>
          <w:trHeight w:val="213"/>
        </w:trPr>
        <w:tc>
          <w:tcPr>
            <w:tcW w:w="84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96,746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83,037</w:t>
            </w:r>
          </w:p>
        </w:tc>
      </w:tr>
      <w:tr>
        <w:trPr>
          <w:trHeight w:val="21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93,240</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44,335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42,188</w:t>
            </w: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400" w:type="dxa"/>
            <w:vAlign w:val="bottom"/>
          </w:tcPr>
          <w:p>
            <w:pPr>
              <w:ind w:left="400"/>
              <w:spacing w:after="0"/>
              <w:rPr>
                <w:sz w:val="20"/>
                <w:szCs w:val="20"/>
                <w:color w:val="auto"/>
              </w:rPr>
            </w:pPr>
            <w:r>
              <w:rPr>
                <w:rFonts w:ascii="Arial" w:cs="Arial" w:eastAsia="Arial" w:hAnsi="Arial"/>
                <w:sz w:val="16"/>
                <w:szCs w:val="16"/>
                <w:color w:val="auto"/>
              </w:rPr>
              <w:t>Investment and other income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9"/>
        </w:trPr>
        <w:tc>
          <w:tcPr>
            <w:tcW w:w="8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Income before income taxes and losses of unconsolidated affiliate</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44,696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42,237</w:t>
            </w: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8,582</w:t>
            </w: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Income before losses of unconsolidated affiliate</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35,046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33,655</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losses of unconsolidated affiliate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35,046</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33,481</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8400" w:type="dxa"/>
            <w:vAlign w:val="bottom"/>
          </w:tcPr>
          <w:p>
            <w:pPr>
              <w:ind w:left="40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0.64</w:t>
            </w:r>
          </w:p>
        </w:tc>
      </w:tr>
      <w:tr>
        <w:trPr>
          <w:trHeight w:val="219"/>
        </w:trPr>
        <w:tc>
          <w:tcPr>
            <w:tcW w:w="8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84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r>
      <w:tr>
        <w:trPr>
          <w:trHeight w:val="213"/>
        </w:trPr>
        <w:tc>
          <w:tcPr>
            <w:tcW w:w="8400" w:type="dxa"/>
            <w:vAlign w:val="bottom"/>
          </w:tcPr>
          <w:p>
            <w:pPr>
              <w:ind w:left="40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0.62</w:t>
            </w: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400" w:type="dxa"/>
            <w:vAlign w:val="bottom"/>
          </w:tcPr>
          <w:p>
            <w:pPr>
              <w:ind w:left="38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51,973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52,021</w:t>
            </w:r>
          </w:p>
        </w:tc>
      </w:tr>
      <w:tr>
        <w:trPr>
          <w:trHeight w:val="219"/>
        </w:trPr>
        <w:tc>
          <w:tcPr>
            <w:tcW w:w="8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52,292</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526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COMPREHENSIVE INCOME </w:t>
      </w:r>
      <w:r>
        <w:rPr>
          <w:rFonts w:ascii="Arial" w:cs="Arial" w:eastAsia="Arial" w:hAnsi="Arial"/>
          <w:sz w:val="16"/>
          <w:szCs w:val="16"/>
          <w:color w:val="auto"/>
        </w:rPr>
        <w:t>(Dollars in Thousands,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w w:val="93"/>
              </w:rPr>
              <w:t>Three months ended October 31,</w:t>
            </w:r>
          </w:p>
        </w:tc>
      </w:tr>
      <w:tr>
        <w:trPr>
          <w:trHeight w:val="210"/>
        </w:trPr>
        <w:tc>
          <w:tcPr>
            <w:tcW w:w="8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2"/>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33,481</w:t>
            </w: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w:t>
            </w:r>
          </w:p>
        </w:tc>
      </w:tr>
      <w:tr>
        <w:trPr>
          <w:trHeight w:val="216"/>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40" w:type="dxa"/>
            <w:vAlign w:val="bottom"/>
          </w:tcPr>
          <w:p>
            <w:pPr>
              <w:ind w:left="680"/>
              <w:spacing w:after="0"/>
              <w:rPr>
                <w:sz w:val="20"/>
                <w:szCs w:val="20"/>
                <w:color w:val="auto"/>
              </w:rPr>
            </w:pPr>
            <w:r>
              <w:rPr>
                <w:rFonts w:ascii="Arial" w:cs="Arial" w:eastAsia="Arial" w:hAnsi="Arial"/>
                <w:sz w:val="16"/>
                <w:szCs w:val="16"/>
                <w:color w:val="auto"/>
              </w:rPr>
              <w:t>Net (loss) gain recognized in other comprehensive loss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697</w:t>
            </w:r>
          </w:p>
        </w:tc>
      </w:tr>
      <w:tr>
        <w:trPr>
          <w:trHeight w:val="216"/>
        </w:trPr>
        <w:tc>
          <w:tcPr>
            <w:tcW w:w="8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Reclassification adjustment for (gains) losses included in net income</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10"/>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908</w:t>
            </w:r>
          </w:p>
        </w:tc>
      </w:tr>
      <w:tr>
        <w:trPr>
          <w:trHeight w:val="219"/>
        </w:trPr>
        <w:tc>
          <w:tcPr>
            <w:tcW w:w="8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680"/>
              <w:spacing w:after="0"/>
              <w:rPr>
                <w:sz w:val="20"/>
                <w:szCs w:val="20"/>
                <w:color w:val="auto"/>
              </w:rPr>
            </w:pPr>
            <w:r>
              <w:rPr>
                <w:rFonts w:ascii="Arial" w:cs="Arial" w:eastAsia="Arial" w:hAnsi="Arial"/>
                <w:sz w:val="16"/>
                <w:szCs w:val="16"/>
                <w:color w:val="auto"/>
              </w:rPr>
              <w:t>Pension and other post-retirement benefits actuarial gain amortization</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9"/>
        </w:trPr>
        <w:tc>
          <w:tcPr>
            <w:tcW w:w="8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Other comprehensive loss, before tax</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(3,390)</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 related to items of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07"/>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(3,191)</w:t>
            </w:r>
          </w:p>
        </w:tc>
      </w:tr>
      <w:tr>
        <w:trPr>
          <w:trHeight w:val="23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30,290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12"/>
          </w:tcPr>
          <w:p>
            <w:pPr>
              <w:spacing w:after="0"/>
              <w:rPr>
                <w:sz w:val="20"/>
                <w:szCs w:val="20"/>
                <w:color w:val="auto"/>
              </w:rPr>
            </w:pPr>
            <w:r>
              <w:rPr>
                <w:rFonts w:ascii="Arial" w:cs="Arial" w:eastAsia="Arial" w:hAnsi="Arial"/>
                <w:sz w:val="16"/>
                <w:szCs w:val="16"/>
                <w:b w:val="1"/>
                <w:bCs w:val="1"/>
                <w:color w:val="auto"/>
              </w:rPr>
              <w:t>Three months ended October 31, 2021</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Retained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Treasury</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jc w:val="center"/>
              <w:spacing w:after="0" w:line="158" w:lineRule="exact"/>
              <w:rPr>
                <w:sz w:val="20"/>
                <w:szCs w:val="20"/>
                <w:color w:val="auto"/>
              </w:rPr>
            </w:pPr>
            <w:r>
              <w:rPr>
                <w:rFonts w:ascii="Arial" w:cs="Arial" w:eastAsia="Arial" w:hAnsi="Arial"/>
                <w:sz w:val="16"/>
                <w:szCs w:val="16"/>
                <w:b w:val="1"/>
                <w:bCs w:val="1"/>
                <w:color w:val="auto"/>
                <w:w w:val="92"/>
              </w:rPr>
              <w:t>Accumulated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7"/>
              </w:rPr>
              <w:t>Paid-In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1"/>
              </w:rPr>
              <w:t>Stock</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7"/>
              </w:rPr>
              <w:t>Capital</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Earnings</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July 31, 2021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339,125</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788,369</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(109,061)</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(55,953)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963,028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35,046</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1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35,046</w:t>
            </w:r>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(4,718)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(4,718)</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3660" w:type="dxa"/>
            <w:vAlign w:val="bottom"/>
          </w:tcPr>
          <w:p>
            <w:pPr>
              <w:ind w:left="20"/>
              <w:spacing w:after="0" w:line="166" w:lineRule="exact"/>
              <w:rPr>
                <w:sz w:val="20"/>
                <w:szCs w:val="20"/>
                <w:color w:val="auto"/>
              </w:rPr>
            </w:pPr>
            <w:r>
              <w:rPr>
                <w:rFonts w:ascii="Arial" w:cs="Arial" w:eastAsia="Arial" w:hAnsi="Arial"/>
                <w:sz w:val="16"/>
                <w:szCs w:val="16"/>
                <w:color w:val="auto"/>
                <w:w w:val="97"/>
              </w:rPr>
              <w:t>Issuance of shares of Class A Common Stock under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(3,187)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ind w:left="1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(3,188)</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auto"/>
              </w:rPr>
              <w:t>stock plan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6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Tax benefit and withholdings from deferred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36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366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(18,924)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(18,924)</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auto"/>
              </w:rPr>
              <w:t>Cash dividends on Common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A — $0.2250 per share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(10,858)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(10,858)</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Class B — $0.2084 per share</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(737)</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1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October 31, 2021</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340,182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811,820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(127,986)</w:t>
            </w: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(60,671)</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963,893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13"/>
          </w:tcPr>
          <w:p>
            <w:pPr>
              <w:ind w:left="100"/>
              <w:spacing w:after="0"/>
              <w:rPr>
                <w:sz w:val="20"/>
                <w:szCs w:val="20"/>
                <w:color w:val="auto"/>
              </w:rPr>
            </w:pPr>
            <w:r>
              <w:rPr>
                <w:rFonts w:ascii="Arial" w:cs="Arial" w:eastAsia="Arial" w:hAnsi="Arial"/>
                <w:sz w:val="16"/>
                <w:szCs w:val="16"/>
                <w:b w:val="1"/>
                <w:bCs w:val="1"/>
                <w:color w:val="auto"/>
              </w:rPr>
              <w:t>Three months ended October 31, 2020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Common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Retained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w w:val="94"/>
              </w:rPr>
              <w:t>Treasury</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spacing w:after="0" w:line="158" w:lineRule="exact"/>
              <w:rPr>
                <w:sz w:val="20"/>
                <w:szCs w:val="20"/>
                <w:color w:val="auto"/>
              </w:rPr>
            </w:pPr>
            <w:r>
              <w:rPr>
                <w:rFonts w:ascii="Arial" w:cs="Arial" w:eastAsia="Arial" w:hAnsi="Arial"/>
                <w:sz w:val="16"/>
                <w:szCs w:val="16"/>
                <w:b w:val="1"/>
                <w:bCs w:val="1"/>
                <w:color w:val="auto"/>
                <w:w w:val="96"/>
              </w:rPr>
              <w:t>Accumulated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4"/>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7"/>
              </w:rPr>
              <w:t>Paid-In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36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Stock</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Capital</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Earnings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Stock</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Loss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at July 31, 2020</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704,456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33,481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33,481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70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8"/>
              </w:rPr>
              <w:t>Issuance of shares of Class A Common Stock under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(3,246)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790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ind w:left="10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(2,456)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stock plan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Tax benefit and withholdings from deferred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7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compensation distributions</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70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Stock-based compensation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Repurchase of shares of Class A Common Stock</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Cash dividends on Common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Class A — $0.2200 per share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3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Class B — $0.2034 per share</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at October 31, 2021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332,121</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726,546</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(109,146)</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(69,668)</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880,401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w w:val="96"/>
              </w:rPr>
              <w:t>Three months ended October 31,</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35,046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33,481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5,635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3,574</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Equity in losses of unconsolidated affiliate</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(13,302)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(11,371)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14,758</w:t>
            </w:r>
          </w:p>
        </w:tc>
        <w:tc>
          <w:tcPr>
            <w:tcW w:w="0" w:type="dxa"/>
            <w:vAlign w:val="bottom"/>
          </w:tcPr>
          <w:p>
            <w:pPr>
              <w:spacing w:after="0"/>
              <w:rPr>
                <w:sz w:val="1"/>
                <w:szCs w:val="1"/>
                <w:color w:val="auto"/>
              </w:rPr>
            </w:pPr>
          </w:p>
        </w:tc>
      </w:tr>
      <w:tr>
        <w:trPr>
          <w:trHeight w:val="213"/>
        </w:trPr>
        <w:tc>
          <w:tcPr>
            <w:tcW w:w="8180" w:type="dxa"/>
            <w:vAlign w:val="bottom"/>
          </w:tcPr>
          <w:p>
            <w:pPr>
              <w:ind w:left="112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17,363</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Income taxes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62,838</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(11,328)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(9,321)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(11,326)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(9,202)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 of dividends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(11,391)</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Payments for employee taxes withheld from stock-based awards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Purchase of treasury stock</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(18,924)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(2,720)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borrowing on credit facilities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12,971</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Repayment of borrowing on credit facilities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(27,200)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(12,988)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7"/>
        </w:trPr>
        <w:tc>
          <w:tcPr>
            <w:tcW w:w="8180" w:type="dxa"/>
            <w:vAlign w:val="bottom"/>
          </w:tcPr>
          <w:p>
            <w:pPr>
              <w:ind w:left="152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(4,592)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(16,551)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38,690</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147,335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217,643</w:t>
            </w: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256,333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See Notes to Condensed Consolidated Financial Statements.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8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October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2021 and July 31, 2021, its results of operations and comprehensive income for the three months ended October 31, 2021 and 2020, and cash flows for the three months ended October 31, 2021 and 2020. The condensed consolidated balance sheet as of July 31, 2021,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2021.</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NOTE B — 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Adopted Standards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December 2019, the Financial Accounting Standards Board ("FASB") issued ASU 2019-12, "Income Taxes - Simplifying the Accounting for Income Taxes (Topic 740)." This guidance removes certain exceptions to the general principles in ASC 740 such as recognizing deferred taxes for equity investments, the incremental approach to performing intraperiod tax allocation and calculating income taxes in interim periods. The standard also simplifies accounting for income taxes under U.S. GAAP by clarifying and amending existing guidance, including the recognition of deferred taxes for goodwill, the allocation of taxes to members of a consolidated group and requiring that an entity reflect the effect of enacted changes in tax laws or rates in the annual effective tax rate computation in the interim period that includes the enactment date. The Company adopted ASC 2019-12 effective August 1, 2021, which did not have a material impact on its consolidated financial statements or disclosures.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Standards not yet adopted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Subject to meeting certain criteria, this guidance provides optional expedients and exceptions to applying contract modification accounting under existing U.S. GAAP, to address the expected phase out of the London Inter-bank Offered Rate ("LIBOR") by the end of 2021. This guidance is effective upon issuance and allows application to contract changes as early as January 1, 2020. The Company does not expect a material impact to the financial statements or disclosures from the adoption of this standard.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NOTE C — Additional Balance Sheet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as of October 31, 2021 and July 31, 2021,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31,</w:t>
            </w:r>
          </w:p>
        </w:tc>
        <w:tc>
          <w:tcPr>
            <w:tcW w:w="120" w:type="dxa"/>
            <w:vAlign w:val="bottom"/>
          </w:tcPr>
          <w:p>
            <w:pPr>
              <w:spacing w:after="0"/>
              <w:rPr>
                <w:sz w:val="16"/>
                <w:szCs w:val="16"/>
                <w:color w:val="auto"/>
              </w:rPr>
            </w:pPr>
          </w:p>
        </w:tc>
        <w:tc>
          <w:tcPr>
            <w:tcW w:w="10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3"/>
              </w:rPr>
              <w:t>July 31, 2021</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87,489</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22,099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20,189</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supplies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34,162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28,429</w:t>
            </w:r>
          </w:p>
        </w:tc>
        <w:tc>
          <w:tcPr>
            <w:tcW w:w="0" w:type="dxa"/>
            <w:vAlign w:val="bottom"/>
          </w:tcPr>
          <w:p>
            <w:pPr>
              <w:spacing w:after="0"/>
              <w:rPr>
                <w:sz w:val="1"/>
                <w:szCs w:val="1"/>
                <w:color w:val="auto"/>
              </w:rPr>
            </w:pPr>
          </w:p>
        </w:tc>
      </w:tr>
      <w:tr>
        <w:trPr>
          <w:trHeight w:val="207"/>
        </w:trPr>
        <w:tc>
          <w:tcPr>
            <w:tcW w:w="8720" w:type="dxa"/>
            <w:vAlign w:val="bottom"/>
          </w:tcPr>
          <w:p>
            <w:pPr>
              <w:ind w:left="22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152,295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136,107</w:t>
            </w:r>
          </w:p>
        </w:tc>
        <w:tc>
          <w:tcPr>
            <w:tcW w:w="0" w:type="dxa"/>
            <w:vAlign w:val="bottom"/>
          </w:tcPr>
          <w:p>
            <w:pPr>
              <w:spacing w:after="0"/>
              <w:rPr>
                <w:sz w:val="1"/>
                <w:szCs w:val="1"/>
                <w:color w:val="auto"/>
              </w:rPr>
            </w:pPr>
          </w:p>
        </w:tc>
      </w:tr>
      <w:tr>
        <w:trPr>
          <w:trHeight w:val="23"/>
        </w:trPr>
        <w:tc>
          <w:tcPr>
            <w:tcW w:w="8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Property, plant and equipment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Property, plant and equipment is presented net of accumulated depreciation in the amount of $280,696 and $277,246 as of October 31, 2021 and July 31, 2021, respectively.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D — Other Intangible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intangible assets as of October 31, 2021 and July 31, 2021,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October 31, 2021</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July 31, 2021</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Net Book</w:t>
            </w:r>
          </w:p>
        </w:tc>
        <w:tc>
          <w:tcPr>
            <w:tcW w:w="100" w:type="dxa"/>
            <w:vAlign w:val="bottom"/>
          </w:tcPr>
          <w:p>
            <w:pPr>
              <w:spacing w:after="0"/>
              <w:rPr>
                <w:sz w:val="11"/>
                <w:szCs w:val="11"/>
                <w:color w:val="auto"/>
              </w:rPr>
            </w:pPr>
          </w:p>
        </w:tc>
        <w:tc>
          <w:tcPr>
            <w:tcW w:w="12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2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Period (Years)</w:t>
            </w: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Period (Years)</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0"/>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Amortized other intangible assets:</w:t>
            </w: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20" w:type="dxa"/>
            <w:vAlign w:val="bottom"/>
          </w:tcPr>
          <w:p>
            <w:pPr>
              <w:ind w:left="220"/>
              <w:spacing w:after="0"/>
              <w:rPr>
                <w:sz w:val="20"/>
                <w:szCs w:val="20"/>
                <w:color w:val="auto"/>
              </w:rPr>
            </w:pPr>
            <w:r>
              <w:rPr>
                <w:rFonts w:ascii="Arial" w:cs="Arial" w:eastAsia="Arial" w:hAnsi="Arial"/>
                <w:sz w:val="14"/>
                <w:szCs w:val="14"/>
                <w:color w:val="auto"/>
              </w:rPr>
              <w:t>Tradenames</w:t>
            </w:r>
          </w:p>
        </w:tc>
        <w:tc>
          <w:tcPr>
            <w:tcW w:w="110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1,814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(530)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1,284</w:t>
            </w:r>
          </w:p>
        </w:tc>
        <w:tc>
          <w:tcPr>
            <w:tcW w:w="1220" w:type="dxa"/>
            <w:vAlign w:val="bottom"/>
            <w:gridSpan w:val="2"/>
          </w:tcPr>
          <w:p>
            <w:pPr>
              <w:jc w:val="center"/>
              <w:ind w:lef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1,821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92"/>
        </w:trPr>
        <w:tc>
          <w:tcPr>
            <w:tcW w:w="2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Customer relationships</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(42,152)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68,463</w:t>
            </w:r>
          </w:p>
        </w:tc>
        <w:tc>
          <w:tcPr>
            <w:tcW w:w="12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71,881</w:t>
            </w:r>
          </w:p>
        </w:tc>
        <w:tc>
          <w:tcPr>
            <w:tcW w:w="0" w:type="dxa"/>
            <w:vAlign w:val="bottom"/>
          </w:tcPr>
          <w:p>
            <w:pPr>
              <w:spacing w:after="0"/>
              <w:rPr>
                <w:sz w:val="1"/>
                <w:szCs w:val="1"/>
                <w:color w:val="auto"/>
              </w:rPr>
            </w:pPr>
          </w:p>
        </w:tc>
      </w:tr>
      <w:tr>
        <w:trPr>
          <w:trHeight w:val="186"/>
        </w:trPr>
        <w:tc>
          <w:tcPr>
            <w:tcW w:w="2720" w:type="dxa"/>
            <w:vAlign w:val="bottom"/>
          </w:tcPr>
          <w:p>
            <w:pPr>
              <w:ind w:left="220"/>
              <w:spacing w:after="0"/>
              <w:rPr>
                <w:sz w:val="20"/>
                <w:szCs w:val="20"/>
                <w:color w:val="auto"/>
              </w:rPr>
            </w:pPr>
            <w:r>
              <w:rPr>
                <w:rFonts w:ascii="Arial" w:cs="Arial" w:eastAsia="Arial" w:hAnsi="Arial"/>
                <w:sz w:val="14"/>
                <w:szCs w:val="14"/>
                <w:color w:val="auto"/>
              </w:rPr>
              <w:t>Technology</w:t>
            </w:r>
          </w:p>
        </w:tc>
        <w:tc>
          <w:tcPr>
            <w:tcW w:w="110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8,701</w:t>
            </w:r>
          </w:p>
        </w:tc>
        <w:tc>
          <w:tcPr>
            <w:tcW w:w="1220" w:type="dxa"/>
            <w:vAlign w:val="bottom"/>
            <w:gridSpan w:val="2"/>
          </w:tcPr>
          <w:p>
            <w:pPr>
              <w:jc w:val="center"/>
              <w:ind w:lef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9,243</w:t>
            </w:r>
          </w:p>
        </w:tc>
        <w:tc>
          <w:tcPr>
            <w:tcW w:w="0" w:type="dxa"/>
            <w:vAlign w:val="bottom"/>
          </w:tcPr>
          <w:p>
            <w:pPr>
              <w:spacing w:after="0"/>
              <w:rPr>
                <w:sz w:val="1"/>
                <w:szCs w:val="1"/>
                <w:color w:val="auto"/>
              </w:rPr>
            </w:pPr>
          </w:p>
        </w:tc>
      </w:tr>
      <w:tr>
        <w:trPr>
          <w:trHeight w:val="192"/>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Unamortized other intangible assets:</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20" w:type="dxa"/>
            <w:vAlign w:val="bottom"/>
          </w:tcPr>
          <w:p>
            <w:pPr>
              <w:ind w:left="220"/>
              <w:spacing w:after="0"/>
              <w:rPr>
                <w:sz w:val="20"/>
                <w:szCs w:val="20"/>
                <w:color w:val="auto"/>
              </w:rPr>
            </w:pPr>
            <w:r>
              <w:rPr>
                <w:rFonts w:ascii="Arial" w:cs="Arial" w:eastAsia="Arial" w:hAnsi="Arial"/>
                <w:sz w:val="14"/>
                <w:szCs w:val="14"/>
                <w:color w:val="auto"/>
              </w:rPr>
              <w:t>Tradenames</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9,771</w:t>
            </w: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9,745</w:t>
            </w:r>
          </w:p>
        </w:tc>
        <w:tc>
          <w:tcPr>
            <w:tcW w:w="0" w:type="dxa"/>
            <w:vAlign w:val="bottom"/>
          </w:tcPr>
          <w:p>
            <w:pPr>
              <w:spacing w:after="0"/>
              <w:rPr>
                <w:sz w:val="1"/>
                <w:szCs w:val="1"/>
                <w:color w:val="auto"/>
              </w:rPr>
            </w:pPr>
          </w:p>
        </w:tc>
      </w:tr>
      <w:tr>
        <w:trPr>
          <w:trHeight w:val="20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92,334</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change in the gross carrying amount of other intangible assets as of October 31, 2021 compared to July 31, 2021 was due to the effect of currency fluctuations during the three-month period. Amortization expense on intangible assets was $3,807 and $1,351 for the three months ended October 31, 2021 and 2020, respectively.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NOTE E — Leases</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leases certain manufacturing facilities, warehouses and office space, computer equipment, and vehicles accounted for as operating leases. Lease terms typically range from one year to ten years. As of October 31, 2021, the Company did not have any finance leases.</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lease expense was $4,765 and $4,073 for the three months ended October 31, 2021 and 2020, respectively, which was recognized in either "Cost of goods sold" or "Selling, general and administrative" expenses in the condensed consolidated statements of income, based on the nature of the lease. Short-term lease expense, variable lease expenses, and sublease income was immaterial to the condensed consolidated statements of income for the three months ended October 31, 2021 and 2020.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Supplemental cash flow information related to the Company's operating leases for the three months ended October 31, 2021 and 2020, was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3220" w:type="dxa"/>
            <w:vAlign w:val="bottom"/>
            <w:tcBorders>
              <w:bottom w:val="single" w:sz="8" w:color="auto"/>
            </w:tcBorders>
            <w:gridSpan w:val="4"/>
          </w:tcPr>
          <w:p>
            <w:pPr>
              <w:ind w:left="900"/>
              <w:spacing w:after="0"/>
              <w:rPr>
                <w:sz w:val="20"/>
                <w:szCs w:val="20"/>
                <w:color w:val="auto"/>
              </w:rPr>
            </w:pPr>
            <w:r>
              <w:rPr>
                <w:rFonts w:ascii="Arial" w:cs="Arial" w:eastAsia="Arial" w:hAnsi="Arial"/>
                <w:sz w:val="16"/>
                <w:szCs w:val="16"/>
                <w:b w:val="1"/>
                <w:bCs w:val="1"/>
                <w:color w:val="auto"/>
                <w:w w:val="92"/>
              </w:rPr>
              <w:t>Three months ended October 31,</w:t>
            </w:r>
          </w:p>
        </w:tc>
        <w:tc>
          <w:tcPr>
            <w:tcW w:w="500" w:type="dxa"/>
            <w:vAlign w:val="bottom"/>
            <w:tcBorders>
              <w:bottom w:val="single" w:sz="8" w:color="auto"/>
            </w:tcBorders>
          </w:tcPr>
          <w:p>
            <w:pPr>
              <w:spacing w:after="0"/>
              <w:rPr>
                <w:sz w:val="18"/>
                <w:szCs w:val="18"/>
                <w:color w:val="auto"/>
              </w:rPr>
            </w:pPr>
          </w:p>
        </w:tc>
      </w:tr>
      <w:tr>
        <w:trPr>
          <w:trHeight w:val="210"/>
        </w:trPr>
        <w:tc>
          <w:tcPr>
            <w:tcW w:w="75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r>
      <w:tr>
        <w:trPr>
          <w:trHeight w:val="212"/>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cash flows from operating leases</w:t>
            </w:r>
          </w:p>
        </w:tc>
        <w:tc>
          <w:tcPr>
            <w:tcW w:w="130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4,297</w:t>
            </w:r>
          </w:p>
        </w:tc>
      </w:tr>
      <w:tr>
        <w:trPr>
          <w:trHeight w:val="279"/>
        </w:trPr>
        <w:tc>
          <w:tcPr>
            <w:tcW w:w="7520" w:type="dxa"/>
            <w:vAlign w:val="bottom"/>
          </w:tcPr>
          <w:p>
            <w:pPr>
              <w:ind w:left="360"/>
              <w:spacing w:after="0"/>
              <w:rPr>
                <w:sz w:val="20"/>
                <w:szCs w:val="20"/>
                <w:color w:val="auto"/>
              </w:rPr>
            </w:pPr>
            <w:r>
              <w:rPr>
                <w:rFonts w:ascii="Arial" w:cs="Arial" w:eastAsia="Arial" w:hAnsi="Arial"/>
                <w:sz w:val="16"/>
                <w:szCs w:val="16"/>
                <w:color w:val="auto"/>
              </w:rPr>
              <w:t xml:space="preserve">Operating lease assets obtained in exchange for new operating lease liabilities </w:t>
            </w:r>
            <w:r>
              <w:rPr>
                <w:rFonts w:ascii="Arial" w:cs="Arial" w:eastAsia="Arial" w:hAnsi="Arial"/>
                <w:sz w:val="21"/>
                <w:szCs w:val="21"/>
                <w:color w:val="auto"/>
                <w:vertAlign w:val="superscript"/>
              </w:rPr>
              <w:t>(1)</w:t>
            </w:r>
          </w:p>
        </w:tc>
        <w:tc>
          <w:tcPr>
            <w:tcW w:w="1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2,936</w:t>
            </w:r>
          </w:p>
        </w:tc>
      </w:tr>
    </w:tbl>
    <w:p>
      <w:pPr>
        <w:spacing w:after="0" w:line="17" w:lineRule="exact"/>
        <w:rPr>
          <w:sz w:val="20"/>
          <w:szCs w:val="20"/>
          <w:color w:val="auto"/>
        </w:rPr>
      </w:pPr>
    </w:p>
    <w:p>
      <w:pPr>
        <w:jc w:val="both"/>
        <w:ind w:firstLine="332"/>
        <w:spacing w:after="0" w:line="249" w:lineRule="auto"/>
        <w:tabs>
          <w:tab w:leader="none" w:pos="514" w:val="left"/>
        </w:tabs>
        <w:numPr>
          <w:ilvl w:val="0"/>
          <w:numId w:val="3"/>
        </w:numPr>
        <w:rPr>
          <w:rFonts w:ascii="Arial" w:cs="Arial" w:eastAsia="Arial" w:hAnsi="Arial"/>
          <w:sz w:val="22"/>
          <w:szCs w:val="22"/>
          <w:color w:val="auto"/>
          <w:vertAlign w:val="superscript"/>
        </w:rPr>
      </w:pPr>
      <w:r>
        <w:rPr>
          <w:rFonts w:ascii="Arial" w:cs="Arial" w:eastAsia="Arial" w:hAnsi="Arial"/>
          <w:sz w:val="17"/>
          <w:szCs w:val="17"/>
          <w:color w:val="auto"/>
        </w:rPr>
        <w:t>During the three months ended October 31, 2021, the Company purchased two buildings which were previously leased. This resulted in an overall decrease in operating lease assets obtained in exchange for lease liabilities for the period as the remaining lease assets and liabilities were removed from the condensed consolidated balance sheets.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NOTE F – Stockholders' Equity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Incentive Stock Plans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performance-based restricted stock units ("PRSUs"), or restricted and unrestricted shares of Class A Nonvoting Common Stock to employees and non-employee directors. Certain awards may be subject to pre-established performance goals. The majority of the Company’s annual share-based awards are granted in the first quarter of the fiscal year.</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Total stock-based compensation expense recognized during the three months ended October 31, 2021 and 2020 was $4,129 and $3,574, respectively. The total income tax benefit recognized in the condensed consolidated statements of income was $199 and $274 during the three months ended October 31, 2021 and 2020, respectively. As of October 31, 2021, total unrecognized compensation cost related to share-based awards was $12,919 pre-tax, net of estimated forfeitures, which the Company expects to recognize over a weighted-average period of 1.7 years.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stock options issued under the plan have an exercise price equal to the fair market value of the underlying stock at the date of grant and generally vest ratably over three years, with one-third becoming exercisable one year after the grant date and one-third additional in each of the succeeding two years. Options issued under the plan, referred to herein as “time-based” options, generally expire ten years from the date of grant.</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estimated the fair value of its time-based option awards granted during the three months ended October 31, 2021 and 2020, using the Black-Scholes option valuation model. The weighted-average assumptions used in the Black-Scholes valuation model are reflected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b w:val="1"/>
                <w:bCs w:val="1"/>
                <w:color w:val="auto"/>
              </w:rPr>
              <w:t>Three months ended October 31,</w:t>
            </w:r>
          </w:p>
        </w:tc>
      </w:tr>
      <w:tr>
        <w:trPr>
          <w:trHeight w:val="213"/>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Black-Scholes Option Valuation Assumptions</w:t>
            </w: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2020</w:t>
            </w:r>
          </w:p>
        </w:tc>
      </w:tr>
      <w:tr>
        <w:trPr>
          <w:trHeight w:val="21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r>
      <w:tr>
        <w:trPr>
          <w:trHeight w:val="213"/>
        </w:trPr>
        <w:tc>
          <w:tcPr>
            <w:tcW w:w="7100" w:type="dxa"/>
            <w:vAlign w:val="bottom"/>
            <w:gridSpan w:val="2"/>
          </w:tcPr>
          <w:p>
            <w:pPr>
              <w:ind w:left="20"/>
              <w:spacing w:after="0"/>
              <w:rPr>
                <w:sz w:val="20"/>
                <w:szCs w:val="20"/>
                <w:color w:val="auto"/>
              </w:rPr>
            </w:pPr>
            <w:r>
              <w:rPr>
                <w:rFonts w:ascii="Arial" w:cs="Arial" w:eastAsia="Arial" w:hAnsi="Arial"/>
                <w:sz w:val="16"/>
                <w:szCs w:val="16"/>
                <w:color w:val="auto"/>
              </w:rPr>
              <w:t>Expected volatility</w:t>
            </w:r>
          </w:p>
        </w:tc>
        <w:tc>
          <w:tcPr>
            <w:tcW w:w="2000" w:type="dxa"/>
            <w:vAlign w:val="bottom"/>
          </w:tcPr>
          <w:p>
            <w:pPr>
              <w:jc w:val="right"/>
              <w:spacing w:after="0"/>
              <w:rPr>
                <w:sz w:val="20"/>
                <w:szCs w:val="20"/>
                <w:color w:val="auto"/>
              </w:rPr>
            </w:pPr>
            <w:r>
              <w:rPr>
                <w:rFonts w:ascii="Arial" w:cs="Arial" w:eastAsia="Arial" w:hAnsi="Arial"/>
                <w:sz w:val="16"/>
                <w:szCs w:val="16"/>
                <w:color w:val="auto"/>
              </w:rPr>
              <w:t>29.98 %</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30.71 %</w:t>
            </w:r>
          </w:p>
        </w:tc>
      </w:tr>
      <w:tr>
        <w:trPr>
          <w:trHeight w:val="21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2.29 %</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2.49 %</w:t>
            </w:r>
          </w:p>
        </w:tc>
      </w:tr>
      <w:tr>
        <w:trPr>
          <w:trHeight w:val="210"/>
        </w:trPr>
        <w:tc>
          <w:tcPr>
            <w:tcW w:w="710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2000" w:type="dxa"/>
            <w:vAlign w:val="bottom"/>
          </w:tcPr>
          <w:p>
            <w:pPr>
              <w:jc w:val="right"/>
              <w:spacing w:after="0"/>
              <w:rPr>
                <w:sz w:val="20"/>
                <w:szCs w:val="20"/>
                <w:color w:val="auto"/>
              </w:rPr>
            </w:pPr>
            <w:r>
              <w:rPr>
                <w:rFonts w:ascii="Arial" w:cs="Arial" w:eastAsia="Arial" w:hAnsi="Arial"/>
                <w:sz w:val="16"/>
                <w:szCs w:val="16"/>
                <w:color w:val="auto"/>
              </w:rPr>
              <w:t>0.96 %</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0.38 %</w:t>
            </w: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stock option activity for the three months ended October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8"/>
              </w:rPr>
              <w:t>Weighted</w:t>
            </w:r>
          </w:p>
        </w:tc>
        <w:tc>
          <w:tcPr>
            <w:tcW w:w="13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Average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2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0"/>
              </w:rPr>
              <w:t>Remaining</w:t>
            </w:r>
          </w:p>
        </w:tc>
        <w:tc>
          <w:tcPr>
            <w:tcW w:w="180" w:type="dxa"/>
            <w:vAlign w:val="bottom"/>
          </w:tcPr>
          <w:p>
            <w:pPr>
              <w:spacing w:after="0"/>
              <w:rPr>
                <w:sz w:val="14"/>
                <w:szCs w:val="14"/>
                <w:color w:val="auto"/>
              </w:rPr>
            </w:pPr>
          </w:p>
        </w:tc>
        <w:tc>
          <w:tcPr>
            <w:tcW w:w="10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5"/>
              </w:rPr>
              <w:t>Aggregate</w:t>
            </w:r>
          </w:p>
        </w:tc>
        <w:tc>
          <w:tcPr>
            <w:tcW w:w="0" w:type="dxa"/>
            <w:vAlign w:val="bottom"/>
          </w:tcPr>
          <w:p>
            <w:pPr>
              <w:spacing w:after="0"/>
              <w:rPr>
                <w:sz w:val="1"/>
                <w:szCs w:val="1"/>
                <w:color w:val="auto"/>
              </w:rPr>
            </w:pPr>
          </w:p>
        </w:tc>
      </w:tr>
      <w:tr>
        <w:trPr>
          <w:trHeight w:val="162"/>
        </w:trPr>
        <w:tc>
          <w:tcPr>
            <w:tcW w:w="6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Time-Based Options</w:t>
            </w:r>
          </w:p>
        </w:tc>
        <w:tc>
          <w:tcPr>
            <w:tcW w:w="100" w:type="dxa"/>
            <w:vAlign w:val="bottom"/>
            <w:vMerge w:val="restart"/>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8"/>
              </w:rPr>
              <w:t>Average</w:t>
            </w:r>
          </w:p>
        </w:tc>
        <w:tc>
          <w:tcPr>
            <w:tcW w:w="13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Contractual</w:t>
            </w: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1"/>
              </w:rPr>
              <w:t>Exercise Price</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Term</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2"/>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July 31, 2021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1,474,068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New grants</w:t>
            </w:r>
          </w:p>
        </w:tc>
        <w:tc>
          <w:tcPr>
            <w:tcW w:w="1220" w:type="dxa"/>
            <w:vAlign w:val="bottom"/>
          </w:tcPr>
          <w:p>
            <w:pPr>
              <w:jc w:val="right"/>
              <w:spacing w:after="0"/>
              <w:rPr>
                <w:sz w:val="20"/>
                <w:szCs w:val="20"/>
                <w:color w:val="auto"/>
              </w:rPr>
            </w:pPr>
            <w:r>
              <w:rPr>
                <w:rFonts w:ascii="Arial" w:cs="Arial" w:eastAsia="Arial" w:hAnsi="Arial"/>
                <w:sz w:val="16"/>
                <w:szCs w:val="16"/>
                <w:color w:val="auto"/>
              </w:rPr>
              <w:t>241,297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49.79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Forfeited or expired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October 31, 2021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1,700,713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40.14</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19,961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Exercisable at October 31, 2021</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37.30</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100" w:type="dxa"/>
            <w:vAlign w:val="bottom"/>
            <w:gridSpan w:val="2"/>
            <w:vMerge w:val="continue"/>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1,189,747</w:t>
            </w:r>
          </w:p>
        </w:tc>
        <w:tc>
          <w:tcPr>
            <w:tcW w:w="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17,317</w:t>
            </w:r>
          </w:p>
        </w:tc>
        <w:tc>
          <w:tcPr>
            <w:tcW w:w="0" w:type="dxa"/>
            <w:vAlign w:val="bottom"/>
          </w:tcPr>
          <w:p>
            <w:pPr>
              <w:spacing w:after="0"/>
              <w:rPr>
                <w:sz w:val="1"/>
                <w:szCs w:val="1"/>
                <w:color w:val="auto"/>
              </w:rPr>
            </w:pPr>
          </w:p>
        </w:tc>
      </w:tr>
      <w:tr>
        <w:trPr>
          <w:trHeight w:val="24"/>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fair value of stock options vested during the three months ended October 31, 2021 and 2020 was $2,446 and $2,371, respectively. The weighted-average grant date fair value of options granted during the three months ended October 31, 2021 and 2020 was $11.29 and $8.65, respectively. The total intrinsic value of stock options exercised during the three months ended October 31, 2021 and 2020, based upon the average market price at the time of exercise during the period, was $319 and $373, respectively.</w:t>
      </w:r>
    </w:p>
    <w:p>
      <w:pPr>
        <w:spacing w:after="0" w:line="13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cash received from the exercise of stock options during the three months ended October 31, 2021 and 2020 was $151 and $160, respectively. The tax benefit from the exercise of stock options during the three months ended October 31, 2021 and 2020 was $80 and $93, respectively.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RSUs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RSUs issued under the plan have a grant date fair value equal to the fair market value of the underlying stock at the date of grant and generally vest ratably over three years, with one-third vesting one year after the grant date and one-third additional in each of the succeeding two years.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RSU activity for the three months ended October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8020" w:type="dxa"/>
            <w:vAlign w:val="bottom"/>
          </w:tcPr>
          <w:p>
            <w:pPr>
              <w:spacing w:after="0"/>
              <w:rPr>
                <w:sz w:val="14"/>
                <w:szCs w:val="14"/>
                <w:color w:val="auto"/>
              </w:rPr>
            </w:pPr>
          </w:p>
        </w:tc>
        <w:tc>
          <w:tcPr>
            <w:tcW w:w="15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RSUs as of July 31, 2021</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156,466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45.40</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Granted</w:t>
            </w:r>
          </w:p>
        </w:tc>
        <w:tc>
          <w:tcPr>
            <w:tcW w:w="1540" w:type="dxa"/>
            <w:vAlign w:val="bottom"/>
          </w:tcPr>
          <w:p>
            <w:pPr>
              <w:jc w:val="right"/>
              <w:spacing w:after="0"/>
              <w:rPr>
                <w:sz w:val="20"/>
                <w:szCs w:val="20"/>
                <w:color w:val="auto"/>
              </w:rPr>
            </w:pPr>
            <w:r>
              <w:rPr>
                <w:rFonts w:ascii="Arial" w:cs="Arial" w:eastAsia="Arial" w:hAnsi="Arial"/>
                <w:sz w:val="16"/>
                <w:szCs w:val="16"/>
                <w:color w:val="auto"/>
              </w:rPr>
              <w:t>60,876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49.85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45.49</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RSUs as of October 31,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150,226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RSUs granted during the three months ended October 31, 2020 had a weighted-average grant date fair value of $39.92. The total fair value of RSUs vested during three months ended October 31, 2021 and 2020 was $3,380 and $2,572,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PRSUs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PRSUs are contingent on the achievement of predetermined market and performance targets. The PRSUs granted under the plan vest at the end of a three-year performance period provided the specified market and performance targets are met. For the PRSUs granted during the three months ended October 31, 2021, the vesting criteria for 50% of the grant is based upon the Company's total shareholder return ("TSR") relative to the S&amp;P 600 SmallCap Industrials Index over a three-year performance period, and the vesting criteria for the other 50% of the grant is based upon Company revenue targets. All other previously granted non-vested PRSUs vest based upon the Company's TSR relative to the S&amp;P 600 SmallCap Industrials Index.</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PRSU activity for the three months ended October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14"/>
                <w:szCs w:val="14"/>
                <w:color w:val="auto"/>
              </w:rPr>
            </w:pPr>
          </w:p>
        </w:tc>
        <w:tc>
          <w:tcPr>
            <w:tcW w:w="15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PRSUs as of July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119,281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61.05</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6"/>
                <w:szCs w:val="16"/>
                <w:color w:val="auto"/>
              </w:rPr>
              <w:t>76,743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61.76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50.70</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PRSUs as of October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119,139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65.18</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right="20" w:firstLine="332"/>
        <w:spacing w:after="0" w:line="246" w:lineRule="auto"/>
        <w:tabs>
          <w:tab w:leader="none" w:pos="495"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Includes 44,350 shares granted and vested during the three months ended October 31, 2021, resulting from the payout of PRSUs granted in fiscal year 2019 due to achievement of performance metrics exceeding the target payout.</w:t>
      </w:r>
    </w:p>
    <w:p>
      <w:pPr>
        <w:spacing w:after="0" w:line="13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PRSUs granted during the three months ended October 31, 2020 had a weighted-average grant date fair value of $60.73. The total fair value of PRSUs vested during three months ended October 31, 2021 and 2020 was $4,098 and $3,272,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NOTE G — Accumulated Other Comprehensive Loss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which includes the settlements of net investment hedges, unrealized gains and losses from cash flow hedges and the unamortized gain on post-retirement plans, net of their related tax effects.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three months ended October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Unrealized gain on</w:t>
            </w: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Unamortized gain</w:t>
            </w:r>
          </w:p>
        </w:tc>
        <w:tc>
          <w:tcPr>
            <w:tcW w:w="14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Foreign currency</w:t>
            </w: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on post-retirement</w:t>
            </w:r>
          </w:p>
        </w:tc>
        <w:tc>
          <w:tcPr>
            <w:tcW w:w="180" w:type="dxa"/>
            <w:vAlign w:val="bottom"/>
          </w:tcPr>
          <w:p>
            <w:pPr>
              <w:spacing w:after="0"/>
              <w:rPr>
                <w:sz w:val="14"/>
                <w:szCs w:val="14"/>
                <w:color w:val="auto"/>
              </w:rPr>
            </w:pPr>
          </w:p>
        </w:tc>
        <w:tc>
          <w:tcPr>
            <w:tcW w:w="1300" w:type="dxa"/>
            <w:vAlign w:val="bottom"/>
            <w:gridSpan w:val="2"/>
          </w:tcPr>
          <w:p>
            <w:pPr>
              <w:ind w:left="120"/>
              <w:spacing w:after="0" w:line="162" w:lineRule="exact"/>
              <w:rPr>
                <w:sz w:val="20"/>
                <w:szCs w:val="20"/>
                <w:color w:val="auto"/>
              </w:rPr>
            </w:pPr>
            <w:r>
              <w:rPr>
                <w:rFonts w:ascii="Arial" w:cs="Arial" w:eastAsia="Arial" w:hAnsi="Arial"/>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plans</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adjustments</w:t>
            </w: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July 31, 2021</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(55,953)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loss before reclassification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(3,913)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(4,186)</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Arial" w:cs="Arial" w:eastAsia="Arial" w:hAnsi="Arial"/>
                <w:sz w:val="16"/>
                <w:szCs w:val="16"/>
                <w:color w:val="auto"/>
              </w:rPr>
              <w:t>Ending balance, October 31, 2021</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(62,483)</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(60,671)</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accumulated other comprehensive loss as of October 31, 2021, compared to July 31, 2021, was primarily due to the appreciation of the U.S. dollar against certain other currencies during the three-month period.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changes in accumulated other comprehensive loss by component, net of tax, for the three months ended October 31, 2020,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 (loss)</w:t>
            </w: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Unamortized gain</w:t>
            </w:r>
          </w:p>
        </w:tc>
        <w:tc>
          <w:tcPr>
            <w:tcW w:w="14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Foreign currency</w:t>
            </w: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320"/>
              <w:spacing w:after="0" w:line="162" w:lineRule="exact"/>
              <w:rPr>
                <w:sz w:val="20"/>
                <w:szCs w:val="20"/>
                <w:color w:val="auto"/>
              </w:rPr>
            </w:pPr>
            <w:r>
              <w:rPr>
                <w:rFonts w:ascii="Arial" w:cs="Arial" w:eastAsia="Arial" w:hAnsi="Arial"/>
                <w:sz w:val="16"/>
                <w:szCs w:val="16"/>
                <w:b w:val="1"/>
                <w:bCs w:val="1"/>
                <w:color w:val="auto"/>
              </w:rPr>
              <w:t>gain on</w:t>
            </w:r>
          </w:p>
        </w:tc>
        <w:tc>
          <w:tcPr>
            <w:tcW w:w="15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on post-retirement</w:t>
            </w:r>
          </w:p>
        </w:tc>
        <w:tc>
          <w:tcPr>
            <w:tcW w:w="180" w:type="dxa"/>
            <w:vAlign w:val="bottom"/>
          </w:tcPr>
          <w:p>
            <w:pPr>
              <w:spacing w:after="0"/>
              <w:rPr>
                <w:sz w:val="14"/>
                <w:szCs w:val="14"/>
                <w:color w:val="auto"/>
              </w:rPr>
            </w:pPr>
          </w:p>
        </w:tc>
        <w:tc>
          <w:tcPr>
            <w:tcW w:w="1300" w:type="dxa"/>
            <w:vAlign w:val="bottom"/>
            <w:gridSpan w:val="2"/>
          </w:tcPr>
          <w:p>
            <w:pPr>
              <w:ind w:left="120"/>
              <w:spacing w:after="0" w:line="162" w:lineRule="exact"/>
              <w:rPr>
                <w:sz w:val="20"/>
                <w:szCs w:val="20"/>
                <w:color w:val="auto"/>
              </w:rPr>
            </w:pPr>
            <w:r>
              <w:rPr>
                <w:rFonts w:ascii="Arial" w:cs="Arial" w:eastAsia="Arial" w:hAnsi="Arial"/>
                <w:sz w:val="16"/>
                <w:szCs w:val="16"/>
                <w:b w:val="1"/>
                <w:bCs w:val="1"/>
                <w:color w:val="auto"/>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plans</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adjustments</w:t>
            </w: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July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w w:val="96"/>
              </w:rPr>
              <w:t>(200)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 (loss) before reclassification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left="839"/>
              <w:spacing w:after="0"/>
              <w:rPr>
                <w:sz w:val="20"/>
                <w:szCs w:val="20"/>
                <w:color w:val="auto"/>
              </w:rPr>
            </w:pPr>
            <w:r>
              <w:rPr>
                <w:rFonts w:ascii="Arial" w:cs="Arial" w:eastAsia="Arial" w:hAnsi="Arial"/>
                <w:sz w:val="16"/>
                <w:szCs w:val="16"/>
                <w:color w:val="auto"/>
                <w:w w:val="89"/>
              </w:rPr>
              <w:t>701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(4,185)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(3,484)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839"/>
              <w:spacing w:after="0"/>
              <w:rPr>
                <w:sz w:val="20"/>
                <w:szCs w:val="20"/>
                <w:color w:val="auto"/>
              </w:rPr>
            </w:pPr>
            <w:r>
              <w:rPr>
                <w:rFonts w:ascii="Arial" w:cs="Arial" w:eastAsia="Arial" w:hAnsi="Arial"/>
                <w:sz w:val="16"/>
                <w:szCs w:val="16"/>
                <w:color w:val="auto"/>
                <w:w w:val="89"/>
              </w:rPr>
              <w:t>159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Ending balance, October 31,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center"/>
              <w:ind w:left="839"/>
              <w:spacing w:after="0"/>
              <w:rPr>
                <w:sz w:val="20"/>
                <w:szCs w:val="20"/>
                <w:color w:val="auto"/>
              </w:rPr>
            </w:pPr>
            <w:r>
              <w:rPr>
                <w:rFonts w:ascii="Arial" w:cs="Arial" w:eastAsia="Arial" w:hAnsi="Arial"/>
                <w:sz w:val="16"/>
                <w:szCs w:val="16"/>
                <w:color w:val="auto"/>
                <w:w w:val="89"/>
              </w:rPr>
              <w:t>660</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(72,643)</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(69,668)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the accumulated other comprehensive loss as of October 31, 2020, compared to July 31, 2020, was primarily due to the appreciation of the U.S. dollar against certain other currencies during the three-month period.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amounts reclassified from accumulated other comprehensive loss during the three months ended October 31, 2021 and 2020, unrealized gains (losses) on cash flow hedges were reclassified to "Cost of goods sold" and unamortized gains on post-retirement plans was reclassified into "Investment and other income" on the condensed consolidated statements of income.</w:t>
      </w:r>
    </w:p>
    <w:p>
      <w:pPr>
        <w:spacing w:after="0" w:line="13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illustrates the income tax (expense) benefit on the components of other comprehensive loss for the three months ended October 31,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October 31,</w:t>
            </w:r>
          </w:p>
        </w:tc>
        <w:tc>
          <w:tcPr>
            <w:tcW w:w="340" w:type="dxa"/>
            <w:vAlign w:val="bottom"/>
            <w:tcBorders>
              <w:bottom w:val="single" w:sz="8" w:color="auto"/>
            </w:tcBorders>
          </w:tcPr>
          <w:p>
            <w:pPr>
              <w:spacing w:after="0"/>
              <w:rPr>
                <w:sz w:val="18"/>
                <w:szCs w:val="18"/>
                <w:color w:val="auto"/>
              </w:rPr>
            </w:pPr>
          </w:p>
        </w:tc>
      </w:tr>
      <w:tr>
        <w:trPr>
          <w:trHeight w:val="210"/>
        </w:trPr>
        <w:tc>
          <w:tcPr>
            <w:tcW w:w="82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 related to items of other comprehensive loss: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98"/>
              </w:rPr>
              <w:t>(48)</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Pension and other post-retirement benefits</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240</w:t>
            </w:r>
          </w:p>
        </w:tc>
      </w:tr>
      <w:tr>
        <w:trPr>
          <w:trHeight w:val="213"/>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tax adjustments and currency translation</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 related to items of other comprehensive loss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199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NOTE H — Revenue Recognition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solutions and workplace safety products that are shipped and billed to customers. All revenue is from contracts with customers and is included in “Net sales” on the condensed consolidated statements of income. See Note I, “Segment Information,” for the Company’s disaggregated revenue disclosure.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The balance of contract liabilities associated with service warranty performance obligations was $2,589 and $2,519 as of October 31, 2021 and July 31, 2021, respectively. The current portion and non-current portion of contract liabilities are included in “Other current liabilities” and “Other liabilities," respectively, on the condensed consolidated balance sheets. The Company recognized revenue of $289 and $297 during the three months ended October 31, 2021 and 2020, respectively, that was included in the contract liability balance at the beginning of the respective period from the amortization of extended service warranties. Of the contract liability balance outstanding at October 31, 2021, the Company expects to recognize 32% by the end of fiscal 2022, an additional 31% by the end of fiscal 2023, and the remaining balance thereafter.</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NOTE I — Segment Information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("IDS"), Workplace Safety ("WPS"), and People Identification ("PDC"), which aggregate into two reportable segments that are organized around businesses with consistent products and services: IDS and WPS. The IDS and PDC operating segments aggregate into the IDS reporting segment, while the WPS reporting segment is comprised solely of the Workplace Safety operating segment.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net sales by segment and geographic region for the three months ended October 31, 2021 and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w w:val="95"/>
              </w:rPr>
              <w:t>Three months ended October 31,</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ID Solutions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133,267</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i w:val="1"/>
                <w:iCs w:val="1"/>
                <w:color w:val="auto"/>
              </w:rPr>
              <w:t>Europe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56,889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42,582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Asia</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22,343</w:t>
            </w:r>
          </w:p>
        </w:tc>
        <w:tc>
          <w:tcPr>
            <w:tcW w:w="0" w:type="dxa"/>
            <w:vAlign w:val="bottom"/>
          </w:tcPr>
          <w:p>
            <w:pPr>
              <w:spacing w:after="0"/>
              <w:rPr>
                <w:sz w:val="1"/>
                <w:szCs w:val="1"/>
                <w:color w:val="auto"/>
              </w:rPr>
            </w:pPr>
          </w:p>
        </w:tc>
      </w:tr>
      <w:tr>
        <w:trPr>
          <w:trHeight w:val="206"/>
        </w:trPr>
        <w:tc>
          <w:tcPr>
            <w:tcW w:w="8240" w:type="dxa"/>
            <w:vAlign w:val="bottom"/>
          </w:tcPr>
          <w:p>
            <w:pPr>
              <w:ind w:left="3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248,617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198,192</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Workplace Safety</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i w:val="1"/>
                <w:iCs w:val="1"/>
                <w:color w:val="auto"/>
              </w:rPr>
              <w:t>Americas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21,142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24,031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Europe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41,266</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i w:val="1"/>
                <w:iCs w:val="1"/>
                <w:color w:val="auto"/>
              </w:rPr>
              <w:t>Australia</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13,738</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72,858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79,035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Americas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157,298</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i w:val="1"/>
                <w:iCs w:val="1"/>
                <w:color w:val="auto"/>
              </w:rPr>
              <w:t>Europe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94,911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83,848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Asia-Pacific</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36,081</w:t>
            </w:r>
          </w:p>
        </w:tc>
        <w:tc>
          <w:tcPr>
            <w:tcW w:w="0" w:type="dxa"/>
            <w:vAlign w:val="bottom"/>
          </w:tcPr>
          <w:p>
            <w:pPr>
              <w:spacing w:after="0"/>
              <w:rPr>
                <w:sz w:val="1"/>
                <w:szCs w:val="1"/>
                <w:color w:val="auto"/>
              </w:rPr>
            </w:pPr>
          </w:p>
        </w:tc>
      </w:tr>
      <w:tr>
        <w:trPr>
          <w:trHeight w:val="206"/>
        </w:trPr>
        <w:tc>
          <w:tcPr>
            <w:tcW w:w="8240" w:type="dxa"/>
            <w:vAlign w:val="bottom"/>
          </w:tcPr>
          <w:p>
            <w:pPr>
              <w:ind w:left="3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321,475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277,227</w:t>
            </w:r>
          </w:p>
        </w:tc>
        <w:tc>
          <w:tcPr>
            <w:tcW w:w="0" w:type="dxa"/>
            <w:vAlign w:val="bottom"/>
          </w:tcPr>
          <w:p>
            <w:pPr>
              <w:spacing w:after="0"/>
              <w:rPr>
                <w:sz w:val="1"/>
                <w:szCs w:val="1"/>
                <w:color w:val="auto"/>
              </w:rPr>
            </w:pPr>
          </w:p>
        </w:tc>
      </w:tr>
      <w:tr>
        <w:trPr>
          <w:trHeight w:val="24"/>
        </w:trPr>
        <w:tc>
          <w:tcPr>
            <w:tcW w:w="8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profit for the three months ended October 31, 2021 and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6"/>
                <w:szCs w:val="16"/>
                <w:b w:val="1"/>
                <w:bCs w:val="1"/>
                <w:color w:val="auto"/>
              </w:rPr>
              <w:t>Three months ended October 31,</w:t>
            </w:r>
          </w:p>
        </w:tc>
      </w:tr>
      <w:tr>
        <w:trPr>
          <w:trHeight w:val="210"/>
        </w:trPr>
        <w:tc>
          <w:tcPr>
            <w:tcW w:w="8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profit:</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ID Solutions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48,816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40,279</w:t>
            </w: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Workplace Safety</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7,988</w:t>
            </w:r>
          </w:p>
        </w:tc>
      </w:tr>
      <w:tr>
        <w:trPr>
          <w:trHeight w:val="206"/>
        </w:trPr>
        <w:tc>
          <w:tcPr>
            <w:tcW w:w="824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51,109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48,267</w:t>
            </w:r>
          </w:p>
        </w:tc>
      </w:tr>
      <w:tr>
        <w:trPr>
          <w:trHeight w:val="24"/>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reconciliation of segment profit to income before income taxes and losses of unconsolidated affiliate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2021 and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6"/>
                <w:szCs w:val="16"/>
                <w:b w:val="1"/>
                <w:bCs w:val="1"/>
                <w:color w:val="auto"/>
              </w:rPr>
              <w:t>Three months ended October 31,</w:t>
            </w:r>
          </w:p>
        </w:tc>
      </w:tr>
      <w:tr>
        <w:trPr>
          <w:trHeight w:val="210"/>
        </w:trPr>
        <w:tc>
          <w:tcPr>
            <w:tcW w:w="8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profit from reportable segments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51,109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48,267</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Unallocated amounts: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Administrative costs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(6,774)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(6,079)</w:t>
            </w: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Investment and other income</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Income before income taxes and losses of unconsolidated affiliate</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44,696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42,237</w:t>
            </w:r>
          </w:p>
        </w:tc>
      </w:tr>
      <w:tr>
        <w:trPr>
          <w:trHeight w:val="23"/>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NOTE J — Net Income per Common Share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October 31,</w:t>
            </w:r>
          </w:p>
        </w:tc>
      </w:tr>
      <w:tr>
        <w:trPr>
          <w:trHeight w:val="210"/>
        </w:trPr>
        <w:tc>
          <w:tcPr>
            <w:tcW w:w="80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19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 (in thousands):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Net income (Numerator for basic and diluted income per Class A Nonvoting Common Share)</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35,046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33,481</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Preferential dividends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Preferential dividends on dilutive stock options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6"/>
        </w:trPr>
        <w:tc>
          <w:tcPr>
            <w:tcW w:w="8060" w:type="dxa"/>
            <w:vAlign w:val="bottom"/>
          </w:tcPr>
          <w:p>
            <w:pPr>
              <w:ind w:left="360"/>
              <w:spacing w:after="0"/>
              <w:rPr>
                <w:sz w:val="20"/>
                <w:szCs w:val="20"/>
                <w:color w:val="auto"/>
              </w:rPr>
            </w:pPr>
            <w:r>
              <w:rPr>
                <w:rFonts w:ascii="Arial" w:cs="Arial" w:eastAsia="Arial" w:hAnsi="Arial"/>
                <w:sz w:val="16"/>
                <w:szCs w:val="16"/>
                <w:color w:val="auto"/>
              </w:rPr>
              <w:t>Numerator for basic and diluted income per Class B Voting Common Share</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34,235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32,669</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 (in thousands):</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Denominator for basic income per share for both Class A and Class B</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51,973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52,021</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Plus: Effect of dilutive equity awards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07"/>
        </w:trPr>
        <w:tc>
          <w:tcPr>
            <w:tcW w:w="8060" w:type="dxa"/>
            <w:vAlign w:val="bottom"/>
          </w:tcPr>
          <w:p>
            <w:pPr>
              <w:ind w:left="360"/>
              <w:spacing w:after="0"/>
              <w:rPr>
                <w:sz w:val="20"/>
                <w:szCs w:val="20"/>
                <w:color w:val="auto"/>
              </w:rPr>
            </w:pPr>
            <w:r>
              <w:rPr>
                <w:rFonts w:ascii="Arial" w:cs="Arial" w:eastAsia="Arial" w:hAnsi="Arial"/>
                <w:sz w:val="16"/>
                <w:szCs w:val="16"/>
                <w:color w:val="auto"/>
              </w:rPr>
              <w:t>Denominator for diluted income per share for both Class A and Class B</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52,436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52,292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Basic</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0.64</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Diluted</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Basic</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r>
      <w:tr>
        <w:trPr>
          <w:trHeight w:val="210"/>
        </w:trPr>
        <w:tc>
          <w:tcPr>
            <w:tcW w:w="8060" w:type="dxa"/>
            <w:vAlign w:val="bottom"/>
          </w:tcPr>
          <w:p>
            <w:pPr>
              <w:ind w:left="680"/>
              <w:spacing w:after="0"/>
              <w:rPr>
                <w:sz w:val="20"/>
                <w:szCs w:val="20"/>
                <w:color w:val="auto"/>
              </w:rPr>
            </w:pPr>
            <w:r>
              <w:rPr>
                <w:rFonts w:ascii="Arial" w:cs="Arial" w:eastAsia="Arial" w:hAnsi="Arial"/>
                <w:sz w:val="16"/>
                <w:szCs w:val="16"/>
                <w:color w:val="auto"/>
              </w:rPr>
              <w:t>Diluted</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0.62</w:t>
            </w:r>
          </w:p>
        </w:tc>
      </w:tr>
    </w:tbl>
    <w:p>
      <w:pPr>
        <w:spacing w:after="0" w:line="2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the Company's Class A Nonvoting Common Stock because the effect would have been anti-dilutive. The amount of anti-dilutive shares were 479,602 and 740,745 for the three months ended October 31, 2021 and 2020, respectively.</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NOTE K — Fair Value Measurements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instruments that are accessible as of the reporting date.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Other significant pricing inputs that are either directly or indirectly observable.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unobservable pricing inputs, which result in the use of management's own assumptions.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Company's financial assets and liabilities that were accounted for at fair value on a recurring basis at October 31, 2021 and July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October 31, 2021</w:t>
            </w:r>
          </w:p>
        </w:tc>
        <w:tc>
          <w:tcPr>
            <w:tcW w:w="160" w:type="dxa"/>
            <w:vAlign w:val="bottom"/>
          </w:tcPr>
          <w:p>
            <w:pPr>
              <w:spacing w:after="0"/>
              <w:rPr>
                <w:sz w:val="16"/>
                <w:szCs w:val="16"/>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July 31, 2021</w:t>
            </w:r>
          </w:p>
        </w:tc>
        <w:tc>
          <w:tcPr>
            <w:tcW w:w="1320" w:type="dxa"/>
            <w:vAlign w:val="bottom"/>
          </w:tcPr>
          <w:p>
            <w:pPr>
              <w:ind w:left="30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706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tcPr>
          <w:p>
            <w:pPr>
              <w:ind w:left="300"/>
              <w:spacing w:after="0"/>
              <w:rPr>
                <w:sz w:val="20"/>
                <w:szCs w:val="20"/>
                <w:color w:val="auto"/>
              </w:rPr>
            </w:pPr>
            <w:r>
              <w:rPr>
                <w:rFonts w:ascii="Arial" w:cs="Arial" w:eastAsia="Arial" w:hAnsi="Arial"/>
                <w:sz w:val="16"/>
                <w:szCs w:val="16"/>
                <w:b w:val="1"/>
                <w:bCs w:val="1"/>
                <w:color w:val="auto"/>
              </w:rPr>
              <w:t>Hierarchy</w:t>
            </w:r>
          </w:p>
        </w:tc>
        <w:tc>
          <w:tcPr>
            <w:tcW w:w="0" w:type="dxa"/>
            <w:vAlign w:val="bottom"/>
          </w:tcPr>
          <w:p>
            <w:pPr>
              <w:spacing w:after="0"/>
              <w:rPr>
                <w:sz w:val="1"/>
                <w:szCs w:val="1"/>
                <w:color w:val="auto"/>
              </w:rPr>
            </w:pPr>
          </w:p>
        </w:tc>
      </w:tr>
      <w:tr>
        <w:trPr>
          <w:trHeight w:val="199"/>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4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20"/>
              <w:spacing w:after="0"/>
              <w:rPr>
                <w:sz w:val="20"/>
                <w:szCs w:val="20"/>
                <w:color w:val="auto"/>
              </w:rPr>
            </w:pPr>
            <w:r>
              <w:rPr>
                <w:rFonts w:ascii="Arial" w:cs="Arial" w:eastAsia="Arial" w:hAnsi="Arial"/>
                <w:sz w:val="16"/>
                <w:szCs w:val="16"/>
                <w:color w:val="auto"/>
              </w:rPr>
              <w:t>Trading securities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18,543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20,135</w:t>
            </w:r>
          </w:p>
        </w:tc>
        <w:tc>
          <w:tcPr>
            <w:tcW w:w="120" w:type="dxa"/>
            <w:vAlign w:val="bottom"/>
          </w:tcPr>
          <w:p>
            <w:pPr>
              <w:spacing w:after="0"/>
              <w:rPr>
                <w:sz w:val="18"/>
                <w:szCs w:val="18"/>
                <w:color w:val="auto"/>
              </w:rPr>
            </w:pPr>
          </w:p>
        </w:tc>
        <w:tc>
          <w:tcPr>
            <w:tcW w:w="1320" w:type="dxa"/>
            <w:vAlign w:val="bottom"/>
          </w:tcPr>
          <w:p>
            <w:pPr>
              <w:ind w:left="820"/>
              <w:spacing w:after="0"/>
              <w:rPr>
                <w:sz w:val="20"/>
                <w:szCs w:val="20"/>
                <w:color w:val="auto"/>
              </w:rPr>
            </w:pPr>
            <w:r>
              <w:rPr>
                <w:rFonts w:ascii="Arial" w:cs="Arial" w:eastAsia="Arial" w:hAnsi="Arial"/>
                <w:sz w:val="16"/>
                <w:szCs w:val="16"/>
                <w:color w:val="auto"/>
                <w:w w:val="92"/>
              </w:rPr>
              <w:t>Level 1</w:t>
            </w: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2"/>
              </w:rPr>
              <w:t>Level 2</w:t>
            </w:r>
          </w:p>
        </w:tc>
        <w:tc>
          <w:tcPr>
            <w:tcW w:w="0" w:type="dxa"/>
            <w:vAlign w:val="bottom"/>
          </w:tcPr>
          <w:p>
            <w:pPr>
              <w:spacing w:after="0"/>
              <w:rPr>
                <w:sz w:val="1"/>
                <w:szCs w:val="1"/>
                <w:color w:val="auto"/>
              </w:rPr>
            </w:pP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2"/>
              </w:rPr>
              <w:t>Level 2</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The Company’s deferred compensation investments consist of investments in mutual funds, which are included in "Other assets"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condensed consolidated balance sheets. These investments were classified as Level 1 as the shares of these investments trade with sufficient frequency and volume to enable us to obtain pricing information on an ongoing basis.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cash flows using external models that use observable inputs, such as interest rates, yield curves and foreign exchange rates. See Note L, “Derivatives and Hedging Activities,” for additional information.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cash and cash equivalents, accounts receivable, accounts payable, and other liabilities approximated carrying values due to their short-term nature.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NOTE L — Derivatives and Hedging Activities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on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 notional amounts of outstanding forward exchange contracts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31, 2021</w:t>
            </w:r>
          </w:p>
        </w:tc>
        <w:tc>
          <w:tcPr>
            <w:tcW w:w="20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July 31, 2021</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Designated as cash flow hedges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23,052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30,724</w:t>
            </w: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Non-designated hedges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w:t>
            </w:r>
          </w:p>
        </w:tc>
      </w:tr>
      <w:tr>
        <w:trPr>
          <w:trHeight w:val="238"/>
        </w:trPr>
        <w:tc>
          <w:tcPr>
            <w:tcW w:w="8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foreign exchange contracts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October 31, 2021 and July 31, 2021, unrealized gains of $73 and $770 have been included in OCI, respectively.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amount of pre-tax gains and losses related to foreign exchange contracts designated as cash flow hedging instruments: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October 31,</w:t>
            </w:r>
          </w:p>
        </w:tc>
        <w:tc>
          <w:tcPr>
            <w:tcW w:w="400" w:type="dxa"/>
            <w:vAlign w:val="bottom"/>
            <w:tcBorders>
              <w:bottom w:val="single" w:sz="8" w:color="auto"/>
            </w:tcBorders>
          </w:tcPr>
          <w:p>
            <w:pPr>
              <w:spacing w:after="0"/>
              <w:rPr>
                <w:sz w:val="18"/>
                <w:szCs w:val="18"/>
                <w:color w:val="auto"/>
              </w:rPr>
            </w:pPr>
          </w:p>
        </w:tc>
      </w:tr>
      <w:tr>
        <w:trPr>
          <w:trHeight w:val="210"/>
        </w:trPr>
        <w:tc>
          <w:tcPr>
            <w:tcW w:w="8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(Losses) gains recognized in OCI</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8"/>
              </w:rPr>
              <w:t>(26)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color w:val="auto"/>
              </w:rPr>
              <w:t>Gains (losses) reclassified from OCI into cost of goods sold</w:t>
            </w:r>
          </w:p>
        </w:tc>
        <w:tc>
          <w:tcPr>
            <w:tcW w:w="106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(211)</w:t>
            </w:r>
          </w:p>
        </w:tc>
      </w:tr>
    </w:tbl>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October 31, 2021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July 31, 2021</w:t>
            </w:r>
          </w:p>
        </w:tc>
        <w:tc>
          <w:tcPr>
            <w:tcW w:w="0" w:type="dxa"/>
            <w:vAlign w:val="bottom"/>
          </w:tcPr>
          <w:p>
            <w:pPr>
              <w:spacing w:after="0"/>
              <w:rPr>
                <w:sz w:val="1"/>
                <w:szCs w:val="1"/>
                <w:color w:val="auto"/>
              </w:rPr>
            </w:pPr>
          </w:p>
        </w:tc>
      </w:tr>
      <w:tr>
        <w:trPr>
          <w:trHeight w:val="158"/>
        </w:trPr>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6"/>
              </w:rPr>
              <w:t>Prepaid expenses</w:t>
            </w:r>
          </w:p>
        </w:tc>
        <w:tc>
          <w:tcPr>
            <w:tcW w:w="200" w:type="dxa"/>
            <w:vAlign w:val="bottom"/>
          </w:tcPr>
          <w:p>
            <w:pPr>
              <w:spacing w:after="0"/>
              <w:rPr>
                <w:sz w:val="13"/>
                <w:szCs w:val="13"/>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5"/>
              </w:rPr>
              <w:t>Other current</w:t>
            </w:r>
          </w:p>
        </w:tc>
        <w:tc>
          <w:tcPr>
            <w:tcW w:w="140" w:type="dxa"/>
            <w:vAlign w:val="bottom"/>
          </w:tcPr>
          <w:p>
            <w:pPr>
              <w:spacing w:after="0"/>
              <w:rPr>
                <w:sz w:val="13"/>
                <w:szCs w:val="13"/>
                <w:color w:val="auto"/>
              </w:rPr>
            </w:pPr>
          </w:p>
        </w:tc>
        <w:tc>
          <w:tcPr>
            <w:tcW w:w="14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8"/>
              </w:rPr>
              <w:t>Prepaid expenses</w:t>
            </w:r>
          </w:p>
        </w:tc>
        <w:tc>
          <w:tcPr>
            <w:tcW w:w="200" w:type="dxa"/>
            <w:vAlign w:val="bottom"/>
          </w:tcPr>
          <w:p>
            <w:pPr>
              <w:spacing w:after="0"/>
              <w:rPr>
                <w:sz w:val="13"/>
                <w:szCs w:val="13"/>
                <w:color w:val="auto"/>
              </w:rPr>
            </w:pPr>
          </w:p>
        </w:tc>
        <w:tc>
          <w:tcPr>
            <w:tcW w:w="13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Other current</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and</w:t>
            </w:r>
          </w:p>
        </w:tc>
        <w:tc>
          <w:tcPr>
            <w:tcW w:w="2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and</w:t>
            </w:r>
          </w:p>
        </w:tc>
        <w:tc>
          <w:tcPr>
            <w:tcW w:w="2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88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other current assets</w:t>
            </w: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liabilities</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other current assets</w:t>
            </w:r>
          </w:p>
        </w:tc>
        <w:tc>
          <w:tcPr>
            <w:tcW w:w="200" w:type="dxa"/>
            <w:vAlign w:val="bottom"/>
          </w:tcPr>
          <w:p>
            <w:pPr>
              <w:spacing w:after="0"/>
              <w:rPr>
                <w:sz w:val="18"/>
                <w:szCs w:val="18"/>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9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220"/>
              <w:spacing w:after="0"/>
              <w:rPr>
                <w:sz w:val="20"/>
                <w:szCs w:val="20"/>
                <w:color w:val="auto"/>
              </w:rPr>
            </w:pPr>
            <w:r>
              <w:rPr>
                <w:rFonts w:ascii="Arial" w:cs="Arial" w:eastAsia="Arial" w:hAnsi="Arial"/>
                <w:sz w:val="16"/>
                <w:szCs w:val="16"/>
                <w:color w:val="auto"/>
              </w:rPr>
              <w:t>Foreign exchange contracts (cash flow hedges)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220"/>
              <w:spacing w:after="0"/>
              <w:rPr>
                <w:sz w:val="20"/>
                <w:szCs w:val="20"/>
                <w:color w:val="auto"/>
              </w:rPr>
            </w:pPr>
            <w:r>
              <w:rPr>
                <w:rFonts w:ascii="Arial" w:cs="Arial" w:eastAsia="Arial" w:hAnsi="Arial"/>
                <w:sz w:val="16"/>
                <w:szCs w:val="16"/>
                <w:color w:val="auto"/>
              </w:rPr>
              <w:t>Foreign exchange contracts (non-designated hedges)</w:t>
            </w: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derivative instruments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NOTE M – Income Taxes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income tax rate for the three months ended October 31, 2021 and 2020 was 21.6% and 20.3%, respectively. The income tax rate for the three months ended October 31, 2021 was slightly higher than the expected income tax rate primarily due to a reduction in tax benefits from stock-based compensation compared to the three months ended October 31, 2020. The Company expects its ongoing annual income tax rate to be approximately 20% based on its current global business mix.</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NOTE N — Subsequent Events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November 17, 2021, the Board of Directors declared a quarterly cash dividend to shareholders of the Company’s Class A and Class B Common Stock of $0.225 per share payable on January 31, 2022, to shareholders of record at the close of business on January 10,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60"/>
        <w:spacing w:after="0" w:line="438"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safety, identification and healthcare products. The WPS segment manufactures a broad range of stock and custom identification products and sells a broad range of resale products.</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the efficiency of our global operations, deliver a high level of customer service, develop and market innovative new products, and to advance our digital capabilities. In our IDS business, our strategy for growth includes an increased focus on certain industries and products, a focus on improving the customer buying experience, and the development of technologically advanced, innovative and proprietary products. In our WPS business, our strategy for growth includes a focus on workplace safety critical industries, innovative new product offerings, compliance expertise, customization expertise, and improving our digital capabilities.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key initiatives supporting our strategy in fiscal 2022:</w:t>
      </w:r>
    </w:p>
    <w:p>
      <w:pPr>
        <w:spacing w:after="0" w:line="171" w:lineRule="exact"/>
        <w:rPr>
          <w:sz w:val="20"/>
          <w:szCs w:val="20"/>
          <w:color w:val="auto"/>
        </w:rPr>
      </w:pPr>
    </w:p>
    <w:p>
      <w:pPr>
        <w:ind w:left="660" w:right="20" w:hanging="328"/>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Investing in organic growth by enhancing our research and development process and utilizing customer feedback to develop innovative new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Investing in acquisitions that enhance our strategic position and accelerate long-term sales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Expanding and enhancing our sales capabilities through an improved digital presence and the use of data-driven marketing automation tools.</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Driving operational excellence and executing sustainable efficiency gains within our global operations and within our selling, general and administrative structures and within our global operations including insourcing of critical products and manufacturing activities.</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Building on our culture of diversity, equity and inclusion to increase employee engagement and enhance recruitment and retention practices.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the COVID-19 Pandemic on Our Business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Brady Corporation is deemed an essential business under the majority of local government orders. Our products support first responders, healthcare workers, food processing companies, and many other critical industries. During the three months ended October 31, 2021, our facilities were operating globally with enhanced safety protocols designed to protect the health and safety of our employees.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experienced, and expects to continue to experience, increased input material cost inflation as a result of increased global demand, government-mandated actions in response to COVID-19 and labor shortages. The Company has taken action to mitigate inflation issues, which has offset some, but not all, of the impact of these trends. As a result, these trends negatively impacted the Company's gross profit margin and may continue to negatively impact profitability in fiscal 2022.</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we have the financial strength to continue to invest in organic sales growth opportunities, inorganic sales opportunities, sales and marketing, and research and development ("R&amp;D"), while continuing to drive sustainable efficiencies and automation in our operations and selling, general and administrative ("SG&amp;A") functions. At October 31, 2021, we had cash of $157.6 million, a credit facility with $130.1 million available for future borrowing, which can be increased up to $330.1 million at the Company's option and subject to certain conditions, for total available liquidity of approximately $487.7 million.</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that our financial resources including the remaining undrawn amount of the credit facility and our ability to increase that credit line as necessary and liquidity levels are sufficient to manage the continuing impact of the COVID-19 pandemic, including the spread of variants that could result in additional government actions around the world to contain the virus or prevent further spread which may result in reduced sales, reduced net income, and reduced cash provided by operating activities. Refer to Risk Factors, included in Part I, Item 1A of our Annual Report on Form 10-K for the year ended July 31, 2021, as well as the updates contained within this Quarterly Report on Form 10-Q, for further discussion of the possible impact of the COVID-19 pandemic on our business.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7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 comparability of the operating results for the three months ended October 31, 2021, to the prior year has been impacted by the following acquisitions: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Acquisitions</w:t>
            </w: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Date Completed</w:t>
            </w:r>
          </w:p>
        </w:tc>
      </w:tr>
      <w:tr>
        <w:trPr>
          <w:trHeight w:val="213"/>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Magicard Holdings Limited ("Magicard")</w:t>
            </w:r>
          </w:p>
        </w:tc>
        <w:tc>
          <w:tcPr>
            <w:tcW w:w="2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IDS</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May 2021</w:t>
            </w:r>
          </w:p>
        </w:tc>
      </w:tr>
      <w:tr>
        <w:trPr>
          <w:trHeight w:val="213"/>
        </w:trPr>
        <w:tc>
          <w:tcPr>
            <w:tcW w:w="6660" w:type="dxa"/>
            <w:vAlign w:val="bottom"/>
            <w:gridSpan w:val="2"/>
          </w:tcPr>
          <w:p>
            <w:pPr>
              <w:ind w:left="20"/>
              <w:spacing w:after="0"/>
              <w:rPr>
                <w:sz w:val="20"/>
                <w:szCs w:val="20"/>
                <w:color w:val="auto"/>
              </w:rPr>
            </w:pPr>
            <w:r>
              <w:rPr>
                <w:rFonts w:ascii="Arial" w:cs="Arial" w:eastAsia="Arial" w:hAnsi="Arial"/>
                <w:sz w:val="16"/>
                <w:szCs w:val="16"/>
                <w:color w:val="auto"/>
              </w:rPr>
              <w:t>Nordic ID Oyj ("Nordic ID")</w:t>
            </w:r>
          </w:p>
        </w:tc>
        <w:tc>
          <w:tcPr>
            <w:tcW w:w="234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IDS</w:t>
            </w:r>
          </w:p>
        </w:tc>
        <w:tc>
          <w:tcPr>
            <w:tcW w:w="2240" w:type="dxa"/>
            <w:vAlign w:val="bottom"/>
          </w:tcPr>
          <w:p>
            <w:pPr>
              <w:jc w:val="center"/>
              <w:spacing w:after="0"/>
              <w:rPr>
                <w:sz w:val="20"/>
                <w:szCs w:val="20"/>
                <w:color w:val="auto"/>
              </w:rPr>
            </w:pPr>
            <w:r>
              <w:rPr>
                <w:rFonts w:ascii="Arial" w:cs="Arial" w:eastAsia="Arial" w:hAnsi="Arial"/>
                <w:sz w:val="16"/>
                <w:szCs w:val="16"/>
                <w:color w:val="auto"/>
                <w:w w:val="96"/>
              </w:rPr>
              <w:t>May 2021</w:t>
            </w:r>
          </w:p>
        </w:tc>
      </w:tr>
      <w:tr>
        <w:trPr>
          <w:trHeight w:val="21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Code Corporation ("Code")</w:t>
            </w:r>
          </w:p>
        </w:tc>
        <w:tc>
          <w:tcPr>
            <w:tcW w:w="2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IDS</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June 2021</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results of operating income for the three months ended October 31, 2021 and 2020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Three months ended October 31,</w:t>
            </w:r>
          </w:p>
        </w:tc>
        <w:tc>
          <w:tcPr>
            <w:tcW w:w="1220" w:type="dxa"/>
            <w:vAlign w:val="bottom"/>
            <w:tcBorders>
              <w:bottom w:val="single" w:sz="8" w:color="auto"/>
            </w:tcBorders>
          </w:tcPr>
          <w:p>
            <w:pPr>
              <w:spacing w:after="0"/>
              <w:rPr>
                <w:sz w:val="18"/>
                <w:szCs w:val="18"/>
                <w:color w:val="auto"/>
              </w:rPr>
            </w:pPr>
          </w:p>
        </w:tc>
      </w:tr>
      <w:tr>
        <w:trPr>
          <w:trHeight w:val="21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Sales</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Sales</w:t>
            </w:r>
          </w:p>
        </w:tc>
      </w:tr>
      <w:tr>
        <w:trPr>
          <w:trHeight w:val="212"/>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321,475</w:t>
            </w: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277,227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Gross margin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154,988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135,428</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48.9 %</w:t>
            </w: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590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13,907</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10,203</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3.7 %</w:t>
            </w:r>
          </w:p>
        </w:tc>
      </w:tr>
      <w:tr>
        <w:trPr>
          <w:trHeight w:val="219"/>
        </w:trPr>
        <w:tc>
          <w:tcPr>
            <w:tcW w:w="5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96,746</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83,037</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30.0 %</w:t>
            </w:r>
          </w:p>
        </w:tc>
      </w:tr>
      <w:tr>
        <w:trPr>
          <w:trHeight w:val="207"/>
        </w:trPr>
        <w:tc>
          <w:tcPr>
            <w:tcW w:w="5900" w:type="dxa"/>
            <w:vAlign w:val="bottom"/>
            <w:tcBorders>
              <w:bottom w:val="single" w:sz="8" w:color="CCEEFF"/>
            </w:tcBorders>
          </w:tcPr>
          <w:p>
            <w:pPr>
              <w:ind w:left="5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110,653</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34.4 %</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93,240</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33.6 %</w:t>
            </w:r>
          </w:p>
        </w:tc>
      </w:tr>
      <w:tr>
        <w:trPr>
          <w:trHeight w:val="232"/>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44,335</w:t>
            </w:r>
          </w:p>
        </w:tc>
        <w:tc>
          <w:tcPr>
            <w:tcW w:w="12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13.8 %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42,188</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References in this Form 10-Q to “organic sales” refer to sales calculated in accordance with GAAP, excluding the impact of foreign currency translation and sales recorded from acquired companies prior to the first anniversary date of their acquisition.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sales for the three months ended October 31, 2021, increased 16.0% to $321.5 million, compared to $277.2 million in the same period in the prior year. The increase consisted of organic sales growth of 7.0%, sales growth from acquisitions of 8.3% and an increase from foreign currency translation of 0.7%. Organic sales grew 13.2% in the IDS segment and declined 8.6% in the WPS segment during the three months ended October 31, 2021, compared to the same period in the prior year.</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most significant impact on organic sales due to the COVID-19 pandemic began in the second half of fiscal 2020 when varied government responses to the pandemic impacted a large demographic of our customers and the overall global economy. The IDS business realized reduced demand across all major product lines beginning in the third quarter of fiscal 2020 continuing through the second quarter of fiscal 2021, while the WPS business realized strong organic sales growth beginning in the fourth quarter of fiscal 2020 continuing through the first quarter of fiscal 2021 due to increased sales of personal protective equipment and other pandemic-related products. As a result, the recovery from the COVID-19 pandemic had a significant impact on organic sales during the first quarter of fiscal 2022, with the impact varying between the IDS and WPS businesses due to sales patterns realized during the height of the pandemic in fiscal 2021.</w:t>
      </w:r>
    </w:p>
    <w:p>
      <w:pPr>
        <w:spacing w:after="0" w:line="1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Gross margin increased 14.4% to $155.0 million in the three months ended October 31, 2021, compared to $135.4 million in the same period in the prior year. As a percentage of net sales, gross margin decreased to 48.2% compared to 48.9% in the same period in the prior year. The decrease in gross margin as a percentage of net sales was primarily due to an increase in the cost of materials, labor and freight expense, which was partially mitigated by our ongoing efforts to streamline manufacturing processes and drive sustainable operational efficiencies.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R&amp;D expenses increased 36.3% to $13.9 million in the three months ended October 31, 2021, compared to $10.2 million in the same period in the prior year. As a percentage of sales, R&amp;D expenses increased to 4.3% compared to 3.7% in the same period in the prior year. The increase in R&amp;D spending was primarily due to the acquisitions of Code and Nordic ID, as these companies operate with a greater amount of R&amp;D spend as a percentage of net sales compared to the organic business, in addition to an increase in R&amp;D headcount in the IDS business. The Company remains committed to investing in new product development to increase sales within our IDS and WPS businesses. Investments in new printers, materials, and the building out of a comprehensive industrial track and trace solution continue to be the primary focus of R&amp;D expenditures for the remainder of fiscal 2022.</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SG&amp;A expenses include selling and administrative costs directly attributed to the IDS and WPS segments, as well as certain other corporate administrative expenses including finance, information technology, human resources, and other administrative expenses. SG&amp;A expenses increased 16.5% to $96.7 million in the three months ended October 31, 2021, compared to $83.0 million in the same period in the prior year. The increase in SG&amp;A expenses was primarily due to the acquisitions of Code, Magicard and Nordic ID, and to a lesser extent an increase in sales and marketing personnel in the IDS business and increased advertising and personnel costs in the WPS business. As a percentage of sales, SG&amp;A was consistent at 30.1% for the three months ended October 31, 2021, compared to 30.0% in the same period in the prior year, as increased costs were largely offset by ongoing efficiency activities throughout SG&amp;A.</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income increased 5.1% to $44.3 million in the three months ended October 31, 2021, compared to $42.2 million in the same period in the prior year. The increase in operating income was primarily due to the increase in segment profit in the IDS segment as a result of organic sales growth which was partially offset by the decline in segment profit in the WPS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Three months ended October 31,</w:t>
            </w:r>
          </w:p>
        </w:tc>
        <w:tc>
          <w:tcPr>
            <w:tcW w:w="1220" w:type="dxa"/>
            <w:vAlign w:val="bottom"/>
            <w:tcBorders>
              <w:bottom w:val="single" w:sz="8" w:color="auto"/>
            </w:tcBorders>
          </w:tcPr>
          <w:p>
            <w:pPr>
              <w:spacing w:after="0"/>
              <w:rPr>
                <w:sz w:val="18"/>
                <w:szCs w:val="18"/>
                <w:color w:val="auto"/>
              </w:rPr>
            </w:pP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20" w:type="dxa"/>
            <w:vAlign w:val="bottom"/>
            <w:gridSpan w:val="2"/>
          </w:tcPr>
          <w:p>
            <w:pPr>
              <w:ind w:left="320"/>
              <w:spacing w:after="0"/>
              <w:rPr>
                <w:sz w:val="20"/>
                <w:szCs w:val="20"/>
                <w:color w:val="auto"/>
              </w:rPr>
            </w:pPr>
            <w:r>
              <w:rPr>
                <w:rFonts w:ascii="Arial" w:cs="Arial" w:eastAsia="Arial" w:hAnsi="Arial"/>
                <w:sz w:val="16"/>
                <w:szCs w:val="16"/>
                <w:b w:val="1"/>
                <w:bCs w:val="1"/>
                <w:color w:val="auto"/>
              </w:rPr>
              <w:t>% Sales</w:t>
            </w: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 Sales</w:t>
            </w:r>
          </w:p>
        </w:tc>
      </w:tr>
      <w:tr>
        <w:trPr>
          <w:trHeight w:val="212"/>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44,335</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42,188</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15.2 %</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59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59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and losses of unconsolidated affiliate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44,696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42,237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15.2 %</w:t>
            </w:r>
          </w:p>
        </w:tc>
      </w:tr>
      <w:tr>
        <w:trPr>
          <w:trHeight w:val="21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9,650</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8,582</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r>
      <w:tr>
        <w:trPr>
          <w:trHeight w:val="212"/>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losses of unconsolidated affiliate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35,046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33,655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12.1 %</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Equity in losses of unconsolidated affiliate</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3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Investment and other income increased to $0.5 million in the three months ended October 31, 2021, compared to $0.2 million for the same period in the prior year. The increase was primarily due to an increase in the market value of securities held in deferred compensation plans.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expense increased to $0.2 million in the three months ended October 31, 2021, compared to $0.1 million for the same period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interest expense was due to increased borrowing on our credit facility compared to the same period in the prior year.</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income tax rate was 21.6% for the three months ended October 31, 2021, compared to 20.3% in the same period in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M "Income Taxes" for additional information on the Company's income tax rate.</w:t>
      </w:r>
    </w:p>
    <w:p>
      <w:pPr>
        <w:spacing w:after="0" w:line="15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Equity in losses of unconsolidated affiliate of $0.2 million for the three months ended October 31, 2020 represented the Company's proportionate share of the loss in its equity interest in React Mobile, Inc., an employee safety software and hardware company based in the United States. In the fourth quarter of fiscal 2021, the Company recorded an other-than-temporary impairment charge for the Company's remaining equity interest in React Mobile, Inc.</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Segment Operating Results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evaluates short-term segment performance based on segment profit and customer sales. Interest expense, investment and other income, income tax expense, equity in losses of unconsolidated affiliate, and certain corporate administrative expenses are excluded when evaluating segment performance.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months ended October 31, 2021 and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334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6"/>
                <w:szCs w:val="16"/>
                <w:b w:val="1"/>
                <w:bCs w:val="1"/>
                <w:color w:val="auto"/>
              </w:rPr>
              <w:t>Three months ended October 31,</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SALES GROWTH INFORMATION</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ID Solutions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Currency</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6"/>
        </w:trPr>
        <w:tc>
          <w:tcPr>
            <w:tcW w:w="7900" w:type="dxa"/>
            <w:vAlign w:val="bottom"/>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Workplace Safety</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Organic</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Currency</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07"/>
        </w:trPr>
        <w:tc>
          <w:tcPr>
            <w:tcW w:w="7900" w:type="dxa"/>
            <w:vAlign w:val="bottom"/>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Organic</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Currency</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Acquisitions</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4"/>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SEGMENT PROFIT</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ID Solutions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5"/>
              </w:rPr>
              <w:t>48,816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40,279</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Workplace Safety</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2,293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7,988</w:t>
            </w:r>
          </w:p>
        </w:tc>
        <w:tc>
          <w:tcPr>
            <w:tcW w:w="0" w:type="dxa"/>
            <w:vAlign w:val="bottom"/>
          </w:tcPr>
          <w:p>
            <w:pPr>
              <w:spacing w:after="0"/>
              <w:rPr>
                <w:sz w:val="1"/>
                <w:szCs w:val="1"/>
                <w:color w:val="auto"/>
              </w:rPr>
            </w:pPr>
          </w:p>
        </w:tc>
      </w:tr>
      <w:tr>
        <w:trPr>
          <w:trHeight w:val="235"/>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5"/>
              </w:rPr>
              <w:t>51,109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48,267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SEGMENT PROFIT AS A PERCENT OF NET SALES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ID Solutions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20.3 %</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Workplace Safety</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235"/>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IDS net sales increased 25.4% to $248.6 million in the three months ended October 31, 2021, compared to $198.2 million in the same period in the prior year, which consisted of organic sales growth of 13.2%, sales growth from acquisitions of 11.6% and an increase from foreign currency translation of 0.6%. Organic sales grew in all major product lines with growth in the wire identification, safety and facility identification, product identification and healthcare identification product lines.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Organic sales in the Americas increased nearly 12%, organic sales in Europe increased in the mid-teens, and organic sales in Asia increased over 15% in the three months ended October 31, 2021 compared to the same period in the prior year. Organic sales grew in all major product lines and in all geographies as our businesses continue to recover from the economic slowdown caused by the COVID-19 pandemic.</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Segment profit increased 21.2% to $48.8 million in the three months ended October 31, 2021, compared to $40.3 million in the same period in the prior year. As a percentage of net sales, segment profit was 19.6% compared to 20.3% in the same period in the prior year. The increase in segment profit was primarily due to increased sales volumes in all regions and all product lines globally. The decrease in segment profit as a percentage of net sales was primarily due to gross margin compression resulting from an increase in the cost of materials, labor and freight expense, as well as incremental amortization expense of $2.5 million from businesses acquired in fiscal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WPS net sales declined 7.8% to $72.9 million in the three months ended October 31, 2021, compared to $79.0 million in the same period in the prior year, which consisted of an organic sales decline of 8.6% and an increase from foreign currency translation of 0.8%. The economic effect of the COVID-19 pandemic had a significant impact on organic sales trends during the prior year. The WPS business realized strong organic sales growth beginning in the fourth quarter of fiscal 2020 continuing through the first quarter of fiscal 2021 due to increased sales of personal protective equipment and other pandemic-related products. As a result, WPS organic sales declined in the first quarter of fiscal 2022 primarily due to the increase in sales of COVID-19 products during the height of the pandemic last year.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Europe declined in the high-single digits, organic sales in North America declined by approximately 12% and organic sales in Australia declined in the low-single digits in the three months ended October 31, 2021 compared to the same period in the prior year. The increase in demand for core safety and identification products did not make up for the decrease in demand for personal protective equipment and other social distancing signage and floor markings resulting from the COVID-19 pandemic. Digital channel sales and sales through the catalog channel both decreased in the high-single digits in the global WPS business.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Segment profit decreased 71.3% to $2.3 million in the three months ended October 31, 2021, compared to $8.0 million in the same period of the prior year. As a percentage of net sales, segment profit was 3.1% compared to 10.1% in the same period of the prior year. The decrease in segment profit was primarily due to the decrease in sales volumes and gross margin compression resulting from an increase in the cost of materials, labor and freight expense, as well as increased investments in advertising and selling resources in certain businesses in North America.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cash balances are generated and held in numerous locations throughout the world. At October 31, 2021, approximately 94%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and dividend payments for the next 12 months. Although the Company believes these sources of cash are currently sufficient to fund domestic operations, annual cash needs could require repatriation of cash to the U.S. from foreign jurisdictions, which may result in additional tax payments.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were $157.6 million at October 31, 2021, an increase of $10.2 million from July 31, 2021. The following summarizes the cash flow statement for the three months ended October 31,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w w:val="96"/>
              </w:rPr>
              <w:t>Three months ended October 31,</w:t>
            </w:r>
          </w:p>
        </w:tc>
      </w:tr>
      <w:tr>
        <w:trPr>
          <w:trHeight w:val="21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19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 provided by (used in):</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10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27,491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62,838</w:t>
            </w:r>
          </w:p>
        </w:tc>
      </w:tr>
      <w:tr>
        <w:trPr>
          <w:trHeight w:val="219"/>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(9,202)</w:t>
            </w:r>
          </w:p>
        </w:tc>
      </w:tr>
      <w:tr>
        <w:trPr>
          <w:trHeight w:val="213"/>
        </w:trPr>
        <w:tc>
          <w:tcPr>
            <w:tcW w:w="8100" w:type="dxa"/>
            <w:vAlign w:val="bottom"/>
          </w:tcPr>
          <w:p>
            <w:pPr>
              <w:ind w:left="360"/>
              <w:spacing w:after="0"/>
              <w:rPr>
                <w:sz w:val="20"/>
                <w:szCs w:val="20"/>
                <w:color w:val="auto"/>
              </w:rPr>
            </w:pPr>
            <w:r>
              <w:rPr>
                <w:rFonts w:ascii="Arial" w:cs="Arial" w:eastAsia="Arial" w:hAnsi="Arial"/>
                <w:sz w:val="16"/>
                <w:szCs w:val="16"/>
                <w:color w:val="auto"/>
              </w:rPr>
              <w:t>Financing activities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(16,551)</w:t>
            </w:r>
          </w:p>
        </w:tc>
      </w:tr>
      <w:tr>
        <w:trPr>
          <w:trHeight w:val="219"/>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w:t>
            </w:r>
          </w:p>
        </w:tc>
      </w:tr>
      <w:tr>
        <w:trPr>
          <w:trHeight w:val="207"/>
        </w:trPr>
        <w:tc>
          <w:tcPr>
            <w:tcW w:w="810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38,690</w:t>
            </w:r>
          </w:p>
        </w:tc>
      </w:tr>
      <w:tr>
        <w:trPr>
          <w:trHeight w:val="23"/>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operating activities was $27.5 million in the three months ended October 31, 2021, compared to $62.8 million in the same period of the prior year. The decrease was primarily due to cash outflows for inventory purchases in order to reduce the risk of supply chain disruption, and to a lesser extent an increase in accounts receivable due to increased sales during the quarter.</w:t>
      </w:r>
    </w:p>
    <w:p>
      <w:pPr>
        <w:spacing w:after="0" w:line="13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Net cash used in investing activities was $11.3 million in the three months ended October 31, 2021, compared to $9.2 million used in the same period of the prior year. The increase in cash used in investing activities was due to the purchase of two facilities in Europe which were previously leased.</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was $4.6 million in the three months ended October 31, 2021, which consisted of dividend payments of $11.6 million and share repurchases of $18.9 million, partially offset by $29.0 million of net borrowing on the credit facility. Net cash used in financing activities of $16.6 million in the three months ended October 31, 2020 primarily consisted of dividend payments of $11.4 million, as well as share repurchases and tax withholding from stock-based awards of $5.3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1, 2019, the Company and certain of its subsidiaries entered into an unsecured $200 million multi-currency revolving loan agreement with a group of five banks. Under this revolving loan agreement, the Company has the option to select either a Eurocurrency rate loan that bears interest at the London Inter-bank Offered Rate ("LIBOR") plus a margin based on the Company's consolidated net leverage ratio or a base interest rate (based upon the higher of the federal funds rate plus 0.5%, the prime rate of the Bank of Montreal plus a margin based on the Company’s consolidated net leverage ratio, or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Eurocurrency base rate at the LIBOR rate plus a margin based on the Company’s consolidated net leverage ratio plus 1%). At the Company's option, and subject to certain conditions, the available amount under the revolving loan agreement may be increased from $200 million to $400 million.</w:t>
      </w:r>
    </w:p>
    <w:p>
      <w:pPr>
        <w:spacing w:after="0" w:line="92"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As of October 31, 2021, the outstanding balance on the credit facility was $67.0 million which was also the maximum amount outstanding on the Company's revolving loan agreement during the three months ended October 31, 2021. The borrowings bear interest at 0.84% as of October 31, 2021. The Company had letters of credit outstanding under the loan agreement of $2.9 million as of October 31, 2021 and there was $130.1 million available for future borrowing, which can be increased to $330.1 million at the Company's option, subject to certain conditions. The revolving loan agreement has a final maturity date of August 1, 2024. As such, borrowings were classified as long-term on the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Compliance</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Company's revolving loan agreement requires it to maintain certain financial covenants, including a ratio of debt to the trailing twelve months EBITDA, as defined in the debt agreements, of not more than a 3.5 to 1.0 ratio (leverage ratio) and the trailing twelve months EBITDA to interest expense of not less than a 3.0 to 1.0 ratio (interest expense coverage). As of October 31, 2021, the Company was in compliance with these financial covenants, with a ratio of debt to EBITDA, as defined by the agreements, equal to 0.3 to 1.0 and the interest expense coverage ratio equal to 441.0 to 1.0.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impacts of the novel coronavirus ("COVID-19") pandemic or other pandemics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impacts of vaccination mandates issued by U.S. and non-U.S. governmental entities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compete effectively or to successfully execute its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develop technologically advanced products that meet customer demands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 of raw materials, labor and freight as well as raw material shortages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identify, integrate, and grow acquired companies, and to manage contingent liabilities from divested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protecting websites, networks, and systems against security breaches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self-regulatory entities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write-offs of goodwill and other intangible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set forth in this report and within Item 1A of Part I of Brady's Form 10-K for the year ended July 31, 2021.</w:t>
      </w:r>
    </w:p>
    <w:p>
      <w:pPr>
        <w:spacing w:after="0" w:line="1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2021. There has been no material change in this information since July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&amp; Chief Executive Officer and Chief Financial Officer and Treasurer concluded that the Company’s disclosure controls and procedures are effective as of the end of the period covered by this report.</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business, results of operations, financial condition, and cash flows are subject to various risks and uncertainties, including those described in Part I, Item 1A, “Risk Factors” of Brady's Annual Report on Form 10-K for the year ended July 31, 2021. Other than as set forth below, there have been no material changes from the risk factors set forth in the 2021 Form 10-K. The following risk factor is an additional risk within out "COVID-19 Risks" category.</w:t>
      </w:r>
    </w:p>
    <w:p>
      <w:pPr>
        <w:spacing w:after="0" w:line="13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b w:val="1"/>
          <w:bCs w:val="1"/>
          <w:i w:val="1"/>
          <w:iCs w:val="1"/>
          <w:color w:val="auto"/>
        </w:rPr>
        <w:t>The U.S. Department of Labor's Occupational Safety and Health Administration ("OSHA") emergency temporary standard ("ETS") mandating either fully vaccination or weekly testing of employees could have a material adverse impact on our business and results of operations.</w:t>
      </w:r>
    </w:p>
    <w:p>
      <w:pPr>
        <w:spacing w:after="0" w:line="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November 4, 2021, OSHA announced an ETS requiring that employers with 100 or more employees to implement and enforce a mandatory COVID-19 vaccination policy, unless they adopt a policy requiring employees to choose to either be vaccinated or undergo weekly COVID-19 testing and wear a face covering in the workplace. On November 5, 2021, the ETS was stayed by the U.S. Fifth Circuit Court of Appeals pending additional court review. Multiple other lawsuits were filed regarding the ETS in various jurisdictions. The pending lawsuits are expected to be consolidated before a federal circuit court, which circuit is then expected to rule on whether previous grants or denials of temporary stays will stand and to weigh in on the constitutionality of and other challenges to the ETS mandate. Additional vaccine mandates may be announced in jurisdictions in which our businesses operate. Our implementation of any such requirements if and when they are deemed to be enforceable may result in attrition, including attrition of critically skilled labor, and difficulty securing future labor needs, which could have a material adverse effect on our business and financial condition, and may result in costs of compliance that are difficult to quantify at this time and may also impact our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a share repurchase program for the Company's Class A Nonvoting Common Stock. The plan may be implemented by purchasing shares in the open market or in privately negotiated transactions, with repurchased shares available for use in connection with the Company's stock-based plans and for other corporate purposes. On September 1, 2021, Brady’s Board of Directors authorized an increase in the Company’s share buyback program, bringing the amount of the Company’s Class A Common Stock authorized for repurchase up to a total of two million shares, inclusive of the shares in the existing share buyback program. As of October 31, 2021, 1,625,000 shares remained authorized to purchase in connection with this share repurchase program.</w:t>
      </w:r>
    </w:p>
    <w:p>
      <w:pPr>
        <w:spacing w:after="0" w:line="1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information with respect to the purchases by the Company of Class A Nonvoting Common Stock during the three months ended October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Number of Shares</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 of</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4"/>
                <w:szCs w:val="14"/>
                <w:color w:val="auto"/>
              </w:rPr>
            </w:pPr>
          </w:p>
        </w:tc>
        <w:tc>
          <w:tcPr>
            <w:tcW w:w="1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Average Price Paid per</w:t>
            </w:r>
          </w:p>
        </w:tc>
        <w:tc>
          <w:tcPr>
            <w:tcW w:w="19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Purchased as Part of</w:t>
            </w: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162"/>
        </w:trPr>
        <w:tc>
          <w:tcPr>
            <w:tcW w:w="3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96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Purchased</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Share</w:t>
            </w:r>
          </w:p>
        </w:tc>
        <w:tc>
          <w:tcPr>
            <w:tcW w:w="8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w:t>
            </w: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w:t>
            </w:r>
          </w:p>
        </w:tc>
        <w:tc>
          <w:tcPr>
            <w:tcW w:w="0" w:type="dxa"/>
            <w:vAlign w:val="bottom"/>
          </w:tcPr>
          <w:p>
            <w:pPr>
              <w:spacing w:after="0"/>
              <w:rPr>
                <w:sz w:val="1"/>
                <w:szCs w:val="1"/>
                <w:color w:val="auto"/>
              </w:rPr>
            </w:pPr>
          </w:p>
        </w:tc>
      </w:tr>
      <w:tr>
        <w:trPr>
          <w:trHeight w:val="212"/>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August 1, 2021 - August 31, 2021</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369,142</w:t>
            </w:r>
          </w:p>
        </w:tc>
        <w:tc>
          <w:tcPr>
            <w:tcW w:w="0" w:type="dxa"/>
            <w:vAlign w:val="bottom"/>
          </w:tcPr>
          <w:p>
            <w:pPr>
              <w:spacing w:after="0"/>
              <w:rPr>
                <w:sz w:val="1"/>
                <w:szCs w:val="1"/>
                <w:color w:val="auto"/>
              </w:rPr>
            </w:pPr>
          </w:p>
        </w:tc>
      </w:tr>
      <w:tr>
        <w:trPr>
          <w:trHeight w:val="213"/>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September 1, 2021 - September 30, 2021</w:t>
            </w:r>
          </w:p>
        </w:tc>
        <w:tc>
          <w:tcPr>
            <w:tcW w:w="1840" w:type="dxa"/>
            <w:vAlign w:val="bottom"/>
          </w:tcPr>
          <w:p>
            <w:pPr>
              <w:jc w:val="right"/>
              <w:spacing w:after="0"/>
              <w:rPr>
                <w:sz w:val="20"/>
                <w:szCs w:val="20"/>
                <w:color w:val="auto"/>
              </w:rPr>
            </w:pPr>
            <w:r>
              <w:rPr>
                <w:rFonts w:ascii="Arial" w:cs="Arial" w:eastAsia="Arial" w:hAnsi="Arial"/>
                <w:sz w:val="16"/>
                <w:szCs w:val="16"/>
                <w:color w:val="auto"/>
              </w:rPr>
              <w:t>375,000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50.46</w:t>
            </w:r>
          </w:p>
        </w:tc>
        <w:tc>
          <w:tcPr>
            <w:tcW w:w="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375,000</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1,625,000</w:t>
            </w:r>
          </w:p>
        </w:tc>
        <w:tc>
          <w:tcPr>
            <w:tcW w:w="0" w:type="dxa"/>
            <w:vAlign w:val="bottom"/>
          </w:tcPr>
          <w:p>
            <w:pPr>
              <w:spacing w:after="0"/>
              <w:rPr>
                <w:sz w:val="1"/>
                <w:szCs w:val="1"/>
                <w:color w:val="auto"/>
              </w:rPr>
            </w:pPr>
          </w:p>
        </w:tc>
      </w:tr>
      <w:tr>
        <w:trPr>
          <w:trHeight w:val="21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1, 2021 - October 31, 2021</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1,625,000</w:t>
            </w:r>
          </w:p>
        </w:tc>
        <w:tc>
          <w:tcPr>
            <w:tcW w:w="0" w:type="dxa"/>
            <w:vAlign w:val="bottom"/>
          </w:tcPr>
          <w:p>
            <w:pPr>
              <w:spacing w:after="0"/>
              <w:rPr>
                <w:sz w:val="1"/>
                <w:szCs w:val="1"/>
                <w:color w:val="auto"/>
              </w:rPr>
            </w:pPr>
          </w:p>
        </w:tc>
      </w:tr>
      <w:tr>
        <w:trPr>
          <w:trHeight w:val="206"/>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375,000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50.46</w:t>
            </w:r>
          </w:p>
        </w:tc>
        <w:tc>
          <w:tcPr>
            <w:tcW w:w="8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375,000</w:t>
            </w:r>
          </w:p>
        </w:tc>
        <w:tc>
          <w:tcPr>
            <w:tcW w:w="10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1,625,000</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rPr>
              <w:t>ITEM 6. EXHIBITS</w:t>
            </w:r>
          </w:p>
        </w:tc>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18"/>
        </w:trPr>
        <w:tc>
          <w:tcPr>
            <w:tcW w:w="25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8620" w:type="dxa"/>
            <w:vAlign w:val="bottom"/>
            <w:gridSpan w:val="5"/>
          </w:tcPr>
          <w:p>
            <w:pPr>
              <w:ind w:left="320"/>
              <w:spacing w:after="0"/>
              <w:rPr>
                <w:sz w:val="20"/>
                <w:szCs w:val="20"/>
                <w:color w:val="auto"/>
              </w:rPr>
            </w:pPr>
            <w:r>
              <w:rPr>
                <w:rFonts w:ascii="Arial" w:cs="Arial" w:eastAsia="Arial" w:hAnsi="Arial"/>
                <w:sz w:val="18"/>
                <w:szCs w:val="18"/>
                <w:b w:val="1"/>
                <w:bCs w:val="1"/>
                <w:color w:val="auto"/>
              </w:rPr>
              <w:t>Exhibit Description</w:t>
            </w:r>
          </w:p>
        </w:tc>
      </w:tr>
      <w:tr>
        <w:trPr>
          <w:trHeight w:val="439"/>
        </w:trPr>
        <w:tc>
          <w:tcPr>
            <w:tcW w:w="2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440" w:type="dxa"/>
            <w:vAlign w:val="bottom"/>
            <w:tcBorders>
              <w:top w:val="single" w:sz="8" w:color="auto"/>
              <w:bottom w:val="single" w:sz="8" w:color="0000FF"/>
            </w:tcBorders>
            <w:gridSpan w:val="4"/>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Rule 13a-14(a)/15d-14(a) Certification of J. Michael Nauman</w:t>
              </w:r>
            </w:hyperlink>
          </w:p>
        </w:tc>
        <w:tc>
          <w:tcPr>
            <w:tcW w:w="4180" w:type="dxa"/>
            <w:vAlign w:val="bottom"/>
            <w:tcBorders>
              <w:top w:val="single" w:sz="8" w:color="auto"/>
            </w:tcBorders>
          </w:tcPr>
          <w:p>
            <w:pPr>
              <w:spacing w:after="0"/>
              <w:rPr>
                <w:sz w:val="24"/>
                <w:szCs w:val="24"/>
                <w:color w:val="auto"/>
              </w:rPr>
            </w:pPr>
          </w:p>
        </w:tc>
      </w:tr>
      <w:tr>
        <w:trPr>
          <w:trHeight w:val="479"/>
        </w:trPr>
        <w:tc>
          <w:tcPr>
            <w:tcW w:w="2320" w:type="dxa"/>
            <w:vAlign w:val="bottom"/>
          </w:tcPr>
          <w:p>
            <w:pPr>
              <w:ind w:left="2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5"/>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Rule 13a-14(a)/15d-14(a) Certification of Aaron J. Pearce</w:t>
              </w:r>
            </w:hyperlink>
          </w:p>
        </w:tc>
      </w:tr>
      <w:tr>
        <w:trPr>
          <w:trHeight w:val="480"/>
        </w:trPr>
        <w:tc>
          <w:tcPr>
            <w:tcW w:w="2320" w:type="dxa"/>
            <w:vAlign w:val="bottom"/>
          </w:tcPr>
          <w:p>
            <w:pPr>
              <w:ind w:left="2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Borders>
              <w:top w:val="single" w:sz="8" w:color="0000FF"/>
            </w:tcBorders>
            <w:gridSpan w:val="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Section 1350 Certification of J. Michael Nauman</w:t>
              </w:r>
            </w:hyperlink>
          </w:p>
        </w:tc>
        <w:tc>
          <w:tcPr>
            <w:tcW w:w="4460" w:type="dxa"/>
            <w:vAlign w:val="bottom"/>
            <w:gridSpan w:val="2"/>
          </w:tcPr>
          <w:p>
            <w:pPr>
              <w:spacing w:after="0"/>
              <w:rPr>
                <w:sz w:val="24"/>
                <w:szCs w:val="24"/>
                <w:color w:val="auto"/>
              </w:rPr>
            </w:pPr>
          </w:p>
        </w:tc>
      </w:tr>
      <w:tr>
        <w:trPr>
          <w:trHeight w:val="480"/>
        </w:trPr>
        <w:tc>
          <w:tcPr>
            <w:tcW w:w="2320" w:type="dxa"/>
            <w:vAlign w:val="bottom"/>
          </w:tcPr>
          <w:p>
            <w:pPr>
              <w:ind w:left="2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Section 1350 Certification of Aaron J. Pearce</w:t>
              </w:r>
            </w:hyperlink>
          </w:p>
        </w:tc>
        <w:tc>
          <w:tcPr>
            <w:tcW w:w="260" w:type="dxa"/>
            <w:vAlign w:val="bottom"/>
            <w:tcBorders>
              <w:top w:val="single" w:sz="8" w:color="0000FF"/>
            </w:tcBorders>
          </w:tcPr>
          <w:p>
            <w:pPr>
              <w:spacing w:after="0"/>
              <w:rPr>
                <w:sz w:val="24"/>
                <w:szCs w:val="24"/>
                <w:color w:val="auto"/>
              </w:rPr>
            </w:pPr>
          </w:p>
        </w:tc>
        <w:tc>
          <w:tcPr>
            <w:tcW w:w="5080" w:type="dxa"/>
            <w:vAlign w:val="bottom"/>
            <w:gridSpan w:val="3"/>
          </w:tcPr>
          <w:p>
            <w:pPr>
              <w:spacing w:after="0"/>
              <w:rPr>
                <w:sz w:val="24"/>
                <w:szCs w:val="24"/>
                <w:color w:val="auto"/>
              </w:rPr>
            </w:pPr>
          </w:p>
        </w:tc>
      </w:tr>
      <w:tr>
        <w:trPr>
          <w:trHeight w:val="466"/>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w w:val="92"/>
              </w:rPr>
              <w:t>XBRL Instance Document (The instance document does not appear in the interactive data file because its XBRL tags</w:t>
            </w:r>
          </w:p>
        </w:tc>
      </w:tr>
      <w:tr>
        <w:trPr>
          <w:trHeight w:val="230"/>
        </w:trPr>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99"/>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XBRL Taxonomy Schema Document</w:t>
            </w:r>
          </w:p>
        </w:tc>
      </w:tr>
      <w:tr>
        <w:trPr>
          <w:trHeight w:val="499"/>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00"/>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99"/>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99"/>
        </w:trPr>
        <w:tc>
          <w:tcPr>
            <w:tcW w:w="25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XBRL Taxonomy Presentation Label Linkbase Document</w:t>
            </w:r>
          </w:p>
        </w:tc>
      </w:tr>
      <w:tr>
        <w:trPr>
          <w:trHeight w:val="500"/>
        </w:trPr>
        <w:tc>
          <w:tcPr>
            <w:tcW w:w="232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5"/>
          </w:tcPr>
          <w:p>
            <w:pPr>
              <w:spacing w:after="0"/>
              <w:rPr>
                <w:sz w:val="20"/>
                <w:szCs w:val="20"/>
                <w:color w:val="auto"/>
              </w:rPr>
            </w:pPr>
            <w:r>
              <w:rPr>
                <w:rFonts w:ascii="Arial" w:cs="Arial" w:eastAsia="Arial" w:hAnsi="Arial"/>
                <w:sz w:val="18"/>
                <w:szCs w:val="18"/>
                <w:color w:val="auto"/>
              </w:rPr>
              <w:t>Cover Page Inline XBRL data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760" w:type="dxa"/>
            <w:vAlign w:val="bottom"/>
            <w:gridSpan w:val="2"/>
          </w:tcPr>
          <w:p>
            <w:pPr>
              <w:ind w:left="1600"/>
              <w:spacing w:after="0"/>
              <w:rPr>
                <w:sz w:val="20"/>
                <w:szCs w:val="20"/>
                <w:color w:val="auto"/>
              </w:rPr>
            </w:pPr>
            <w:r>
              <w:rPr>
                <w:rFonts w:ascii="Arial" w:cs="Arial" w:eastAsia="Arial" w:hAnsi="Arial"/>
                <w:sz w:val="18"/>
                <w:szCs w:val="18"/>
                <w:color w:val="auto"/>
              </w:rPr>
              <w:t>SIGNATURES</w:t>
            </w:r>
          </w:p>
        </w:tc>
      </w:tr>
      <w:tr>
        <w:trPr>
          <w:trHeight w:val="338"/>
        </w:trPr>
        <w:tc>
          <w:tcPr>
            <w:tcW w:w="3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BRADY CORPORATION</w:t>
            </w:r>
          </w:p>
        </w:tc>
      </w:tr>
      <w:tr>
        <w:trPr>
          <w:trHeight w:val="499"/>
        </w:trPr>
        <w:tc>
          <w:tcPr>
            <w:tcW w:w="3460" w:type="dxa"/>
            <w:vAlign w:val="bottom"/>
          </w:tcPr>
          <w:p>
            <w:pPr>
              <w:spacing w:after="0"/>
              <w:rPr>
                <w:sz w:val="20"/>
                <w:szCs w:val="20"/>
                <w:color w:val="auto"/>
              </w:rPr>
            </w:pPr>
            <w:r>
              <w:rPr>
                <w:rFonts w:ascii="Arial" w:cs="Arial" w:eastAsia="Arial" w:hAnsi="Arial"/>
                <w:sz w:val="18"/>
                <w:szCs w:val="18"/>
                <w:color w:val="auto"/>
              </w:rPr>
              <w:t>Date: November 18, 2021</w:t>
            </w:r>
          </w:p>
        </w:tc>
        <w:tc>
          <w:tcPr>
            <w:tcW w:w="3700" w:type="dxa"/>
            <w:vAlign w:val="bottom"/>
          </w:tcPr>
          <w:p>
            <w:pPr>
              <w:spacing w:after="0"/>
              <w:rPr>
                <w:sz w:val="24"/>
                <w:szCs w:val="24"/>
                <w:color w:val="auto"/>
              </w:rPr>
            </w:pPr>
          </w:p>
        </w:tc>
        <w:tc>
          <w:tcPr>
            <w:tcW w:w="4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J. MICHAEL NAUMAN</w:t>
            </w:r>
          </w:p>
        </w:tc>
      </w:tr>
      <w:tr>
        <w:trPr>
          <w:trHeight w:val="222"/>
        </w:trPr>
        <w:tc>
          <w:tcPr>
            <w:tcW w:w="34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J. Michael Nauman</w:t>
            </w:r>
          </w:p>
        </w:tc>
      </w:tr>
      <w:tr>
        <w:trPr>
          <w:trHeight w:val="229"/>
        </w:trPr>
        <w:tc>
          <w:tcPr>
            <w:tcW w:w="34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r>
      <w:tr>
        <w:trPr>
          <w:trHeight w:val="742"/>
        </w:trPr>
        <w:tc>
          <w:tcPr>
            <w:tcW w:w="3460" w:type="dxa"/>
            <w:vAlign w:val="bottom"/>
          </w:tcPr>
          <w:p>
            <w:pPr>
              <w:spacing w:after="0"/>
              <w:rPr>
                <w:sz w:val="20"/>
                <w:szCs w:val="20"/>
                <w:color w:val="auto"/>
              </w:rPr>
            </w:pPr>
            <w:r>
              <w:rPr>
                <w:rFonts w:ascii="Arial" w:cs="Arial" w:eastAsia="Arial" w:hAnsi="Arial"/>
                <w:sz w:val="18"/>
                <w:szCs w:val="18"/>
                <w:color w:val="auto"/>
              </w:rPr>
              <w:t>Date: November 18, 2021</w:t>
            </w:r>
          </w:p>
        </w:tc>
        <w:tc>
          <w:tcPr>
            <w:tcW w:w="3700" w:type="dxa"/>
            <w:vAlign w:val="bottom"/>
          </w:tcPr>
          <w:p>
            <w:pPr>
              <w:spacing w:after="0"/>
              <w:rPr>
                <w:sz w:val="24"/>
                <w:szCs w:val="24"/>
                <w:color w:val="auto"/>
              </w:rPr>
            </w:pPr>
          </w:p>
        </w:tc>
        <w:tc>
          <w:tcPr>
            <w:tcW w:w="4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AARON J. PEARCE</w:t>
            </w:r>
          </w:p>
        </w:tc>
      </w:tr>
      <w:tr>
        <w:trPr>
          <w:trHeight w:val="222"/>
        </w:trPr>
        <w:tc>
          <w:tcPr>
            <w:tcW w:w="34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Aaron J. Pearce</w:t>
            </w:r>
          </w:p>
        </w:tc>
      </w:tr>
      <w:tr>
        <w:trPr>
          <w:trHeight w:val="230"/>
        </w:trPr>
        <w:tc>
          <w:tcPr>
            <w:tcW w:w="34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4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104" w:lineRule="exact"/>
        <w:rPr>
          <w:sz w:val="20"/>
          <w:szCs w:val="20"/>
          <w:color w:val="auto"/>
        </w:rPr>
      </w:pPr>
    </w:p>
    <w:p>
      <w:pPr>
        <w:ind w:left="700" w:hanging="247"/>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3"/>
        <w:spacing w:after="0" w:line="342" w:lineRule="auto"/>
        <w:tabs>
          <w:tab w:leader="none" w:pos="705"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3"/>
        <w:spacing w:after="0" w:line="308" w:lineRule="auto"/>
        <w:tabs>
          <w:tab w:leader="none" w:pos="702" w:val="left"/>
        </w:tabs>
        <w:numPr>
          <w:ilvl w:val="0"/>
          <w:numId w:val="8"/>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3"/>
        <w:spacing w:after="0" w:line="263" w:lineRule="auto"/>
        <w:tabs>
          <w:tab w:leader="none" w:pos="65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277" w:lineRule="auto"/>
        <w:tabs>
          <w:tab w:leader="none" w:pos="7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right="20" w:firstLine="453"/>
        <w:spacing w:after="0" w:line="277" w:lineRule="auto"/>
        <w:tabs>
          <w:tab w:leader="none" w:pos="6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18,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&amp;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104" w:lineRule="exact"/>
        <w:rPr>
          <w:sz w:val="20"/>
          <w:szCs w:val="20"/>
          <w:color w:val="auto"/>
        </w:rPr>
      </w:pPr>
    </w:p>
    <w:p>
      <w:pPr>
        <w:ind w:left="700" w:hanging="24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53"/>
        <w:spacing w:after="0" w:line="342" w:lineRule="auto"/>
        <w:tabs>
          <w:tab w:leader="none" w:pos="7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53"/>
        <w:spacing w:after="0" w:line="308" w:lineRule="auto"/>
        <w:tabs>
          <w:tab w:leader="none" w:pos="702"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53"/>
        <w:spacing w:after="0" w:line="263"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277" w:lineRule="auto"/>
        <w:tabs>
          <w:tab w:leader="none" w:pos="7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sz w:val="20"/>
          <w:szCs w:val="20"/>
          <w:color w:val="auto"/>
        </w:rPr>
      </w:pPr>
    </w:p>
    <w:p>
      <w:pPr>
        <w:ind w:right="20" w:firstLine="453"/>
        <w:spacing w:after="0" w:line="277" w:lineRule="auto"/>
        <w:tabs>
          <w:tab w:leader="none" w:pos="6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18,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right="20" w:firstLine="453"/>
        <w:spacing w:after="0" w:line="277" w:lineRule="auto"/>
        <w:tabs>
          <w:tab w:leader="none" w:pos="7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2021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18,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&amp;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9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right="20" w:firstLine="453"/>
        <w:spacing w:after="0" w:line="277" w:lineRule="auto"/>
        <w:tabs>
          <w:tab w:leader="none" w:pos="7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2021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18,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6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2021-11-18T06:20:17Z</dcterms:created>
  <dcterms:modified xsi:type="dcterms:W3CDTF">2021-11-18T06:20:17Z</dcterms:modified>
</cp:coreProperties>
</file>