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-220345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190500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700" w:right="440" w:hanging="665"/>
        <w:spacing w:after="0" w:line="253" w:lineRule="auto"/>
        <w:tabs>
          <w:tab w:leader="none" w:pos="70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2019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00" w:right="440" w:hanging="665"/>
        <w:spacing w:after="0" w:line="262"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500"/>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-297815</wp:posOffset>
            </wp:positionV>
            <wp:extent cx="3919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919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397" w:lineRule="exact"/>
        <w:rPr>
          <w:sz w:val="24"/>
          <w:szCs w:val="24"/>
          <w:color w:val="auto"/>
        </w:rPr>
      </w:pPr>
    </w:p>
    <w:p>
      <w:pPr>
        <w:ind w:left="2360"/>
        <w:spacing w:after="0"/>
        <w:tabs>
          <w:tab w:leader="none" w:pos="8280" w:val="left"/>
        </w:tabs>
        <w:rPr>
          <w:sz w:val="20"/>
          <w:szCs w:val="20"/>
          <w:color w:val="auto"/>
        </w:rPr>
      </w:pPr>
      <w:r>
        <w:rPr>
          <w:rFonts w:ascii="Times New Roman" w:cs="Times New Roman" w:eastAsia="Times New Roman" w:hAnsi="Times New Roman"/>
          <w:sz w:val="18"/>
          <w:szCs w:val="18"/>
          <w:b w:val="1"/>
          <w:bCs w:val="1"/>
          <w:color w:val="auto"/>
        </w:rPr>
        <w:t>Wisconsin</w:t>
      </w:r>
      <w:r>
        <w:rPr>
          <w:sz w:val="20"/>
          <w:szCs w:val="20"/>
          <w:color w:val="auto"/>
        </w:rPr>
        <w:tab/>
      </w:r>
      <w:r>
        <w:rPr>
          <w:rFonts w:ascii="Times New Roman" w:cs="Times New Roman" w:eastAsia="Times New Roman" w:hAnsi="Times New Roman"/>
          <w:sz w:val="18"/>
          <w:szCs w:val="18"/>
          <w:b w:val="1"/>
          <w:bCs w:val="1"/>
          <w:color w:val="auto"/>
        </w:rPr>
        <w:t>39-0178960</w:t>
      </w:r>
    </w:p>
    <w:p>
      <w:pPr>
        <w:spacing w:after="0" w:line="61" w:lineRule="exact"/>
        <w:rPr>
          <w:sz w:val="24"/>
          <w:szCs w:val="24"/>
          <w:color w:val="auto"/>
        </w:rPr>
      </w:pPr>
    </w:p>
    <w:p>
      <w:pPr>
        <w:ind w:left="900"/>
        <w:spacing w:after="0"/>
        <w:tabs>
          <w:tab w:leader="none" w:pos="762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b w:val="1"/>
          <w:bCs w:val="1"/>
          <w:color w:val="auto"/>
        </w:rPr>
        <w:t>(I.R.S. Employer Identification No.)</w:t>
      </w:r>
    </w:p>
    <w:p>
      <w:pPr>
        <w:spacing w:after="0" w:line="179" w:lineRule="exact"/>
        <w:rPr>
          <w:sz w:val="24"/>
          <w:szCs w:val="24"/>
          <w:color w:val="auto"/>
        </w:rPr>
      </w:pPr>
    </w:p>
    <w:p>
      <w:pPr>
        <w:ind w:left="330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6555 West Good Hope Road, Milwaukee, Wisconsin</w:t>
      </w:r>
      <w:r>
        <w:rPr>
          <w:sz w:val="20"/>
          <w:szCs w:val="20"/>
          <w:color w:val="auto"/>
        </w:rPr>
        <w:tab/>
      </w:r>
      <w:r>
        <w:rPr>
          <w:rFonts w:ascii="Times New Roman" w:cs="Times New Roman" w:eastAsia="Times New Roman" w:hAnsi="Times New Roman"/>
          <w:sz w:val="17"/>
          <w:szCs w:val="17"/>
          <w:b w:val="1"/>
          <w:bCs w:val="1"/>
          <w:color w:val="auto"/>
        </w:rPr>
        <w:t>53223</w:t>
      </w:r>
    </w:p>
    <w:p>
      <w:pPr>
        <w:spacing w:after="0" w:line="61" w:lineRule="exact"/>
        <w:rPr>
          <w:sz w:val="24"/>
          <w:szCs w:val="24"/>
          <w:color w:val="auto"/>
        </w:rPr>
      </w:pPr>
    </w:p>
    <w:p>
      <w:pPr>
        <w:ind w:left="416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(414) 358-6600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196215</wp:posOffset>
            </wp:positionV>
            <wp:extent cx="3841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375" w:lineRule="exact"/>
        <w:rPr>
          <w:sz w:val="24"/>
          <w:szCs w:val="24"/>
          <w:color w:val="auto"/>
        </w:rPr>
      </w:pPr>
    </w:p>
    <w:p>
      <w:pPr>
        <w:ind w:right="2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ind w:right="4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225" w:right="219" w:bottom="1440" w:gutter="0" w:footer="0" w:header="0"/>
        </w:sectPr>
      </w:pPr>
    </w:p>
    <w:p>
      <w:pPr>
        <w:spacing w:after="0" w:line="151" w:lineRule="exact"/>
        <w:rPr>
          <w:sz w:val="24"/>
          <w:szCs w:val="24"/>
          <w:color w:val="auto"/>
        </w:rPr>
      </w:pPr>
    </w:p>
    <w:p>
      <w:pPr>
        <w:ind w:left="40"/>
        <w:spacing w:after="0" w:line="181" w:lineRule="exact"/>
        <w:tabs>
          <w:tab w:leader="none" w:pos="2520" w:val="left"/>
          <w:tab w:leader="none" w:pos="3680" w:val="left"/>
          <w:tab w:leader="none" w:pos="6400" w:val="left"/>
          <w:tab w:leader="none" w:pos="75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Emerging growth company</w:t>
      </w:r>
    </w:p>
    <w:p>
      <w:pPr>
        <w:spacing w:after="0" w:line="178" w:lineRule="exact"/>
        <w:rPr>
          <w:sz w:val="24"/>
          <w:szCs w:val="24"/>
          <w:color w:val="auto"/>
        </w:rPr>
      </w:pPr>
    </w:p>
    <w:p>
      <w:pPr>
        <w:ind w:left="40"/>
        <w:spacing w:after="0" w:line="161" w:lineRule="exact"/>
        <w:tabs>
          <w:tab w:leader="none" w:pos="2520" w:val="left"/>
          <w:tab w:leader="none" w:pos="3680" w:val="left"/>
          <w:tab w:leader="none" w:pos="64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13" w:lineRule="exact"/>
        <w:rPr>
          <w:sz w:val="24"/>
          <w:szCs w:val="24"/>
          <w:color w:val="auto"/>
        </w:rPr>
      </w:pPr>
    </w:p>
    <w:p>
      <w:pPr>
        <w:ind w:left="40"/>
        <w:spacing w:after="0" w:line="26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4" w:lineRule="exact"/>
        <w:rPr>
          <w:sz w:val="24"/>
          <w:szCs w:val="24"/>
          <w:color w:val="auto"/>
        </w:rPr>
      </w:pPr>
    </w:p>
    <w:p>
      <w:pPr>
        <w:spacing w:after="0" w:line="184"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18" w:lineRule="exact"/>
        <w:rPr>
          <w:sz w:val="24"/>
          <w:szCs w:val="24"/>
          <w:color w:val="auto"/>
        </w:rPr>
      </w:pPr>
    </w:p>
    <w:p>
      <w:pPr>
        <w:sectPr>
          <w:pgSz w:w="11900" w:h="16838" w:orient="portrait"/>
          <w:cols w:equalWidth="0" w:num="2">
            <w:col w:w="9880" w:space="400"/>
            <w:col w:w="1160"/>
          </w:cols>
          <w:pgMar w:left="240" w:top="225" w:right="219" w:bottom="1440" w:gutter="0" w:footer="0" w:header="0"/>
          <w:type w:val="continuous"/>
        </w:sectPr>
      </w:pPr>
    </w:p>
    <w:tbl>
      <w:tblPr>
        <w:tblLayout w:type="fixed"/>
        <w:tblInd w:w="10" w:type="dxa"/>
        <w:tblCellMar>
          <w:top w:w="0" w:type="dxa"/>
          <w:left w:w="0" w:type="dxa"/>
          <w:bottom w:w="0" w:type="dxa"/>
          <w:right w:w="0" w:type="dxa"/>
        </w:tblCellMar>
      </w:tblPr>
      <w:tr>
        <w:trPr>
          <w:trHeight w:val="211"/>
        </w:trPr>
        <w:tc>
          <w:tcPr>
            <w:tcW w:w="49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1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4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2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85"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4"/>
          <w:szCs w:val="14"/>
          <w:color w:val="auto"/>
        </w:rPr>
        <w:t>As of November 19, 2019, there were 49,766,327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40"/>
          </w:cols>
          <w:pgMar w:left="240" w:top="225" w:right="21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2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FORM 10-Q</w:t>
            </w:r>
          </w:p>
        </w:tc>
        <w:tc>
          <w:tcPr>
            <w:tcW w:w="1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2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BRADY CORPORATION</w:t>
            </w:r>
          </w:p>
        </w:tc>
        <w:tc>
          <w:tcPr>
            <w:tcW w:w="14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92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INDEX</w:t>
            </w:r>
          </w:p>
        </w:tc>
        <w:tc>
          <w:tcPr>
            <w:tcW w:w="1480" w:type="dxa"/>
            <w:vAlign w:val="bottom"/>
          </w:tcPr>
          <w:p>
            <w:pPr>
              <w:spacing w:after="0"/>
              <w:rPr>
                <w:sz w:val="20"/>
                <w:szCs w:val="20"/>
                <w:color w:val="auto"/>
              </w:rPr>
            </w:pPr>
          </w:p>
        </w:tc>
      </w:tr>
      <w:tr>
        <w:trPr>
          <w:trHeight w:val="844"/>
        </w:trPr>
        <w:tc>
          <w:tcPr>
            <w:tcW w:w="66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Page</w:t>
            </w:r>
          </w:p>
        </w:tc>
      </w:tr>
      <w:tr>
        <w:trPr>
          <w:trHeight w:val="243"/>
        </w:trPr>
        <w:tc>
          <w:tcPr>
            <w:tcW w:w="990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Financial Information</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70"/>
        </w:trPr>
        <w:tc>
          <w:tcPr>
            <w:tcW w:w="9900" w:type="dxa"/>
            <w:vAlign w:val="bottom"/>
            <w:gridSpan w:val="2"/>
          </w:tcPr>
          <w:p>
            <w:pPr>
              <w:ind w:left="14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70"/>
        </w:trPr>
        <w:tc>
          <w:tcPr>
            <w:tcW w:w="9900" w:type="dxa"/>
            <w:vAlign w:val="bottom"/>
            <w:gridSpan w:val="2"/>
          </w:tcPr>
          <w:p>
            <w:pPr>
              <w:ind w:left="34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70"/>
        </w:trPr>
        <w:tc>
          <w:tcPr>
            <w:tcW w:w="9900" w:type="dxa"/>
            <w:vAlign w:val="bottom"/>
            <w:gridSpan w:val="2"/>
          </w:tcPr>
          <w:p>
            <w:pPr>
              <w:ind w:left="34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270"/>
        </w:trPr>
        <w:tc>
          <w:tcPr>
            <w:tcW w:w="9900" w:type="dxa"/>
            <w:vAlign w:val="bottom"/>
            <w:gridSpan w:val="2"/>
          </w:tcPr>
          <w:p>
            <w:pPr>
              <w:ind w:left="34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270"/>
        </w:trPr>
        <w:tc>
          <w:tcPr>
            <w:tcW w:w="9900" w:type="dxa"/>
            <w:vAlign w:val="bottom"/>
            <w:gridSpan w:val="2"/>
          </w:tcPr>
          <w:p>
            <w:pPr>
              <w:ind w:left="34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270"/>
        </w:trPr>
        <w:tc>
          <w:tcPr>
            <w:tcW w:w="9900" w:type="dxa"/>
            <w:vAlign w:val="bottom"/>
            <w:gridSpan w:val="2"/>
          </w:tcPr>
          <w:p>
            <w:pPr>
              <w:ind w:left="34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70"/>
        </w:trPr>
        <w:tc>
          <w:tcPr>
            <w:tcW w:w="660" w:type="dxa"/>
            <w:vAlign w:val="bottom"/>
          </w:tcPr>
          <w:p>
            <w:pPr>
              <w:ind w:left="140"/>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Item 2.</w:t>
              </w:r>
            </w:hyperlink>
          </w:p>
        </w:tc>
        <w:tc>
          <w:tcPr>
            <w:tcW w:w="9240" w:type="dxa"/>
            <w:vAlign w:val="bottom"/>
          </w:tcPr>
          <w:p>
            <w:pPr>
              <w:ind w:lef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Results of Operations and Financial Condition</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19</w:t>
              </w:r>
            </w:hyperlink>
          </w:p>
        </w:tc>
      </w:tr>
      <w:tr>
        <w:trPr>
          <w:trHeight w:val="270"/>
        </w:trPr>
        <w:tc>
          <w:tcPr>
            <w:tcW w:w="660" w:type="dxa"/>
            <w:vAlign w:val="bottom"/>
          </w:tcPr>
          <w:p>
            <w:pPr>
              <w:ind w:left="140"/>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3.</w:t>
              </w:r>
            </w:hyperlink>
          </w:p>
        </w:tc>
        <w:tc>
          <w:tcPr>
            <w:tcW w:w="9240" w:type="dxa"/>
            <w:vAlign w:val="bottom"/>
          </w:tcPr>
          <w:p>
            <w:pPr>
              <w:ind w:lef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Quantitative and Qualitative Disclosures About Market Risk</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24</w:t>
              </w:r>
            </w:hyperlink>
          </w:p>
        </w:tc>
      </w:tr>
      <w:tr>
        <w:trPr>
          <w:trHeight w:val="270"/>
        </w:trPr>
        <w:tc>
          <w:tcPr>
            <w:tcW w:w="660" w:type="dxa"/>
            <w:vAlign w:val="bottom"/>
          </w:tcPr>
          <w:p>
            <w:pPr>
              <w:ind w:left="140"/>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4.</w:t>
              </w:r>
            </w:hyperlink>
          </w:p>
        </w:tc>
        <w:tc>
          <w:tcPr>
            <w:tcW w:w="9240" w:type="dxa"/>
            <w:vAlign w:val="bottom"/>
          </w:tcPr>
          <w:p>
            <w:pPr>
              <w:ind w:lef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Controls and Procedures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24</w:t>
              </w:r>
            </w:hyperlink>
          </w:p>
        </w:tc>
      </w:tr>
      <w:tr>
        <w:trPr>
          <w:trHeight w:val="270"/>
        </w:trPr>
        <w:tc>
          <w:tcPr>
            <w:tcW w:w="9900" w:type="dxa"/>
            <w:vAlign w:val="bottom"/>
            <w:gridSpan w:val="2"/>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PART II. Other Information</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25</w:t>
              </w:r>
            </w:hyperlink>
          </w:p>
        </w:tc>
      </w:tr>
      <w:tr>
        <w:trPr>
          <w:trHeight w:val="270"/>
        </w:trPr>
        <w:tc>
          <w:tcPr>
            <w:tcW w:w="660" w:type="dxa"/>
            <w:vAlign w:val="bottom"/>
          </w:tcPr>
          <w:p>
            <w:pPr>
              <w:ind w:left="140"/>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6.</w:t>
              </w:r>
            </w:hyperlink>
          </w:p>
        </w:tc>
        <w:tc>
          <w:tcPr>
            <w:tcW w:w="9240" w:type="dxa"/>
            <w:vAlign w:val="bottom"/>
          </w:tcPr>
          <w:p>
            <w:pPr>
              <w:ind w:lef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25</w:t>
              </w:r>
            </w:hyperlink>
          </w:p>
        </w:tc>
      </w:tr>
      <w:tr>
        <w:trPr>
          <w:trHeight w:val="270"/>
        </w:trPr>
        <w:tc>
          <w:tcPr>
            <w:tcW w:w="9900" w:type="dxa"/>
            <w:vAlign w:val="bottom"/>
            <w:gridSpan w:val="2"/>
          </w:tcPr>
          <w:p>
            <w:pPr>
              <w:ind w:left="14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Signatures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26</w:t>
              </w:r>
            </w:hyperlink>
          </w:p>
        </w:tc>
      </w:tr>
      <w:tr>
        <w:trPr>
          <w:trHeight w:val="459"/>
        </w:trPr>
        <w:tc>
          <w:tcPr>
            <w:tcW w:w="660" w:type="dxa"/>
            <w:vAlign w:val="bottom"/>
          </w:tcPr>
          <w:p>
            <w:pPr>
              <w:spacing w:after="0"/>
              <w:rPr>
                <w:sz w:val="24"/>
                <w:szCs w:val="24"/>
                <w:color w:val="auto"/>
              </w:rPr>
            </w:pPr>
          </w:p>
        </w:tc>
        <w:tc>
          <w:tcPr>
            <w:tcW w:w="92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8"/>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 FINANCIAL STATEMENTS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5"/>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October 31, 2019</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2019</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279,072</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162,561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158,114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119,612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120,037</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16,056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593,908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573,279</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112,565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110,048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411,328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410,987</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intangible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34,860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36,123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7,298</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52,233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19,573</w:t>
            </w:r>
          </w:p>
        </w:tc>
      </w:tr>
      <w:tr>
        <w:trPr>
          <w:trHeight w:val="21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1,231,222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1,157,308</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64,810</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63,794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62,509</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8,107</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Accrued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6,557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52,092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49,796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maturities on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50,144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50,166</w:t>
            </w:r>
          </w:p>
        </w:tc>
      </w:tr>
      <w:tr>
        <w:trPr>
          <w:trHeight w:val="21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255,947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241,945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58,616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64,589</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354,687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306,534</w:t>
            </w:r>
          </w:p>
        </w:tc>
      </w:tr>
      <w:tr>
        <w:trPr>
          <w:trHeight w:val="22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Class A nonvoting common stock—Issued 51,261,487 shares, and outstanding 49,764,799 and 49,458,841 shares,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3"/>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329,969</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663,808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637,843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Treasury stock—1,496,688 and 1,802,646 shares, respectively, of Class A nonvoting common stock, at 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(46,332)</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(71,254)</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876,535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850,774</w:t>
            </w:r>
          </w:p>
        </w:tc>
      </w:tr>
      <w:tr>
        <w:trPr>
          <w:trHeight w:val="21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1,231,222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1,157,308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96"/>
        </w:trPr>
        <w:tc>
          <w:tcPr>
            <w:tcW w:w="8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8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8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65"/>
        </w:trPr>
        <w:tc>
          <w:tcPr>
            <w:tcW w:w="10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286,947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293,196</w:t>
            </w: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145,542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146,657</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141,405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146,539</w:t>
            </w:r>
          </w:p>
        </w:tc>
      </w:tr>
      <w:tr>
        <w:trPr>
          <w:trHeight w:val="224"/>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11,326</w:t>
            </w:r>
          </w:p>
        </w:tc>
      </w:tr>
      <w:tr>
        <w:trPr>
          <w:trHeight w:val="23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89,547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94,591</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100,514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105,917</w:t>
            </w:r>
          </w:p>
        </w:tc>
      </w:tr>
      <w:tr>
        <w:trPr>
          <w:trHeight w:val="21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40,891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40,622</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21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41,570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39,893</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9,256</w:t>
            </w:r>
          </w:p>
        </w:tc>
      </w:tr>
      <w:tr>
        <w:trPr>
          <w:trHeight w:val="21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37,498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30,637</w:t>
            </w:r>
          </w:p>
        </w:tc>
      </w:tr>
      <w:tr>
        <w:trPr>
          <w:trHeight w:val="73"/>
        </w:trPr>
        <w:tc>
          <w:tcPr>
            <w:tcW w:w="1020" w:type="dxa"/>
            <w:vAlign w:val="bottom"/>
            <w:tcBorders>
              <w:bottom w:val="single" w:sz="8" w:color="CCEEFF"/>
            </w:tcBorders>
          </w:tcPr>
          <w:p>
            <w:pPr>
              <w:spacing w:after="0"/>
              <w:rPr>
                <w:sz w:val="6"/>
                <w:szCs w:val="6"/>
                <w:color w:val="auto"/>
              </w:rPr>
            </w:pPr>
          </w:p>
        </w:tc>
        <w:tc>
          <w:tcPr>
            <w:tcW w:w="75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91"/>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60"/>
        </w:trPr>
        <w:tc>
          <w:tcPr>
            <w:tcW w:w="1020" w:type="dxa"/>
            <w:vAlign w:val="bottom"/>
            <w:shd w:val="clear" w:color="auto" w:fill="CCEEFF"/>
          </w:tcPr>
          <w:p>
            <w:pPr>
              <w:spacing w:after="0"/>
              <w:rPr>
                <w:sz w:val="5"/>
                <w:szCs w:val="5"/>
                <w:color w:val="auto"/>
              </w:rPr>
            </w:pPr>
          </w:p>
        </w:tc>
        <w:tc>
          <w:tcPr>
            <w:tcW w:w="7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0.59</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0.58</w:t>
            </w:r>
          </w:p>
        </w:tc>
      </w:tr>
      <w:tr>
        <w:trPr>
          <w:trHeight w:val="23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Dividends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0.21</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0.57</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0.56</w:t>
            </w:r>
          </w:p>
        </w:tc>
      </w:tr>
      <w:tr>
        <w:trPr>
          <w:trHeight w:val="23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Dividends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0.20</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53,143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52,201</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53,736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52,958</w:t>
            </w:r>
          </w:p>
        </w:tc>
      </w:tr>
      <w:tr>
        <w:trPr>
          <w:trHeight w:val="33"/>
        </w:trPr>
        <w:tc>
          <w:tcPr>
            <w:tcW w:w="10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44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200" w:lineRule="exact"/>
        <w:rPr>
          <w:sz w:val="20"/>
          <w:szCs w:val="20"/>
          <w:color w:val="auto"/>
        </w:rPr>
      </w:pPr>
    </w:p>
    <w:p>
      <w:pPr>
        <w:spacing w:after="0" w:line="2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38735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Cash flow hedges: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Net gain (loss) recognized in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Reclassification adjustment for gains included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2320"/>
        <w:spacing w:after="0"/>
        <w:rPr>
          <w:sz w:val="20"/>
          <w:szCs w:val="20"/>
          <w:color w:val="auto"/>
        </w:rPr>
      </w:pPr>
      <w:r>
        <w:rPr>
          <w:rFonts w:ascii="Times New Roman" w:cs="Times New Roman" w:eastAsia="Times New Roman" w:hAnsi="Times New Roman"/>
          <w:sz w:val="16"/>
          <w:szCs w:val="16"/>
          <w:color w:val="auto"/>
        </w:rPr>
        <w:t>Pension and other post-retirement benefits actuarial gain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comprehensive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500"/>
        <w:spacing w:after="0"/>
        <w:tabs>
          <w:tab w:leader="none" w:pos="196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88" w:lineRule="exact"/>
        <w:rPr>
          <w:sz w:val="20"/>
          <w:szCs w:val="20"/>
          <w:color w:val="auto"/>
        </w:rPr>
      </w:pPr>
    </w:p>
    <w:p>
      <w:pPr>
        <w:spacing w:after="0"/>
        <w:tabs>
          <w:tab w:leader="none" w:pos="780" w:val="left"/>
          <w:tab w:leader="none" w:pos="1480" w:val="left"/>
          <w:tab w:leader="none" w:pos="22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37,498</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30,637</w:t>
      </w:r>
    </w:p>
    <w:p>
      <w:pPr>
        <w:spacing w:after="0" w:line="356" w:lineRule="exact"/>
        <w:rPr>
          <w:sz w:val="20"/>
          <w:szCs w:val="20"/>
          <w:color w:val="auto"/>
        </w:rPr>
      </w:pPr>
    </w:p>
    <w:p>
      <w:pPr>
        <w:jc w:val="both"/>
        <w:ind w:left="1080"/>
        <w:spacing w:after="0"/>
        <w:tabs>
          <w:tab w:leader="none" w:pos="2280" w:val="left"/>
        </w:tabs>
        <w:rPr>
          <w:sz w:val="20"/>
          <w:szCs w:val="20"/>
          <w:color w:val="auto"/>
        </w:rPr>
      </w:pPr>
      <w:r>
        <w:rPr>
          <w:rFonts w:ascii="Times New Roman" w:cs="Times New Roman" w:eastAsia="Times New Roman" w:hAnsi="Times New Roman"/>
          <w:sz w:val="16"/>
          <w:szCs w:val="16"/>
          <w:color w:val="auto"/>
        </w:rPr>
        <w:t>50</w:t>
      </w:r>
      <w:r>
        <w:rPr>
          <w:sz w:val="20"/>
          <w:szCs w:val="20"/>
          <w:color w:val="auto"/>
        </w:rPr>
        <w:tab/>
      </w:r>
      <w:r>
        <w:rPr>
          <w:rFonts w:ascii="Times New Roman" w:cs="Times New Roman" w:eastAsia="Times New Roman" w:hAnsi="Times New Roman"/>
          <w:sz w:val="16"/>
          <w:szCs w:val="16"/>
          <w:color w:val="auto"/>
        </w:rPr>
        <w:t>(8,790)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1000"/>
        <w:spacing w:after="0"/>
        <w:tabs>
          <w:tab w:leader="none" w:pos="2400" w:val="left"/>
        </w:tabs>
        <w:rPr>
          <w:sz w:val="20"/>
          <w:szCs w:val="20"/>
          <w:color w:val="auto"/>
        </w:rPr>
      </w:pPr>
      <w:r>
        <w:rPr>
          <w:rFonts w:ascii="Times New Roman" w:cs="Times New Roman" w:eastAsia="Times New Roman" w:hAnsi="Times New Roman"/>
          <w:sz w:val="16"/>
          <w:szCs w:val="16"/>
          <w:color w:val="auto"/>
        </w:rPr>
        <w:t>196</w:t>
      </w:r>
      <w:r>
        <w:rPr>
          <w:sz w:val="20"/>
          <w:szCs w:val="20"/>
          <w:color w:val="auto"/>
        </w:rPr>
        <w:tab/>
      </w:r>
      <w:r>
        <w:rPr>
          <w:rFonts w:ascii="Times New Roman" w:cs="Times New Roman" w:eastAsia="Times New Roman" w:hAnsi="Times New Roman"/>
          <w:sz w:val="16"/>
          <w:szCs w:val="16"/>
          <w:color w:val="auto"/>
        </w:rPr>
        <w:t>(380)</w:t>
      </w:r>
    </w:p>
    <w:p>
      <w:pPr>
        <w:spacing w:after="0" w:line="86" w:lineRule="exact"/>
        <w:rPr>
          <w:sz w:val="20"/>
          <w:szCs w:val="20"/>
          <w:color w:val="auto"/>
        </w:rPr>
      </w:pPr>
    </w:p>
    <w:p>
      <w:pPr>
        <w:ind w:left="2500" w:hanging="1557"/>
        <w:spacing w:after="0"/>
        <w:tabs>
          <w:tab w:leader="none" w:pos="25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45085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8" w:lineRule="exact"/>
        <w:rPr>
          <w:sz w:val="20"/>
          <w:szCs w:val="20"/>
          <w:color w:val="auto"/>
        </w:rPr>
      </w:pPr>
    </w:p>
    <w:p>
      <w:pPr>
        <w:ind w:left="2420" w:hanging="1477"/>
        <w:spacing w:after="0"/>
        <w:tabs>
          <w:tab w:leader="none" w:pos="24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(427)</w:t>
      </w:r>
    </w:p>
    <w:p>
      <w:pPr>
        <w:spacing w:after="0" w:line="395" w:lineRule="exact"/>
        <w:rPr>
          <w:sz w:val="20"/>
          <w:szCs w:val="20"/>
          <w:color w:val="auto"/>
        </w:rPr>
      </w:pPr>
    </w:p>
    <w:p>
      <w:pPr>
        <w:ind w:left="2420" w:hanging="1477"/>
        <w:spacing w:after="0"/>
        <w:tabs>
          <w:tab w:leader="none" w:pos="24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(155)</w:t>
      </w:r>
    </w:p>
    <w:p>
      <w:pPr>
        <w:spacing w:after="0" w:line="395" w:lineRule="exact"/>
        <w:rPr>
          <w:sz w:val="20"/>
          <w:szCs w:val="20"/>
          <w:color w:val="auto"/>
        </w:rPr>
      </w:pPr>
    </w:p>
    <w:p>
      <w:pPr>
        <w:ind w:left="2300" w:hanging="1357"/>
        <w:spacing w:after="0"/>
        <w:tabs>
          <w:tab w:leader="none" w:pos="23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(9,372)</w:t>
      </w:r>
    </w:p>
    <w:p>
      <w:pPr>
        <w:spacing w:after="0" w:line="97" w:lineRule="exact"/>
        <w:rPr>
          <w:rFonts w:ascii="Times New Roman" w:cs="Times New Roman" w:eastAsia="Times New Roman" w:hAnsi="Times New Roman"/>
          <w:sz w:val="15"/>
          <w:szCs w:val="15"/>
          <w:color w:val="auto"/>
        </w:rPr>
      </w:pPr>
    </w:p>
    <w:p>
      <w:pPr>
        <w:ind w:left="10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211</w:t>
      </w:r>
      <w:r>
        <w:rPr>
          <w:rFonts w:ascii="Times New Roman" w:cs="Times New Roman" w:eastAsia="Times New Roman" w:hAnsi="Times New Roman"/>
          <w:sz w:val="15"/>
          <w:szCs w:val="15"/>
          <w:color w:val="auto"/>
        </w:rPr>
        <w:t>(458)</w:t>
      </w:r>
    </w:p>
    <w:p>
      <w:pPr>
        <w:spacing w:after="0" w:line="39" w:lineRule="exact"/>
        <w:rPr>
          <w:sz w:val="20"/>
          <w:szCs w:val="20"/>
          <w:color w:val="auto"/>
        </w:rPr>
      </w:pPr>
    </w:p>
    <w:p>
      <w:pPr>
        <w:sectPr>
          <w:pgSz w:w="11900" w:h="16838" w:orient="portrait"/>
          <w:cols w:equalWidth="0" w:num="2">
            <w:col w:w="7880" w:space="720"/>
            <w:col w:w="282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(9,830)</w:t>
            </w:r>
          </w:p>
        </w:tc>
      </w:tr>
      <w:tr>
        <w:trPr>
          <w:trHeight w:val="33"/>
        </w:trPr>
        <w:tc>
          <w:tcPr>
            <w:tcW w:w="8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37,469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20,807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274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CASH FLOWS </w:t>
      </w:r>
      <w:r>
        <w:rPr>
          <w:rFonts w:ascii="Times New Roman" w:cs="Times New Roman" w:eastAsia="Times New Roman" w:hAnsi="Times New Roman"/>
          <w:sz w:val="16"/>
          <w:szCs w:val="16"/>
          <w:color w:val="auto"/>
        </w:rPr>
        <w:t>(Dollars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Non-cash portion of stock-based compensation expense</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Other</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Prepaid expenses and other assets</w:t>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Income taxes</w:t>
      </w:r>
    </w:p>
    <w:p>
      <w:pPr>
        <w:spacing w:after="0" w:line="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Purchases of property, plant and equipment</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Financing activities: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Proceeds from exercise of stock options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Proceeds from borrowing on credit facilities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p>
      <w:pPr>
        <w:ind w:left="580"/>
        <w:spacing w:after="0"/>
        <w:tabs>
          <w:tab w:leader="none" w:pos="216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37,498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30,637</w:t>
            </w:r>
          </w:p>
        </w:tc>
      </w:tr>
      <w:tr>
        <w:trPr>
          <w:trHeight w:val="540"/>
        </w:trPr>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5,634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5,960</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4,965</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2,164</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w:t>
            </w:r>
          </w:p>
        </w:tc>
      </w:tr>
      <w:tr>
        <w:trPr>
          <w:trHeight w:val="540"/>
        </w:trPr>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(14,288)</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1,193</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38,848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18,818</w:t>
            </w:r>
          </w:p>
        </w:tc>
      </w:tr>
      <w:tr>
        <w:trPr>
          <w:trHeight w:val="824"/>
        </w:trPr>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w:t>
            </w:r>
          </w:p>
        </w:tc>
      </w:tr>
      <w:tr>
        <w:trPr>
          <w:trHeight w:val="824"/>
        </w:trPr>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(11,096)</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13,001</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r>
      <w:tr>
        <w:trPr>
          <w:trHeight w:val="270"/>
        </w:trPr>
        <w:tc>
          <w:tcPr>
            <w:tcW w:w="48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5,737</w:t>
            </w:r>
          </w:p>
        </w:tc>
      </w:tr>
      <w:tr>
        <w:trPr>
          <w:trHeight w:val="270"/>
        </w:trPr>
        <w:tc>
          <w:tcPr>
            <w:tcW w:w="48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664</w:t>
            </w:r>
          </w:p>
        </w:tc>
      </w:tr>
      <w:tr>
        <w:trPr>
          <w:trHeight w:val="554"/>
        </w:trPr>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14"/>
        </w:trPr>
        <w:tc>
          <w:tcPr>
            <w:tcW w:w="48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16,021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10,749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279,072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181,427</w:t>
            </w:r>
          </w:p>
        </w:tc>
      </w:tr>
      <w:tr>
        <w:trPr>
          <w:trHeight w:val="33"/>
        </w:trPr>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18" w:right="239" w:bottom="1440" w:gutter="0" w:footer="0" w:header="0"/>
        </w:sectPr>
      </w:pPr>
    </w:p>
    <w:p>
      <w:pPr>
        <w:spacing w:after="0" w:line="97" w:lineRule="exact"/>
        <w:rPr>
          <w:sz w:val="20"/>
          <w:szCs w:val="20"/>
          <w:color w:val="auto"/>
        </w:rPr>
      </w:pPr>
    </w:p>
    <w:p>
      <w:pPr>
        <w:ind w:left="40"/>
        <w:spacing w:after="0"/>
        <w:tabs>
          <w:tab w:leader="none" w:pos="8340" w:val="left"/>
          <w:tab w:leader="none" w:pos="9180" w:val="left"/>
          <w:tab w:leader="none" w:pos="9960" w:val="left"/>
          <w:tab w:leader="none" w:pos="10760" w:val="left"/>
        </w:tabs>
        <w:rPr>
          <w:sz w:val="20"/>
          <w:szCs w:val="20"/>
          <w:color w:val="auto"/>
        </w:rPr>
      </w:pPr>
      <w:r>
        <w:rPr>
          <w:rFonts w:ascii="Times New Roman" w:cs="Times New Roman" w:eastAsia="Times New Roman" w:hAnsi="Times New Roman"/>
          <w:sz w:val="16"/>
          <w:szCs w:val="16"/>
          <w:color w:val="auto"/>
        </w:rPr>
        <w:t>Cash and cash equivalents, end of period</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295,093</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192,176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54610</wp:posOffset>
            </wp:positionV>
            <wp:extent cx="1955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October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2019 and July 31, 2019, its results of operations and comprehensive income for the three months ended October 31, 2019 and 2018, and cash flows for the three months ended October 31, 2019 and 2018. The condensed consolidated balance sheet as of July 31, 2019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2017, the Financial Accounting Standards Board ("FASB") issued ASU 2017-12, "Derivatives and Hedging (Topic 815): Targeted Improvements to Accounting for Hedging Activities," which simplifies and reduces the complexity of the hedge accounting requirements and better aligns an entity's financial reporting for hedging relationships with its risk management activities. The guidance is effective for interim periods in fiscal years beginning after December 15, 2018, with early adoption permitted. The Company adopted ASU 2017-12 effective August 1, 2019, using the required modified retrospective adoption approach to apply this guidance to existing hedging relationships as of the adoption date, which did not have a material impact on its consolidated financial statements.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2017-04, "Goodwill and Other,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The Company has not adopted this guidance, which will only impact the Company's consolidated financial statements if there is a future impairment of goodwill.</w:t>
      </w:r>
    </w:p>
    <w:p>
      <w:pPr>
        <w:spacing w:after="0" w:line="1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which changes the impairment model for most financial instruments. Current guidance requires the recognition of credit losses based on an incurred loss impairment methodology that reflects losses once the losses are probable. Under ASU 2016-13, the Company will be required to use a current expected credit loss model ("CECL") that will immediately recognize an estimate of credit losses that are expected to occur over the life of the financial instruments that are in the scope of this update, including trade receivables. The CECL model uses a broader range of reasonable and supportable information in the development of credit loss estimates. This guidance becomes effective for interim periods in fiscal years beginning after December 15, 2019. The Company is currently evaluating the impact that the adoption of this ASU will have on the consolidated financial statements and related disclosures.</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("ASC 842"), which replaced the current lease accounting standards. The update requires, among other items, lessees to recognize the assets and liabilities that arise from most leases on the balance sheet and disclose key information about leasing arrangements. In July 2018, the FASB issued ASU 2018-11 "Leases (Topic 842): Targeted Improvements," which provides, among other items, an additional transition method allowing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cumulative effect adjustment to the opening balance of retained earnings during the period of adoption. ASC 842 is effective for interim periods in fiscal years beginning after December 15, 2018.</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adopted ASU 2016-02 (and related updates) effective August 1, 2019, using the optional transition method provided in ASU 2018-11 to apply this guidance to the impacted lease population at the date of initial application. Results for reporting periods beginning after August 1, 2019, are presented under ASU 2016-02, while comparative prior period amounts have not been restated and continue to be presented under accounting standards in effect during those periods.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elected the package of practical expedients permitted within the new standard, which among other things, allows the Company to carryforward the historical lease accounting of expired or existing leases with respect to lease identification, lease classification and accounting treatment for initial direct costs as of the adoption date. The Company also elected the practical expedient related to lease versus nonlease components, allowing the Company to recognize lease and nonlease components as a single lease. Lastly, the Company elected the hindsight practical expedient, allowing the Company to use hindsight in determining the lease term and assessing impairment of right-of-use assets when transitioning to ASC 842. The Company has made a policy election not to capitalize leases with an initial term of 12 months or less.</w:t>
      </w:r>
    </w:p>
    <w:p>
      <w:pPr>
        <w:spacing w:after="0" w:line="13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Upon adoption of ASC 842, the Company recorded additional operating lease assets and liabilities of $55,984 and $58,544, respectively, as of August 1, 2019, which included operating lease assets and liabilities of $9,769 and $9,674, respectively, for leases that commenced on the adoption date of August 1, 2019. No cumulative effect adjustment to retained earnings was recognized upon adoption of the new standard. Adoption of ASC 842 did not have a material impact on the Company's cash flows or operating results. Refer to Note E "Leases" for additional information and required disclosures under the new standard.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Additional Balance Sheet Information</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as of October 31, 2019, and July 31, 2019,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2019</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July 31, 2019</w:t>
            </w:r>
          </w:p>
        </w:tc>
      </w:tr>
      <w:tr>
        <w:trPr>
          <w:trHeight w:val="33"/>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Finished products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76,538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77,532</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Work-in-process</w:t>
            </w:r>
          </w:p>
        </w:tc>
        <w:tc>
          <w:tcPr>
            <w:tcW w:w="3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20,515</w:t>
            </w:r>
          </w:p>
        </w:tc>
      </w:tr>
      <w:tr>
        <w:trPr>
          <w:trHeight w:val="33"/>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21,990</w:t>
            </w:r>
          </w:p>
        </w:tc>
      </w:tr>
      <w:tr>
        <w:trPr>
          <w:trHeight w:val="21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inventories</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119,612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120,037</w:t>
            </w:r>
          </w:p>
        </w:tc>
      </w:tr>
      <w:tr>
        <w:trPr>
          <w:trHeight w:val="33"/>
        </w:trPr>
        <w:tc>
          <w:tcPr>
            <w:tcW w:w="8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7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Property, plant and equipment is presented net of accumulated depreciation in the amount of $277,055 and $273,880 as of October 31, 2019, and July 31, 2019,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Other Intangible Assets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intangible assets include customer relationships, patents, and trademarks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8"/>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6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Customer relationships and other</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46,594</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(30,634)</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15,960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46,595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(29,343)</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17,252</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Trademarks</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Pr>
          <w:p>
            <w:pPr>
              <w:spacing w:after="0"/>
              <w:rPr>
                <w:sz w:val="16"/>
                <w:szCs w:val="16"/>
                <w:color w:val="auto"/>
              </w:rPr>
            </w:pP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18,900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18,900</w:t>
            </w:r>
          </w:p>
        </w:tc>
        <w:tc>
          <w:tcPr>
            <w:tcW w:w="100" w:type="dxa"/>
            <w:vAlign w:val="bottom"/>
          </w:tcPr>
          <w:p>
            <w:pPr>
              <w:spacing w:after="0"/>
              <w:rPr>
                <w:sz w:val="16"/>
                <w:szCs w:val="16"/>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18,871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18,871</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65,494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34,860</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65,466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36,123</w:t>
            </w:r>
          </w:p>
        </w:tc>
        <w:tc>
          <w:tcPr>
            <w:tcW w:w="0" w:type="dxa"/>
            <w:vAlign w:val="bottom"/>
          </w:tcPr>
          <w:p>
            <w:pPr>
              <w:spacing w:after="0"/>
              <w:rPr>
                <w:sz w:val="1"/>
                <w:szCs w:val="1"/>
                <w:color w:val="auto"/>
              </w:rPr>
            </w:pPr>
          </w:p>
        </w:tc>
      </w:tr>
      <w:tr>
        <w:trPr>
          <w:trHeight w:val="59"/>
        </w:trPr>
        <w:tc>
          <w:tcPr>
            <w:tcW w:w="264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the gross carrying amount of other intangible assets as of October 31, 2019 compared to July 31, 2019 was due to the effects of currency fluctuations during the three-month period.</w:t>
      </w:r>
    </w:p>
    <w:p>
      <w:pPr>
        <w:sectPr>
          <w:pgSz w:w="11900" w:h="16838" w:orient="portrait"/>
          <w:cols w:equalWidth="0" w:num="1">
            <w:col w:w="11420"/>
          </w:cols>
          <w:pgMar w:left="240" w:top="118"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on intangible assets was $1,291 and $1,436 for the three months ended October 31, 2019 and 2018, respectively. Amortization expense over each of the next five fiscal years is projected to be $5,164, $5,164, $4,898, $2,025 and $0 for the fiscal years ending July 31, 2020, 2021, 2022, 2023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Leases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warehouses and office space, computer equipment, and vehicles accounted for as operating leases. Lease terms typically range from one year to fifteen years. As of October 31, 2019, the Company did not have any finance leases.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contract inception. The contract is considered to contain a lease if it provides the Company with the right to direct the use of and the right to obtain substantially all of the economic benefits from an identified asset in exchange for consideration. The Company recognizes a right-of-use (“ROU”) asset and a lease liability at the lease commencement date based on the present value of the future lease payments over the expected lease term. Additionally, the ROU asset includes any lease payments made on or before the commencement date, initial direct costs incurred, and is reduced by any lease incentives received.</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of the Company’s leases include options to extend the lease agreement. The exercise of an extension is at the Company’s sole discretion. The majority of renewal options are not included in the calculation of ROU assets and liabilities as they are not reasonably certain to be exercised. Some of the Company's lease agreements include rental payments that are adjusted periodically for inflation or the change in an index or rate, which are considered to be variable lease payments. Due to the nature of the Company’s variable lease payments, they are generally excluded from the initial measurement of the ROU asset and lease liability and are recognized in the period in which the obligation for those payments is incurred. The Company has lease agreements that include both lease and non-lease components, which the Company has elected to account for as a single lease component. The Company's lease agreements do not contain any material residual value guarantees or material restrictive covenants.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Generally, the discount rate implicit within the Company’s leases cannot be readily determined, and therefore the Company uses its incremental borrowing rate to determine the present value of the future lease payments. The incremental borrowing rate is estimated based on the sovereign credit rating for the countries in which the Company has its largest operations, adjusted for several factors, such as internal credit spread, lease terms and other market information available at the lease commencement date.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Operating leases are reflected in “Operating lease assets,” “Current operating lease liabilities,” and “Long-term operating lease liabilities” on the Company's condensed consolidated balance sheets.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Short-term lease expense, variable lease expenses, and sublease income was immaterial to the condensed consolidated statements of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lease expense recognized for the three months ended October 31,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70"/>
        </w:trPr>
        <w:tc>
          <w:tcPr>
            <w:tcW w:w="2420" w:type="dxa"/>
            <w:vAlign w:val="bottom"/>
          </w:tcPr>
          <w:p>
            <w:pPr>
              <w:spacing w:after="0"/>
              <w:rPr>
                <w:sz w:val="23"/>
                <w:szCs w:val="23"/>
                <w:color w:val="auto"/>
              </w:rPr>
            </w:pPr>
          </w:p>
        </w:tc>
        <w:tc>
          <w:tcPr>
            <w:tcW w:w="6840" w:type="dxa"/>
            <w:vAlign w:val="bottom"/>
            <w:gridSpan w:val="2"/>
          </w:tcPr>
          <w:p>
            <w:pPr>
              <w:ind w:left="14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 Location</w:t>
            </w:r>
          </w:p>
        </w:tc>
        <w:tc>
          <w:tcPr>
            <w:tcW w:w="240" w:type="dxa"/>
            <w:vAlign w:val="bottom"/>
          </w:tcPr>
          <w:p>
            <w:pPr>
              <w:spacing w:after="0"/>
              <w:rPr>
                <w:sz w:val="23"/>
                <w:szCs w:val="23"/>
                <w:color w:val="auto"/>
              </w:rPr>
            </w:pPr>
          </w:p>
        </w:tc>
        <w:tc>
          <w:tcPr>
            <w:tcW w:w="19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October 31, 2019</w:t>
            </w:r>
          </w:p>
        </w:tc>
      </w:tr>
      <w:tr>
        <w:trPr>
          <w:trHeight w:val="33"/>
        </w:trPr>
        <w:tc>
          <w:tcPr>
            <w:tcW w:w="2420" w:type="dxa"/>
            <w:vAlign w:val="bottom"/>
            <w:tcBorders>
              <w:bottom w:val="single" w:sz="8" w:color="CCEEFF"/>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cost</w:t>
            </w:r>
          </w:p>
        </w:tc>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4,095</w:t>
            </w: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cost</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1,310</w:t>
            </w:r>
          </w:p>
        </w:tc>
      </w:tr>
    </w:tbl>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maturity of the Company's lease liabilities as of October 31, 2019:</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280" w:type="dxa"/>
            <w:vAlign w:val="bottom"/>
          </w:tcPr>
          <w:p>
            <w:pPr>
              <w:spacing w:after="0"/>
              <w:rPr>
                <w:sz w:val="18"/>
                <w:szCs w:val="18"/>
                <w:color w:val="auto"/>
              </w:rPr>
            </w:pPr>
          </w:p>
        </w:tc>
        <w:tc>
          <w:tcPr>
            <w:tcW w:w="18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3"/>
        </w:trPr>
        <w:tc>
          <w:tcPr>
            <w:tcW w:w="9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12,556</w:t>
            </w:r>
          </w:p>
        </w:tc>
      </w:tr>
      <w:tr>
        <w:trPr>
          <w:trHeight w:val="224"/>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80" w:type="dxa"/>
            <w:vAlign w:val="bottom"/>
          </w:tcPr>
          <w:p>
            <w:pPr>
              <w:spacing w:after="0"/>
              <w:rPr>
                <w:sz w:val="19"/>
                <w:szCs w:val="19"/>
                <w:color w:val="auto"/>
              </w:rPr>
            </w:pP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15,599</w:t>
            </w:r>
          </w:p>
        </w:tc>
      </w:tr>
      <w:tr>
        <w:trPr>
          <w:trHeight w:val="33"/>
        </w:trPr>
        <w:tc>
          <w:tcPr>
            <w:tcW w:w="9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12,647</w:t>
            </w:r>
          </w:p>
        </w:tc>
      </w:tr>
      <w:tr>
        <w:trPr>
          <w:trHeight w:val="224"/>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Pr>
          <w:p>
            <w:pPr>
              <w:spacing w:after="0"/>
              <w:rPr>
                <w:sz w:val="19"/>
                <w:szCs w:val="19"/>
                <w:color w:val="auto"/>
              </w:rPr>
            </w:pP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9,265</w:t>
            </w:r>
          </w:p>
        </w:tc>
      </w:tr>
      <w:tr>
        <w:trPr>
          <w:trHeight w:val="33"/>
        </w:trPr>
        <w:tc>
          <w:tcPr>
            <w:tcW w:w="9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5,502</w:t>
            </w:r>
          </w:p>
        </w:tc>
      </w:tr>
      <w:tr>
        <w:trPr>
          <w:trHeight w:val="224"/>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Pr>
          <w:p>
            <w:pPr>
              <w:spacing w:after="0"/>
              <w:rPr>
                <w:sz w:val="19"/>
                <w:szCs w:val="19"/>
                <w:color w:val="auto"/>
              </w:rPr>
            </w:pP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3,181</w:t>
            </w:r>
          </w:p>
        </w:tc>
      </w:tr>
      <w:tr>
        <w:trPr>
          <w:trHeight w:val="33"/>
        </w:trPr>
        <w:tc>
          <w:tcPr>
            <w:tcW w:w="9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58,750</w:t>
            </w:r>
          </w:p>
        </w:tc>
      </w:tr>
      <w:tr>
        <w:trPr>
          <w:trHeight w:val="224"/>
        </w:trPr>
        <w:tc>
          <w:tcPr>
            <w:tcW w:w="9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Less interest</w:t>
            </w: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w:t>
            </w:r>
          </w:p>
        </w:tc>
      </w:tr>
      <w:tr>
        <w:trPr>
          <w:trHeight w:val="33"/>
        </w:trPr>
        <w:tc>
          <w:tcPr>
            <w:tcW w:w="9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5"/>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54,981</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the Company's operating leases as of October 31, 2019 was as follows: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160" w:type="dxa"/>
            <w:vAlign w:val="bottom"/>
          </w:tcPr>
          <w:p>
            <w:pPr>
              <w:spacing w:after="0"/>
              <w:rPr>
                <w:sz w:val="18"/>
                <w:szCs w:val="18"/>
                <w:color w:val="auto"/>
              </w:rPr>
            </w:pPr>
          </w:p>
        </w:tc>
        <w:tc>
          <w:tcPr>
            <w:tcW w:w="220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October 31, 2019</w:t>
            </w:r>
          </w:p>
        </w:tc>
      </w:tr>
      <w:tr>
        <w:trPr>
          <w:trHeight w:val="33"/>
        </w:trPr>
        <w:tc>
          <w:tcPr>
            <w:tcW w:w="916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2200" w:type="dxa"/>
            <w:vAlign w:val="bottom"/>
            <w:tcBorders>
              <w:bottom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6"/>
                <w:szCs w:val="16"/>
                <w:color w:val="auto"/>
              </w:rPr>
              <w:t>4.1</w:t>
            </w:r>
          </w:p>
        </w:tc>
      </w:tr>
      <w:tr>
        <w:trPr>
          <w:trHeight w:val="224"/>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20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3.4%</w:t>
            </w:r>
          </w:p>
        </w:tc>
      </w:tr>
    </w:tbl>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three months ended October 31, 2019,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70"/>
        </w:trPr>
        <w:tc>
          <w:tcPr>
            <w:tcW w:w="9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October 31, 2019</w:t>
            </w:r>
          </w:p>
        </w:tc>
      </w:tr>
      <w:tr>
        <w:trPr>
          <w:trHeight w:val="33"/>
        </w:trPr>
        <w:tc>
          <w:tcPr>
            <w:tcW w:w="9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9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4,010</w:t>
            </w:r>
          </w:p>
        </w:tc>
      </w:tr>
      <w:tr>
        <w:trPr>
          <w:trHeight w:val="224"/>
        </w:trPr>
        <w:tc>
          <w:tcPr>
            <w:tcW w:w="9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assets obtained in exchange for new operating lease liabilities</w:t>
            </w:r>
          </w:p>
        </w:tc>
        <w:tc>
          <w:tcPr>
            <w:tcW w:w="24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9,952</w:t>
            </w:r>
          </w:p>
        </w:tc>
      </w:tr>
    </w:tbl>
    <w:p>
      <w:pPr>
        <w:spacing w:after="0" w:line="200" w:lineRule="exact"/>
        <w:rPr>
          <w:sz w:val="20"/>
          <w:szCs w:val="20"/>
          <w:color w:val="auto"/>
        </w:rPr>
      </w:pPr>
    </w:p>
    <w:p>
      <w:pPr>
        <w:spacing w:after="0" w:line="27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Operating lease assets obtained in exchange for new operating lease liabilities include $9,769 of operating lease assets related to leases that commenced on August 1, 2019, which were included in the adoption impact of the new lease accounting standard.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future minimum lease payments under operating leases as of July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Pr>
          <w:p>
            <w:pPr>
              <w:spacing w:after="0"/>
              <w:rPr>
                <w:sz w:val="18"/>
                <w:szCs w:val="18"/>
                <w:color w:val="auto"/>
              </w:rPr>
            </w:pPr>
          </w:p>
        </w:tc>
        <w:tc>
          <w:tcPr>
            <w:tcW w:w="18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3"/>
        </w:trPr>
        <w:tc>
          <w:tcPr>
            <w:tcW w:w="9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9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18,450</w:t>
            </w:r>
          </w:p>
        </w:tc>
      </w:tr>
      <w:tr>
        <w:trPr>
          <w:trHeight w:val="224"/>
        </w:trPr>
        <w:tc>
          <w:tcPr>
            <w:tcW w:w="9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16,132</w:t>
            </w:r>
          </w:p>
        </w:tc>
      </w:tr>
      <w:tr>
        <w:trPr>
          <w:trHeight w:val="33"/>
        </w:trPr>
        <w:tc>
          <w:tcPr>
            <w:tcW w:w="9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13,439</w:t>
            </w:r>
          </w:p>
        </w:tc>
      </w:tr>
      <w:tr>
        <w:trPr>
          <w:trHeight w:val="224"/>
        </w:trPr>
        <w:tc>
          <w:tcPr>
            <w:tcW w:w="9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10,065</w:t>
            </w:r>
          </w:p>
        </w:tc>
      </w:tr>
      <w:tr>
        <w:trPr>
          <w:trHeight w:val="33"/>
        </w:trPr>
        <w:tc>
          <w:tcPr>
            <w:tcW w:w="9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5,656</w:t>
            </w:r>
          </w:p>
        </w:tc>
      </w:tr>
      <w:tr>
        <w:trPr>
          <w:trHeight w:val="224"/>
        </w:trPr>
        <w:tc>
          <w:tcPr>
            <w:tcW w:w="9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30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3,502</w:t>
            </w:r>
          </w:p>
        </w:tc>
      </w:tr>
      <w:tr>
        <w:trPr>
          <w:trHeight w:val="33"/>
        </w:trPr>
        <w:tc>
          <w:tcPr>
            <w:tcW w:w="9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5"/>
        </w:trPr>
        <w:tc>
          <w:tcPr>
            <w:tcW w:w="9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lease payments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67,244</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Stockholders' Equity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stockholders' equity for the three months ended October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July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329,969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637,843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850,774</w:t>
            </w:r>
          </w:p>
        </w:tc>
        <w:tc>
          <w:tcPr>
            <w:tcW w:w="0" w:type="dxa"/>
            <w:vAlign w:val="bottom"/>
          </w:tcPr>
          <w:p>
            <w:pPr>
              <w:spacing w:after="0"/>
              <w:rPr>
                <w:sz w:val="1"/>
                <w:szCs w:val="1"/>
                <w:color w:val="auto"/>
              </w:rPr>
            </w:pPr>
          </w:p>
        </w:tc>
      </w:tr>
      <w:tr>
        <w:trPr>
          <w:trHeight w:val="21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37,498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37,498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6"/>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plan</w:t>
            </w: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02"/>
        </w:trPr>
        <w:tc>
          <w:tcPr>
            <w:tcW w:w="39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6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90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shares of Class A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$0.22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(10,822)</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$0.20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October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327,241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663,808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876,535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stockholders' equity for the three months ended October 31,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553,454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752,112</w:t>
            </w:r>
          </w:p>
        </w:tc>
        <w:tc>
          <w:tcPr>
            <w:tcW w:w="0" w:type="dxa"/>
            <w:vAlign w:val="bottom"/>
          </w:tcPr>
          <w:p>
            <w:pPr>
              <w:spacing w:after="0"/>
              <w:rPr>
                <w:sz w:val="1"/>
                <w:szCs w:val="1"/>
                <w:color w:val="auto"/>
              </w:rPr>
            </w:pPr>
          </w:p>
        </w:tc>
      </w:tr>
      <w:tr>
        <w:trPr>
          <w:trHeight w:val="21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30,637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30,637</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0" w:type="dxa"/>
            <w:vAlign w:val="bottom"/>
          </w:tcPr>
          <w:p>
            <w:pPr>
              <w:spacing w:after="0"/>
              <w:rPr>
                <w:sz w:val="1"/>
                <w:szCs w:val="1"/>
                <w:color w:val="auto"/>
              </w:rPr>
            </w:pPr>
          </w:p>
        </w:tc>
      </w:tr>
      <w:tr>
        <w:trPr>
          <w:trHeight w:val="216"/>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plan</w:t>
            </w: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10,064</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02"/>
        </w:trPr>
        <w:tc>
          <w:tcPr>
            <w:tcW w:w="39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6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90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shares of Class A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Cumulative adjustment for ASU 2014-09, net of tax</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$0.21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$0.20 per share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October 31, 2018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326,182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570,858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(66,231)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772,943</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Plans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 The majority of the Company’s annual share-based awards are granted in the first quarter of the fiscal year.</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recognized by the Company during the three months ended October 31, 2019 and 2018, was $3,618 ($3,089 net of taxes) and $4,965 ($4,319 net of taxes), respectively. As of October 31, 2019, total unrecognized compensation cost related to share-based awards was $15,461 pre-tax, net of estimated forfeitures, which the Company expects to recognize over a weighted-average period of 2.3 years.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stock options issued under the plan have an exercise price equal to the fair market value of the underlying stock at the date of grant and generally vest ratably over a three-year service period, with one-third becoming exercisable one year after the grant date and one-third additional in each of the succeeding two years. Options issued under the plan, referred to herein as “time-based” stock options, generally expire 10 years from the date of grant.</w:t>
      </w:r>
    </w:p>
    <w:p>
      <w:pPr>
        <w:spacing w:after="0" w:line="122"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7"/>
          <w:szCs w:val="17"/>
          <w:color w:val="auto"/>
        </w:rPr>
        <w:t>The Company has estimated the fair value of its time-based stock option awards granted during the three months ended October 31, 2019 and 2018, using the Black-Scholes option valuation model. The weighted-average assumptions used in the Black-Scholes valuation model are reflected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33"/>
        </w:trPr>
        <w:tc>
          <w:tcPr>
            <w:tcW w:w="7320" w:type="dxa"/>
            <w:vAlign w:val="bottom"/>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Black-Scholes Option Valuation Assumptions</w:t>
            </w:r>
          </w:p>
        </w:tc>
        <w:tc>
          <w:tcPr>
            <w:tcW w:w="46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term (in years)</w:t>
            </w: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6.20</w:t>
            </w:r>
          </w:p>
        </w:tc>
      </w:tr>
      <w:tr>
        <w:trPr>
          <w:trHeight w:val="237"/>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Expected volatility</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r>
      <w:tr>
        <w:trPr>
          <w:trHeight w:val="33"/>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dividend yield</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37"/>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33"/>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market value of underlying stock at grant date</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43.96</w:t>
            </w:r>
          </w:p>
        </w:tc>
      </w:tr>
      <w:tr>
        <w:trPr>
          <w:trHeight w:val="237"/>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Weighted-average exercise price</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54.05</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43.96</w:t>
            </w:r>
          </w:p>
        </w:tc>
      </w:tr>
      <w:tr>
        <w:trPr>
          <w:trHeight w:val="33"/>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fair value of options granted during the period</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10.63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9.70</w:t>
            </w:r>
          </w:p>
        </w:tc>
      </w:tr>
      <w:tr>
        <w:trPr>
          <w:trHeight w:val="33"/>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three months ended October 31, 2019:</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2"/>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Time-Based Options</w:t>
            </w: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33"/>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July 31, 2019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1,594,716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grants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54.05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Forfeited or expired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40.25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October 31, 2019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1,458,094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28,976</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October 31, 2019</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gridSpan w:val="2"/>
            <w:vMerge w:val="continue"/>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933,905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30.59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24,192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fair value of stock options vested during the three months ended October 31, 2019 and 2018, was $2,537 and $2,798, respectively. The total intrinsic value of stock options exercised during the three months ended October 31, 2019 and 2018, based upon the average market price at the time of exercise during the period, was $10,225 and $9,423,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cash received from the exercise of stock options during the three months ended October 31, 2019 and 2018, was $3,411 and $13,001,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benefit from the exercise of stock options during the three months ended October 31, 2019 and 2018, was $2,541 and $2,356, respectively.</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issues "time-based" and "performance-based" RSUs under the incentive stock plan. The time-based RSUs issued under the plan generally vest ratably over a three-year period and have a grant date fair value equal to the fair market value of the underlying stock at the date of grant. The performance-based RSUs issued under the plan vest at the end of a three-year service period provided specified financial performance metrics are met. The fair value of performance-based RSUs was determined by a third-party valuation involving the use of a Monte Carlo simulation.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RSU activity for the three months ended October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03"/>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Time-Based RSUs</w:t>
            </w:r>
          </w:p>
        </w:tc>
        <w:tc>
          <w:tcPr>
            <w:tcW w:w="17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July 31,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188,638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38.15</w:t>
            </w:r>
          </w:p>
        </w:tc>
      </w:tr>
      <w:tr>
        <w:trPr>
          <w:trHeight w:val="224"/>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New grants</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69,328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54.10</w:t>
            </w:r>
          </w:p>
        </w:tc>
      </w:tr>
      <w:tr>
        <w:trPr>
          <w:trHeight w:val="47"/>
        </w:trPr>
        <w:tc>
          <w:tcPr>
            <w:tcW w:w="7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Vested</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36.00</w:t>
            </w:r>
          </w:p>
        </w:tc>
      </w:tr>
      <w:tr>
        <w:trPr>
          <w:trHeight w:val="224"/>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40.43</w:t>
            </w:r>
          </w:p>
        </w:tc>
      </w:tr>
      <w:tr>
        <w:trPr>
          <w:trHeight w:val="47"/>
        </w:trPr>
        <w:tc>
          <w:tcPr>
            <w:tcW w:w="77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r>
      <w:tr>
        <w:trPr>
          <w:trHeight w:val="255"/>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October 31,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344,514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3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time-based RSUs granted during the three months ended October 31, 2018, had a weighted-average grant date fair value of $33.16. The total fair value of time-based RSUs vested during the three months ended October 31, 2019 and 2018, was $4,615 and $4,795, respectively.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03"/>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Performance-Based RSUs</w:t>
            </w:r>
          </w:p>
        </w:tc>
        <w:tc>
          <w:tcPr>
            <w:tcW w:w="17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July 31,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158,410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38.33</w:t>
            </w:r>
          </w:p>
        </w:tc>
      </w:tr>
      <w:tr>
        <w:trPr>
          <w:trHeight w:val="224"/>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New grants</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75.00</w:t>
            </w:r>
          </w:p>
        </w:tc>
      </w:tr>
      <w:tr>
        <w:trPr>
          <w:trHeight w:val="47"/>
        </w:trPr>
        <w:tc>
          <w:tcPr>
            <w:tcW w:w="7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32.03</w:t>
            </w:r>
          </w:p>
        </w:tc>
      </w:tr>
      <w:tr>
        <w:trPr>
          <w:trHeight w:val="217"/>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Outstanding at October 31, 2019</w:t>
            </w: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109,428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50.79</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performance-based RSUs granted during the three months ended October 31, 2018, had a weighted-average grant date fair value of $50.70. The aggregate intrinsic value of unvested time-based and performance-based RSUs outstanding at October 31, 2019 and expected to vest was $24,748.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Accumulated Other Comprehensive Loss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unrealized gains and losses from cash flow hedges and net investment hedges, and the unamortized gain on post-retirement plans, net of their related tax effects.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three months ended October 31,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on</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 other</w:t>
            </w:r>
          </w:p>
        </w:tc>
      </w:tr>
      <w:tr>
        <w:trPr>
          <w:trHeight w:val="212"/>
        </w:trPr>
        <w:tc>
          <w:tcPr>
            <w:tcW w:w="56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July 31, 2019</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before reclassification</w:t>
            </w:r>
          </w:p>
        </w:tc>
        <w:tc>
          <w:tcPr>
            <w:tcW w:w="3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362</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r>
      <w:tr>
        <w:trPr>
          <w:trHeight w:val="244"/>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October 31, 2019</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(74,535)</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(71,283)</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change in the accumulated other comprehensive loss as of October 31, 2019, compared to July 31, 2019, was negligible primarily due to the stability of the U.S. dollar against certain other currencies. The foreign currency translation adjustments column in the table above includes the impact of foreign currency translation, foreign currency translation on intercompany notes, and the settlements of net investment hedges, net of tax. Of the total $391 in amounts reclassified from accumulated other comprehensive loss, the $286 gain on cash flow hedges was reclassified into cost of goods sold and the $105 gain on post-retirement plans was reclassified into selling, general and administrative expenses ("SG&amp;A") on the condensed consolidated statements of income for the three months ended October 31, 2019.</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three months ended October 31, 2018,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 other</w:t>
            </w:r>
          </w:p>
        </w:tc>
      </w:tr>
      <w:tr>
        <w:trPr>
          <w:trHeight w:val="212"/>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r>
      <w:tr>
        <w:trPr>
          <w:trHeight w:val="33"/>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July 31, 2018</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(56,401)</w:t>
            </w: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before reclassification</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(9,640)</w:t>
            </w:r>
          </w:p>
        </w:tc>
      </w:tr>
      <w:tr>
        <w:trPr>
          <w:trHeight w:val="33"/>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44"/>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October 31, 2018</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3,147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(69,715)</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(66,231)</w:t>
            </w: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October 31, 2018, compared to July 31, 2018, was primarily due to the appreciation of the U.S. dollar against certain other currencies. The foreign currency translation adjustments column in the table above includes the impact of foreign currency translation, foreign currency translation on intercompany notes, and the settlements of net investment hedges, net of tax. Of the total $190 in amounts reclassified from accumulated other comprehensive loss, the $35 gain on cash flow hedges was reclassified into cost of goods sold and the $155 gain on post-retirement plans was reclassified into SG&amp;A on the condensed consolidated statements of income for the three months ended October 31, 2018.</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income tax expense on the components of other comprehensive loss for the three months ended October 31, 2019 and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080" w:type="dxa"/>
            <w:vAlign w:val="bottom"/>
            <w:gridSpan w:val="5"/>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33"/>
        </w:trPr>
        <w:tc>
          <w:tcPr>
            <w:tcW w:w="8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flow hedges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income tax adjustments and currency translation</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4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Revenue Recognition</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and workplace safety products that are shipped and billed to customers. All revenue is from contracts</w:t>
      </w:r>
    </w:p>
    <w:p>
      <w:pPr>
        <w:sectPr>
          <w:pgSz w:w="11900" w:h="16838" w:orient="portrait"/>
          <w:cols w:equalWidth="0" w:num="1">
            <w:col w:w="11420"/>
          </w:cols>
          <w:pgMar w:left="240" w:top="118"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customers and is included in “Net sales” on the condensed consolidated statements of income. See Note I “Segment Information” for the Company’s disaggregated revenue disclosure.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consist of purchase orders, which in some cases are governed by master supply or distributor agreements. The majority of the Company's revenue is earned and recognized at a point in time through ship-and-bill performance obligations where the customer typically obtains control of the product upon shipment or delivery, depending on freight terms.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At the time of sale, the extended warranty transaction price is recorded as deferred revenue and is recognized on a straight-line basis over the life of the service warranty period.</w:t>
      </w:r>
    </w:p>
    <w:p>
      <w:pPr>
        <w:spacing w:after="0" w:line="12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balance of contract liabilities associated with service warranty performance obligations was $2,802 and $2,782 as of October 31, 2019 and July 31, 2019, respectively. This also represents the amount of unsatisfied performance obligations related to contracts that extend beyond one year. The current portion and non-current portion of contract liabilities are included in “Other current liabilities” and “Other liabilities," respectively, on the condensed consolidated balance sheets. The Company recognized revenue of $315 and $308 during the three months ended October 31, 2019 and 2018, respectively, that was included in the contract liability balance at the beginning of the respective period from the amortization of extended service warranties. Of the contract liability balance outstanding at October 31, 2019, the Company expects to recognize 29% by the end of fiscal 2020, an additional 27% by the end of fiscal 2021, and the remaining balance thereafter.</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the exception of the performance obligations related to the extended service warranties, the Company's contracts have an original expected duration of one year or less. As a result, the Company has elected to use the practical expedient to not disclose its remaining performance obligations for contracts that have an original expected length of one year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Segment Information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organized and managed on a global basis within three operating segments, Identification Solutions, Workplace Safety, and People Identification ("PDC"), which aggregate into two reportable segments that are organized around businesses with consistent products and services: IDS and WPS. The Identification Solutions and PDC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(expense), income taxes, and certain corporate administrative expenses are excluded when evaluating segment performance. The following is a summary of net sales by segment and geographic region for the three months ended October 31, 2019 and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ID Solutions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149,363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145,791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43,381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48,828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Asia</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23,481</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214,987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218,100</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Workplace Safety</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24,303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36,026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37,655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12,690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71,960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75,096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Total Company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173,666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170,542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79,407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86,483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Asia-Pacific</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36,171</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286,947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293,196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Segment profit for the three months ended October 31, 2019 and 2018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080" w:type="dxa"/>
            <w:vAlign w:val="bottom"/>
            <w:gridSpan w:val="5"/>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profit:</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42,443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41,562</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5,541</w:t>
            </w: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47,600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47,103</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segment profit to income before income taxes for the three months ended October 31, 2019 and 2018:</w:t>
      </w:r>
    </w:p>
    <w:p>
      <w:pPr>
        <w:spacing w:after="0" w:line="187"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38735</wp:posOffset>
            </wp:positionV>
            <wp:extent cx="1955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profit from reportable segments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Unallocated amounts:</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Administrative costs</w:t>
      </w:r>
    </w:p>
    <w:p>
      <w:pPr>
        <w:spacing w:after="0" w:line="86" w:lineRule="exact"/>
        <w:rPr>
          <w:sz w:val="20"/>
          <w:szCs w:val="20"/>
          <w:color w:val="auto"/>
        </w:rPr>
      </w:pPr>
    </w:p>
    <w:p>
      <w:pPr>
        <w:jc w:val="right"/>
        <w:ind w:right="4700"/>
        <w:spacing w:after="0"/>
        <w:rPr>
          <w:sz w:val="20"/>
          <w:szCs w:val="20"/>
          <w:color w:val="auto"/>
        </w:rPr>
      </w:pPr>
      <w:r>
        <w:rPr>
          <w:rFonts w:ascii="Times New Roman" w:cs="Times New Roman" w:eastAsia="Times New Roman" w:hAnsi="Times New Roman"/>
          <w:sz w:val="16"/>
          <w:szCs w:val="16"/>
          <w:color w:val="auto"/>
        </w:rPr>
        <w:t>Investment and other income (expense)</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560"/>
        <w:spacing w:after="0"/>
        <w:tabs>
          <w:tab w:leader="none" w:pos="214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38735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spacing w:after="0"/>
        <w:tabs>
          <w:tab w:leader="none" w:pos="900" w:val="left"/>
          <w:tab w:leader="none" w:pos="1600" w:val="left"/>
          <w:tab w:leader="none" w:pos="24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47,600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47,103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209550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jc w:val="both"/>
        <w:ind w:left="940"/>
        <w:spacing w:after="0"/>
        <w:tabs>
          <w:tab w:leader="none" w:pos="2520" w:val="left"/>
        </w:tabs>
        <w:rPr>
          <w:sz w:val="20"/>
          <w:szCs w:val="20"/>
          <w:color w:val="auto"/>
        </w:rPr>
      </w:pPr>
      <w:r>
        <w:rPr>
          <w:rFonts w:ascii="Times New Roman" w:cs="Times New Roman" w:eastAsia="Times New Roman" w:hAnsi="Times New Roman"/>
          <w:sz w:val="16"/>
          <w:szCs w:val="16"/>
          <w:color w:val="auto"/>
        </w:rPr>
        <w:t>(6,709)</w:t>
      </w:r>
      <w:r>
        <w:rPr>
          <w:sz w:val="20"/>
          <w:szCs w:val="20"/>
          <w:color w:val="auto"/>
        </w:rPr>
        <w:tab/>
      </w:r>
      <w:r>
        <w:rPr>
          <w:rFonts w:ascii="Times New Roman" w:cs="Times New Roman" w:eastAsia="Times New Roman" w:hAnsi="Times New Roman"/>
          <w:sz w:val="16"/>
          <w:szCs w:val="16"/>
          <w:color w:val="auto"/>
        </w:rPr>
        <w:t>(6,481)</w:t>
      </w:r>
    </w:p>
    <w:p>
      <w:pPr>
        <w:spacing w:after="0" w:line="86" w:lineRule="exact"/>
        <w:rPr>
          <w:sz w:val="20"/>
          <w:szCs w:val="20"/>
          <w:color w:val="auto"/>
        </w:rPr>
      </w:pPr>
    </w:p>
    <w:p>
      <w:pPr>
        <w:jc w:val="both"/>
        <w:ind w:left="1000"/>
        <w:spacing w:after="0"/>
        <w:tabs>
          <w:tab w:leader="none" w:pos="2720" w:val="left"/>
        </w:tabs>
        <w:rPr>
          <w:sz w:val="20"/>
          <w:szCs w:val="20"/>
          <w:color w:val="auto"/>
        </w:rPr>
      </w:pPr>
      <w:r>
        <w:rPr>
          <w:rFonts w:ascii="Times New Roman" w:cs="Times New Roman" w:eastAsia="Times New Roman" w:hAnsi="Times New Roman"/>
          <w:sz w:val="16"/>
          <w:szCs w:val="16"/>
          <w:color w:val="auto"/>
        </w:rPr>
        <w:t>1,380</w:t>
      </w:r>
      <w:r>
        <w:rPr>
          <w:sz w:val="20"/>
          <w:szCs w:val="20"/>
          <w:color w:val="auto"/>
        </w:rPr>
        <w:tab/>
      </w: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37465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660" w:hanging="1599"/>
        <w:spacing w:after="0"/>
        <w:tabs>
          <w:tab w:leader="none" w:pos="26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45085</wp:posOffset>
            </wp:positionV>
            <wp:extent cx="1955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8" w:lineRule="exact"/>
        <w:rPr>
          <w:sz w:val="20"/>
          <w:szCs w:val="20"/>
          <w:color w:val="auto"/>
        </w:rPr>
      </w:pPr>
    </w:p>
    <w:p>
      <w:pPr>
        <w:spacing w:after="0"/>
        <w:tabs>
          <w:tab w:leader="none" w:pos="900" w:val="left"/>
          <w:tab w:leader="none" w:pos="1600" w:val="left"/>
          <w:tab w:leader="none" w:pos="24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41,570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39,893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37465</wp:posOffset>
            </wp:positionV>
            <wp:extent cx="19551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3060"/>
          </w:cols>
          <w:pgMar w:left="240" w:top="118" w:right="2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Net Income per Common Share</w:t>
      </w:r>
    </w:p>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080" w:type="dxa"/>
            <w:vAlign w:val="bottom"/>
            <w:gridSpan w:val="5"/>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(Numerator for basic and diluted income per Class A Nonvoting Common Share)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37,498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30,637</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Preferential dividends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Numerator for basic and diluted income per Class B Voting Common Share</w:t>
            </w: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36,660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29,809</w:t>
            </w: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53,143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52,201</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757</w:t>
            </w: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53,736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52,958</w:t>
            </w: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0.59</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0.57</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0.56</w:t>
            </w:r>
          </w:p>
        </w:tc>
      </w:tr>
    </w:tbl>
    <w:p>
      <w:pPr>
        <w:spacing w:after="0" w:line="3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Stock-based awards to purchase 323,719 and 679,902 shares of Class A Nonvoting Common Stock for the three months ended October 31, 2019 and 2018, respectively, were not included in the computation of diluted net income per share because the grant price was greater than the average market price of the common shares and, therefore, the effect would have been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Fair Value Measurements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ectPr>
          <w:pgSz w:w="11900" w:h="16838" w:orient="portrait"/>
          <w:cols w:equalWidth="0" w:num="1">
            <w:col w:w="11420"/>
          </w:cols>
          <w:pgMar w:left="240" w:top="118" w:right="239" w:bottom="1440" w:gutter="0" w:footer="0" w:header="0"/>
          <w:type w:val="continuous"/>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at October 31, 2019 and July 31,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October 31, 2019</w:t>
            </w: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31, 2019</w:t>
            </w:r>
          </w:p>
        </w:tc>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 Hierarchy</w:t>
            </w:r>
          </w:p>
        </w:tc>
      </w:tr>
      <w:tr>
        <w:trPr>
          <w:trHeight w:val="33"/>
        </w:trPr>
        <w:tc>
          <w:tcPr>
            <w:tcW w:w="6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4"/>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60"/>
        </w:trPr>
        <w:tc>
          <w:tcPr>
            <w:tcW w:w="60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r>
      <w:tr>
        <w:trPr>
          <w:trHeight w:val="237"/>
        </w:trPr>
        <w:tc>
          <w:tcPr>
            <w:tcW w:w="6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Trading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15,212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15,744</w:t>
            </w:r>
          </w:p>
        </w:tc>
        <w:tc>
          <w:tcPr>
            <w:tcW w:w="120" w:type="dxa"/>
            <w:vAlign w:val="bottom"/>
          </w:tcPr>
          <w:p>
            <w:pPr>
              <w:spacing w:after="0"/>
              <w:rPr>
                <w:sz w:val="20"/>
                <w:szCs w:val="20"/>
                <w:color w:val="auto"/>
              </w:rPr>
            </w:pPr>
          </w:p>
        </w:tc>
        <w:tc>
          <w:tcPr>
            <w:tcW w:w="1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Level 1</w:t>
            </w:r>
          </w:p>
        </w:tc>
      </w:tr>
      <w:tr>
        <w:trPr>
          <w:trHeight w:val="33"/>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Level 2</w:t>
            </w:r>
          </w:p>
        </w:tc>
      </w:tr>
      <w:tr>
        <w:trPr>
          <w:trHeight w:val="224"/>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37"/>
        </w:trPr>
        <w:tc>
          <w:tcPr>
            <w:tcW w:w="6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Level 2</w:t>
            </w:r>
          </w:p>
        </w:tc>
      </w:tr>
      <w:tr>
        <w:trPr>
          <w:trHeight w:val="33"/>
        </w:trPr>
        <w:tc>
          <w:tcPr>
            <w:tcW w:w="6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8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Trading securities: </w:t>
      </w:r>
      <w:r>
        <w:rPr>
          <w:rFonts w:ascii="Times New Roman" w:cs="Times New Roman" w:eastAsia="Times New Roman" w:hAnsi="Times New Roman"/>
          <w:sz w:val="18"/>
          <w:szCs w:val="18"/>
          <w:color w:val="auto"/>
        </w:rPr>
        <w:t>The Company’s deferred compensation investments consist of investments in mutual funds, which are included in "Other assets"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condensed consolidated balance sheets. These investments were classified as Level 1 as the shares of these investments trade with sufficient frequency and volume to enable us to obtain pricing information on an ongoing basis.</w:t>
      </w:r>
    </w:p>
    <w:p>
      <w:pPr>
        <w:spacing w:after="0" w:line="12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cash flows using external models that use observable inputs, such as interest rates, yield curves and foreign exchange rates. See Note L, “Derivatives and Hedging Activities,” for additional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transfers between fair value hierarchy levels during the three months ended October 31, 2019.</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accounts payable, and other liabilities approximated carrying values due to their short-term nature.</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 of the Company’s long-term debt obligations, including current maturities, at October 31, 2019 and July 31, 2019, which was based on the quoted market prices for similar issues and on the current rates offered for debt of similar maturities.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October 31, 2019</w:t>
            </w:r>
          </w:p>
        </w:tc>
        <w:tc>
          <w:tcPr>
            <w:tcW w:w="18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July 31, 2019</w:t>
            </w:r>
          </w:p>
        </w:tc>
        <w:tc>
          <w:tcPr>
            <w:tcW w:w="11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420" w:type="dxa"/>
            <w:vAlign w:val="bottom"/>
          </w:tcPr>
          <w:p>
            <w:pPr>
              <w:spacing w:after="0"/>
              <w:rPr>
                <w:sz w:val="20"/>
                <w:szCs w:val="20"/>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3"/>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maturities on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50,144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50,166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51,566</w:t>
            </w:r>
          </w:p>
        </w:tc>
      </w:tr>
      <w:tr>
        <w:trPr>
          <w:trHeight w:val="33"/>
        </w:trPr>
        <w:tc>
          <w:tcPr>
            <w:tcW w:w="4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Derivatives and Hedging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hedges a portion of known exposures using forward exchange contracts. Main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31, 2019</w:t>
            </w:r>
          </w:p>
        </w:tc>
        <w:tc>
          <w:tcPr>
            <w:tcW w:w="280" w:type="dxa"/>
            <w:vAlign w:val="bottom"/>
          </w:tcPr>
          <w:p>
            <w:pPr>
              <w:spacing w:after="0"/>
              <w:rPr>
                <w:sz w:val="17"/>
                <w:szCs w:val="17"/>
                <w:color w:val="auto"/>
              </w:rPr>
            </w:pPr>
          </w:p>
        </w:tc>
        <w:tc>
          <w:tcPr>
            <w:tcW w:w="1520" w:type="dxa"/>
            <w:vAlign w:val="bottom"/>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July 31, 2019</w:t>
            </w:r>
          </w:p>
        </w:tc>
      </w:tr>
      <w:tr>
        <w:trPr>
          <w:trHeight w:val="234"/>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26,013</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Non-designated hedges</w:t>
            </w:r>
          </w:p>
        </w:tc>
        <w:tc>
          <w:tcPr>
            <w:tcW w:w="24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3,376</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22,925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29,389</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October 31, 2019 and July 31, 2019, unrealized gains of $620 and $805 have been included in OCI, respectively. These balances are expected to be reclassified from OCI to income during the next twelve months.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designated certain third party-foreign currency denominated debt instruments as net investment hedges. On May 13, 2010, the Company completed the private placement of €75,000 aggregate principal amount of senior unsecured notes consisting of €30,000 aggregate principal amount of 3.71% Series 2010-A Senior Notes, which were repaid during fiscal 2017, and €45,000 aggregate principal amount of 4.24% Series 2010-A Senior Notes, due May 13, 2020. This Euro-denominated debt obligation was designated as a net investment hedge to selectively hedge portions of the Company's net investment in European foreign operations. The Company’s foreign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October 31, 2019 and July 31, 2019, the cumulative balance recognized in accumulated other comprehensive income were gains of $12,462 and $12,440, respectively, on the Euro-denominated debt obligations.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440" w:type="dxa"/>
            <w:vAlign w:val="bottom"/>
          </w:tcPr>
          <w:p>
            <w:pPr>
              <w:spacing w:after="0"/>
              <w:rPr>
                <w:sz w:val="17"/>
                <w:szCs w:val="17"/>
                <w:color w:val="auto"/>
              </w:rPr>
            </w:pPr>
          </w:p>
        </w:tc>
        <w:tc>
          <w:tcPr>
            <w:tcW w:w="29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Three months ended October 31,</w:t>
            </w:r>
          </w:p>
        </w:tc>
      </w:tr>
      <w:tr>
        <w:trPr>
          <w:trHeight w:val="264"/>
        </w:trPr>
        <w:tc>
          <w:tcPr>
            <w:tcW w:w="84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(losses) recognized in OCI:</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Foreign exchange contracts (cash flow hedges)</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33"/>
        </w:trPr>
        <w:tc>
          <w:tcPr>
            <w:tcW w:w="8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1,620</w:t>
            </w:r>
          </w:p>
        </w:tc>
      </w:tr>
      <w:tr>
        <w:trPr>
          <w:trHeight w:val="237"/>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reclassified from OCI into cost of goods sold:</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8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Non-Designated Hedges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losses of $8 and $33 for the three months ended October 31, 2019 and 2018, respectively, in “Investment and other income (expense)” on the condensed consolidated statements of income related to non-designated hedges.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October 31, 2019</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July 31, 2019</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65"/>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1"/>
              <w:spacing w:after="0" w:line="166" w:lineRule="exact"/>
              <w:rPr>
                <w:sz w:val="20"/>
                <w:szCs w:val="20"/>
                <w:color w:val="auto"/>
              </w:rPr>
            </w:pPr>
            <w:r>
              <w:rPr>
                <w:rFonts w:ascii="Times New Roman" w:cs="Times New Roman" w:eastAsia="Times New Roman" w:hAnsi="Times New Roman"/>
                <w:sz w:val="15"/>
                <w:szCs w:val="15"/>
                <w:b w:val="1"/>
                <w:bCs w:val="1"/>
                <w:color w:val="auto"/>
              </w:rPr>
              <w:t>Prepaid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6" w:lineRule="exact"/>
              <w:rPr>
                <w:sz w:val="20"/>
                <w:szCs w:val="20"/>
                <w:color w:val="auto"/>
              </w:rPr>
            </w:pPr>
            <w:r>
              <w:rPr>
                <w:rFonts w:ascii="Times New Roman" w:cs="Times New Roman" w:eastAsia="Times New Roman" w:hAnsi="Times New Roman"/>
                <w:sz w:val="15"/>
                <w:szCs w:val="15"/>
                <w:b w:val="1"/>
                <w:bCs w:val="1"/>
                <w:color w:val="auto"/>
              </w:rPr>
              <w:t>Current</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6" w:lineRule="exact"/>
              <w:rPr>
                <w:sz w:val="20"/>
                <w:szCs w:val="20"/>
                <w:color w:val="auto"/>
              </w:rPr>
            </w:pPr>
            <w:r>
              <w:rPr>
                <w:rFonts w:ascii="Times New Roman" w:cs="Times New Roman" w:eastAsia="Times New Roman" w:hAnsi="Times New Roman"/>
                <w:sz w:val="15"/>
                <w:szCs w:val="15"/>
                <w:b w:val="1"/>
                <w:bCs w:val="1"/>
                <w:color w:val="auto"/>
              </w:rPr>
              <w:t>Prepaid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1"/>
              <w:spacing w:after="0" w:line="166" w:lineRule="exact"/>
              <w:rPr>
                <w:sz w:val="20"/>
                <w:szCs w:val="20"/>
                <w:color w:val="auto"/>
              </w:rPr>
            </w:pPr>
            <w:r>
              <w:rPr>
                <w:rFonts w:ascii="Times New Roman" w:cs="Times New Roman" w:eastAsia="Times New Roman" w:hAnsi="Times New Roman"/>
                <w:sz w:val="15"/>
                <w:szCs w:val="15"/>
                <w:b w:val="1"/>
                <w:bCs w:val="1"/>
                <w:color w:val="auto"/>
              </w:rPr>
              <w:t>Current</w:t>
            </w:r>
          </w:p>
        </w:tc>
      </w:tr>
      <w:tr>
        <w:trPr>
          <w:trHeight w:val="162"/>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41"/>
              <w:spacing w:after="0" w:line="162" w:lineRule="exact"/>
              <w:rPr>
                <w:sz w:val="20"/>
                <w:szCs w:val="20"/>
                <w:color w:val="auto"/>
              </w:rPr>
            </w:pPr>
            <w:r>
              <w:rPr>
                <w:rFonts w:ascii="Times New Roman" w:cs="Times New Roman" w:eastAsia="Times New Roman" w:hAnsi="Times New Roman"/>
                <w:sz w:val="15"/>
                <w:szCs w:val="15"/>
                <w:b w:val="1"/>
                <w:bCs w:val="1"/>
                <w:color w:val="auto"/>
              </w:rPr>
              <w:t>expenses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maturities on</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expenses and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1"/>
              <w:spacing w:after="0" w:line="162" w:lineRule="exact"/>
              <w:rPr>
                <w:sz w:val="20"/>
                <w:szCs w:val="20"/>
                <w:color w:val="auto"/>
              </w:rPr>
            </w:pPr>
            <w:r>
              <w:rPr>
                <w:rFonts w:ascii="Times New Roman" w:cs="Times New Roman" w:eastAsia="Times New Roman" w:hAnsi="Times New Roman"/>
                <w:sz w:val="15"/>
                <w:szCs w:val="15"/>
                <w:b w:val="1"/>
                <w:bCs w:val="1"/>
                <w:color w:val="auto"/>
              </w:rPr>
              <w:t>maturities on</w:t>
            </w:r>
          </w:p>
        </w:tc>
      </w:tr>
      <w:tr>
        <w:trPr>
          <w:trHeight w:val="162"/>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1"/>
              <w:spacing w:after="0" w:line="162" w:lineRule="exact"/>
              <w:rPr>
                <w:sz w:val="20"/>
                <w:szCs w:val="20"/>
                <w:color w:val="auto"/>
              </w:rPr>
            </w:pPr>
            <w:r>
              <w:rPr>
                <w:rFonts w:ascii="Times New Roman" w:cs="Times New Roman" w:eastAsia="Times New Roman" w:hAnsi="Times New Roman"/>
                <w:sz w:val="15"/>
                <w:szCs w:val="15"/>
                <w:b w:val="1"/>
                <w:bCs w:val="1"/>
                <w:color w:val="auto"/>
              </w:rPr>
              <w:t>other current</w:t>
            </w:r>
          </w:p>
        </w:tc>
        <w:tc>
          <w:tcPr>
            <w:tcW w:w="120" w:type="dxa"/>
            <w:vAlign w:val="bottom"/>
          </w:tcPr>
          <w:p>
            <w:pPr>
              <w:spacing w:after="0"/>
              <w:rPr>
                <w:sz w:val="14"/>
                <w:szCs w:val="14"/>
                <w:color w:val="auto"/>
              </w:rPr>
            </w:pPr>
          </w:p>
        </w:tc>
        <w:tc>
          <w:tcPr>
            <w:tcW w:w="11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Other current</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long-term</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other current</w:t>
            </w:r>
          </w:p>
        </w:tc>
        <w:tc>
          <w:tcPr>
            <w:tcW w:w="112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Other current</w:t>
            </w:r>
          </w:p>
        </w:tc>
        <w:tc>
          <w:tcPr>
            <w:tcW w:w="100" w:type="dxa"/>
            <w:vAlign w:val="bottom"/>
          </w:tcPr>
          <w:p>
            <w:pPr>
              <w:spacing w:after="0"/>
              <w:rPr>
                <w:sz w:val="14"/>
                <w:szCs w:val="14"/>
                <w:color w:val="auto"/>
              </w:rPr>
            </w:pPr>
          </w:p>
        </w:tc>
        <w:tc>
          <w:tcPr>
            <w:tcW w:w="1020" w:type="dxa"/>
            <w:vAlign w:val="bottom"/>
          </w:tcPr>
          <w:p>
            <w:pPr>
              <w:jc w:val="center"/>
              <w:ind w:right="41"/>
              <w:spacing w:after="0" w:line="162" w:lineRule="exact"/>
              <w:rPr>
                <w:sz w:val="20"/>
                <w:szCs w:val="20"/>
                <w:color w:val="auto"/>
              </w:rPr>
            </w:pPr>
            <w:r>
              <w:rPr>
                <w:rFonts w:ascii="Times New Roman" w:cs="Times New Roman" w:eastAsia="Times New Roman" w:hAnsi="Times New Roman"/>
                <w:sz w:val="15"/>
                <w:szCs w:val="15"/>
                <w:b w:val="1"/>
                <w:bCs w:val="1"/>
                <w:color w:val="auto"/>
              </w:rPr>
              <w:t>long-term</w:t>
            </w:r>
          </w:p>
        </w:tc>
      </w:tr>
      <w:tr>
        <w:trPr>
          <w:trHeight w:val="206"/>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5"/>
                <w:szCs w:val="15"/>
                <w:b w:val="1"/>
                <w:bCs w:val="1"/>
                <w:color w:val="auto"/>
                <w:w w:val="98"/>
              </w:rPr>
              <w:t>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liabilities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obligations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assets</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00" w:type="dxa"/>
            <w:vAlign w:val="bottom"/>
          </w:tcPr>
          <w:p>
            <w:pPr>
              <w:spacing w:after="0"/>
              <w:rPr>
                <w:sz w:val="17"/>
                <w:szCs w:val="17"/>
                <w:color w:val="auto"/>
              </w:rPr>
            </w:pPr>
          </w:p>
        </w:tc>
        <w:tc>
          <w:tcPr>
            <w:tcW w:w="10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w w:val="99"/>
              </w:rPr>
              <w:t>obligations</w:t>
            </w:r>
          </w:p>
        </w:tc>
      </w:tr>
      <w:tr>
        <w:trPr>
          <w:trHeight w:val="268"/>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hedging instruments:</w:t>
            </w:r>
          </w:p>
        </w:tc>
        <w:tc>
          <w:tcPr>
            <w:tcW w:w="1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37"/>
        </w:trPr>
        <w:tc>
          <w:tcPr>
            <w:tcW w:w="4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Foreign exchange contracts (cash flow hedges)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Foreign currency denominated debt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4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investment hedges)</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50,166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50,189</w:t>
            </w:r>
          </w:p>
        </w:tc>
      </w:tr>
      <w:tr>
        <w:trPr>
          <w:trHeight w:val="266"/>
        </w:trPr>
        <w:tc>
          <w:tcPr>
            <w:tcW w:w="42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not designated as hedging instruments:</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4"/>
        </w:trPr>
        <w:tc>
          <w:tcPr>
            <w:tcW w:w="4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42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derivative instruments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50,166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50,189</w:t>
            </w: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Income Taxes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months ended October 31, 2019 and 2018 was 9.8% and 23.2%, respectively. The Company expects its ongoing annual effective income tax rate to be approximately 20% based on its current global business mix. The effective income tax rate for the three months ended October 31, 2019 was lower than the expected income tax rate due to the favorable settlement of a domestic income tax audit and tax benefits from stock-based compensation.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Subsequent Events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19, 2019, the Board of Directors declared a quarterly cash dividend to shareholders of the Company’s Class A and Class B Common Stock of $0.2175 per share payable on January 31, 2020, to shareholders of record at the close of business on January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1" w:lineRule="exact"/>
        <w:rPr>
          <w:sz w:val="20"/>
          <w:szCs w:val="20"/>
          <w:color w:val="auto"/>
        </w:rPr>
      </w:pPr>
    </w:p>
    <w:p>
      <w:pPr>
        <w:ind w:right="1840"/>
        <w:spacing w:after="0" w:line="376" w:lineRule="auto"/>
        <w:rPr>
          <w:sz w:val="20"/>
          <w:szCs w:val="20"/>
          <w:color w:val="auto"/>
        </w:rPr>
      </w:pPr>
      <w:r>
        <w:rPr>
          <w:rFonts w:ascii="Times New Roman" w:cs="Times New Roman" w:eastAsia="Times New Roman" w:hAnsi="Times New Roman"/>
          <w:sz w:val="18"/>
          <w:szCs w:val="18"/>
          <w:color w:val="auto"/>
        </w:rPr>
        <w:t xml:space="preserve">ITEM 2. MANAGEMENT’S DISCUSSION AND ANALYSIS OF RESULTS OF OPERATIONS AND FINANCIAL CONDITION </w:t>
      </w:r>
      <w:r>
        <w:rPr>
          <w:rFonts w:ascii="Times New Roman" w:cs="Times New Roman" w:eastAsia="Times New Roman" w:hAnsi="Times New Roman"/>
          <w:sz w:val="18"/>
          <w:szCs w:val="18"/>
          <w:u w:val="single" w:color="auto"/>
          <w:color w:val="auto"/>
        </w:rPr>
        <w:t>Overview</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approximately half of which are internally manufactured and half of which are externally sourced.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long-term sales growth and profitability of our segments will depend not only on improved demand in end markets and</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overall economic environment, but also on our ability to continuously improve operational excellence, focus on the customer, develop and market innovative new products, and to advance our digital capabilities. In our Identification Solutions ("ID Solutions" or "IDS") business, our strategy for growth includes an increased focus on certain industries and products, a focus on improving the customer buying experience, and increasing investment in research and development ("R&amp;D") to develop new products. In our Workplace Safety ("WPS") business, our strategy for growth includes a focus on workplace safety critical industries, innovative new product offerings, compliance expertise, customization expertise, and improving our digital capabilities.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key initiatives supporting the strategy in fiscal 2020:</w:t>
      </w:r>
    </w:p>
    <w:p>
      <w:pPr>
        <w:spacing w:after="0" w:line="225"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research and development process and improving the time to launch high-value, innovative products in alignment with our target markets.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customers with the highest level of customer service.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executing sustainable efficiency gains within our global operations and within our selling, general and administrative structures.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sales capabilities through an improved digital presence and increased sales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through focused actions in selected vertical markets and strategic accounts.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employee development process to create an engaged workforce and to attract and retain key talent.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months ended October 31, 2019 and 2018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9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286,947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293,196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141,405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146,539</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11,326</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89,547</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94,591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7"/>
        </w:trPr>
        <w:tc>
          <w:tcPr>
            <w:tcW w:w="492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100,514</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105,917</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40,891</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References in this Form 10-Q to “organic sales” refer to sales calculated in accordance with U.S. GAAP, excluding the impact of foreign currency translation and divestitures.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sales for the three months ended October 31, 2019, decreased 2.1% to $286.9 million, compared to $293.2 million in the same period of the prior year. The decrease consisted of an organic sales decline of 0.4% and a decrease from foreign currency translation of 1.7%. Organic sales declined 0.2% in the IDS segment and declined 0.8% in the WPS segment during the three months ended October 31, 2019, compared to the same period in the prior year. The IDS segment realized sales growth in the Safety and Facility ID product line, and remained essentially flat to slightly down in the Product ID, Wire ID and Healthcare ID product lines compared to the prior year. The WPS segment realized low-single digit sales growth in digital sales, while sales through the catalog channel declined in the low-single digits.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margin for the three months ended October 31, 2019, decreased 3.5% to $141.4 million, compared to $146.5 million in the same period of the prior year. As a percentage of net sales, gross margin decreased to 49.3% for the three months ended October 31, 2019, from 50.0% in the same period of the prior year. The decrease in gross margin as a percentage of net sales was primarily due to increased input costs such as personnel, material, tariff, and freight costs, along with reduced sales volume, which was partially mitigated by our ongoing efforts to streamline manufacturing processes and drive operational efficiencies, including increased automation in our manufacturing facilities.</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for the three months ended October 31, 2019, decreased 3.2% to $11.0 million, compared to $11.3 million in the same period of the prior year. As a percentage of sales, R&amp;D expenses remained essentially flat for the three months ended October 31, 2019, compared to the same period of the prior year. The decrease in R&amp;D spending was primarily due to the timing of expenditures related to ongoing new product development projects. The Company remains committed to investing in new product development to increase sales within our IDS and WPS businesses. Investments in new printers and materials continue to be the primary focus of R&amp;D expenditures.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selling and administrative costs directly attributed to the IDS and WPS segments, as well as certain other corporate administrative expenses including finance, information technology, human resources, and other administrative expenses. SG&amp;A decreased 5.3% to $89.5 million for the three months ended October 31, 2019, compared to $94.6 million in the same period of the prior year. As a percentage of sales, SG&amp;A was 31.2% for the three months ended October 31, 2019, compared to 32.3% in the same period of the prior year. Approximately one-third of the decrease in SG&amp;A was due to the impact of foreign currency translation, and the remainder was due to ongoing efficiency gains and continued efforts to reduce SG&amp;A costs.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income was $40.9 million and $40.6 million for three months ended October 31, 2019 and 2018, respectively. The increase was primarily due to increased segment profit in the IDS segment and reduced SG&amp;A in both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90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4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7"/>
        </w:trPr>
        <w:tc>
          <w:tcPr>
            <w:tcW w:w="4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41,570</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39,893</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9,256</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 and other income (expense) was $1.4 million for the three months ended October 31, 2019, compared to $0.0 million for the same period in the prior year. The increase was primarily due to an increase in the market value of securities held in deferred compensation plans and an increase in interest income when compared to the same period in the prior year.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remained essentially flat at $0.7 million for the three months ended October 31, 2019, from $0.7 million for the same period in the prior year as there was minimal change in the Company's principal balance under its outstanding debt agreements compared to the same period in the prior year.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income tax rate was 9.8% for the three months ended October 31, 2019, compared to 23.2% in the same period in the prior year. Refer to Note M "Income Taxes" for additional information on the Company's effective income tax rate.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organized and managed on a global basis within three operating segments, Identification Solutions, Workplace Safety, and People Identification ("PDC"), which aggregate into two reportable segments that are organized around businesses with consistent products and services: IDS and WPS. The Identification Solutions and PDC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(expense) income, income taxes, and certain corporate administrative expenses are excluded when evaluating segment performance.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months ended October 31, 2019 and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26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5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ID Solutions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5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Workplace Safety</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Divestitures</w:t>
            </w: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73"/>
        </w:trPr>
        <w:tc>
          <w:tcPr>
            <w:tcW w:w="654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Divestitures</w:t>
            </w:r>
          </w:p>
        </w:tc>
        <w:tc>
          <w:tcPr>
            <w:tcW w:w="14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 Solutions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IDS net sales decreased 1.4% for the three months ended October 31, 2019, compared to the same period in the prior year, which consisted of an organic sales decline of 0.2% and a decrease from foreign currency translation of 1.2%.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the Americas increased in the low-single digits for the three months ended October 31, 2019, compared to the same period in the prior year. The increase was primarily due to growth in the Safety and Facility ID and Product ID product lines. Organic sales grew in the low-single digits in the United States and declined in the low-single digits in the rest of the Americas.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Europe decreased in the mid-single digits for the three months ended October 31, 2019, as compared to the same period in the prior year, primarily due to a decline in the Safety and Facility ID product line. The organic sales decline was due to businesses in emerging geographies due to a decline in economic activity, and to a lesser extent certain businesses based in Western Europe.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Asia decreased in the low-single digits for the three months ended October 31, 2019, as compared to the same period in the prior year. The decrease was primarily due to a decline in the Safety and Facility ID and Product ID product lines, partially offset by growth in the Wire ID product line. Organic sales declined in the mid-single digits within China partially due to the direct and indirect impact of tariffs, and remained essentially flat in the rest of Asia.</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Segment profit increased 2.1% to $42.4 million for the three months ended October 31, 2019, compared to $41.6 million in the same period of the prior year. As a percentage of net sales, segment profit was 19.7% for the three months ended October 31,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2019, compared to 19.1% in the same period of the prior year. The increase in segment profit was primarily driven by efficiency gains throughout SG&amp;A in all regions.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Workplace Safety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WPS net sales decreased 4.2% for the three months ended October 31, 2019, compared to the same period in the prior year, which consisted of an organic sales decline of 0.8% and a decrease from foreign currency translation of 3.4%. Sales through the digital channel increased in the low-single digits while sales through the catalog channel decreased in the low-single digits.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Europe increased modestly for the three months ended October 31, 2019, compared to the same period in the prior year. Organic sales growth in France and Belgium was largely offset by a decline in sales in Germany due to reduced demand in industrial production and exports. Sales throughout the rest of Europe remained essentially flat. Sales through the digital channel increased in the mid-single digits while sales through the catalog channel decreased in the low-single digits.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Organic sales in the Americas declined in the low-single digits for the three months ended October 31, 2019, compared to the same period in the prior year. This decrease was driven by a low-single digit decline in catalog sales and a slight decline in sales through the digital channel. This business continued to experience a negative impact on sales from a digital platform that was implemented in fiscal 2018 and transitioned to a new digital platform in fiscal 2019 to address this decline. The functionality of the new digital platform has improved compared to the former digital platform; however, sales have not yet returned to the level experienced prior to the initial platform change in fiscal 2018.</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Australia declined in the low-single digits in both the digital and traditional catalog channel for the three months ended October 31, 2019, as compared to the same period of the prior year. The decrease in sales was due to reduced demand in our primary end markets, which include non-residential construction and industrial manufacturing.</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profit decreased to $5.2 million for the three months ended October 31, 2019, compared to $5.5 million in the same period of the prior year. As a percentage of net sales, segment profit decreased to 7.2% for the three months ended October 31, 2019, compared to 7.4% in the same period of the prior year. The decrease in segment profit was due to the decrease in sales volumes in the North American and Australian businesses and foreign currency translation, partially offset by efficiency gains throughout SG&amp;A.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$295.1 million at October 31, 2019, an increase of $16.0 million from July 31, 2019. The significant changes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18,818</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w:t>
            </w:r>
          </w:p>
        </w:tc>
      </w:tr>
      <w:tr>
        <w:trPr>
          <w:trHeight w:val="23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Financing activities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w:t>
            </w:r>
          </w:p>
        </w:tc>
      </w:tr>
      <w:tr>
        <w:trPr>
          <w:trHeight w:val="217"/>
        </w:trPr>
        <w:tc>
          <w:tcPr>
            <w:tcW w:w="6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10,749</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$38.8 million for the three months ended October 31, 2019, compared to $18.8 million in the same period of the prior year. The increase was primarily due to a change in the timing of annual incentive compensation payments compared to the prior year, as well as an increase in net income adjusted for non-cash items.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$7.2 million for the three months ended October 31, 2019, compared to $5.7 million used in the same period of the prior year. The increase in cash used in investing activities was primarily driven by an increase in capital expenditures for the purchase of manufacturing equipment and facility upgrades in Europe, Mexico, and the United States.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$15.3 million during the three months ended October 31, 2019, compared to $0.7 million provided in the same period of the prior year. The change was primarily due to a decrease in cash proceeds from the exercise of stock options and an increase in cash payments for employee taxes withheld from stock-based awards in the current three-month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 of fluctuations in exchange rates decreased cash balances by $0.3 million primarily due to cash held in currencies that depreciated against the U.S. dollar during three months ended October 31, 2019.</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w:t>
      </w:r>
    </w:p>
    <w:p>
      <w:pPr>
        <w:spacing w:after="0" w:line="13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revolving loan agreement with a group of five banks that replaced and terminated the Company’s previous loan agreement that had been entered into on September 25, 2015. Under the new revolving loan agreement, the Company has the option to select either a base interest rate (based upon the higher of the federal funds rate plus one-half of 1% or the prime rate of the Bank of Montreal plus a margin based on the Company’s consolidated net leverage ratio), or the Eurocurrency interest rate (at the LIBOR rate plus a margin based on the Company’s consolidated net leverage ratio) plus 1%. At the Company's option, and subject to certain conditions, the available amount under the revolving loan agreement may be increased from $200 million to $400 million. As of October 31, 2019, there were no borrowings outstanding on the credit facility, and there was no outstanding balances during the three months ended October 31, 2019. The Company had letters of credit outstanding under the loan agreement of $3.6 million as of October 31, 2019 and there was $196.4 million available for future borrowing, which can be increased to $396.4 million at the Company's option, subject to certain conditions. The revolving loan agreement has a final maturity date of August 1, 2024. As such, the borrowing is included in "Long-term obligations, less current maturities" on the condensed consolidated balance sheets.</w:t>
      </w:r>
    </w:p>
    <w:p>
      <w:pPr>
        <w:spacing w:after="0" w:line="13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debt agreements require it to maintain certain financial covenants, including a ratio of debt to the trailing 12 months EBITDA, as defined in the debt agreements, of not more than a 3.5 to 1.0 ratio (leverage ratio) and the trailing 12 months EBITDA to interest expense of not less than a 3.0 to 1.0 ratio (interest expense coverage). As of October 31, 2019, the Company was in compliance with these financial covenants, with the ratio of debt to EBITDA, as defined by the agreements, equal to 0.0 to 1.0 and the interest expense coverage ratio equal to 72.1 to 1.0.</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October 31, 2019, approximately 44%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common stock repurchases, scheduled debt repayments, and dividend payments for the next 12 months.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Contractual Obligations - The Company does not have material financial guarantees or other contractual commitments that are reasonably likely to adversely affect liquidity.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2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which are beyond Brady's control, that could cause actual results to differ materially from those expressed or implied by such forward-looking statements. For Brady, uncertainties arise from:</w:t>
      </w:r>
    </w:p>
    <w:p>
      <w:pPr>
        <w:spacing w:after="0" w:line="108" w:lineRule="exact"/>
        <w:rPr>
          <w:sz w:val="20"/>
          <w:szCs w:val="20"/>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compete effectively or to successfully execute its strategy</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and other cost increases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 regulatory entities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Divestitures, contingent liabilities from divestitures and the failure to identify, integrate, and grow acquired companies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Brady's substantial intangible assets</w:t>
      </w:r>
    </w:p>
    <w:p>
      <w:pPr>
        <w:spacing w:after="0" w:line="9" w:lineRule="exact"/>
        <w:rPr>
          <w:rFonts w:ascii="Times New Roman" w:cs="Times New Roman" w:eastAsia="Times New Roman" w:hAnsi="Times New Roman"/>
          <w:sz w:val="18"/>
          <w:szCs w:val="18"/>
          <w:color w:val="auto"/>
        </w:rPr>
      </w:pPr>
    </w:p>
    <w:p>
      <w:pPr>
        <w:jc w:val="both"/>
        <w:ind w:left="540" w:hanging="316"/>
        <w:spacing w:after="0" w:line="255"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2019.</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2019. There has been no material change in this information since July 31, 2019.</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87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2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520"/>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27">
              <w:r>
                <w:rPr>
                  <w:rFonts w:ascii="Times New Roman" w:cs="Times New Roman" w:eastAsia="Times New Roman" w:hAnsi="Times New Roman"/>
                  <w:sz w:val="18"/>
                  <w:szCs w:val="18"/>
                  <w:color w:val="0000FF"/>
                  <w:w w:val="99"/>
                </w:rPr>
                <w:t>Rule 13a-14(a)/15d-14(a) Certification of J. Michael Nauman</w:t>
              </w:r>
            </w:hyperlink>
          </w:p>
        </w:tc>
        <w:tc>
          <w:tcPr>
            <w:tcW w:w="4300" w:type="dxa"/>
            <w:vAlign w:val="bottom"/>
          </w:tcPr>
          <w:p>
            <w:pPr>
              <w:spacing w:after="0"/>
              <w:rPr>
                <w:sz w:val="24"/>
                <w:szCs w:val="24"/>
                <w:color w:val="auto"/>
              </w:rPr>
            </w:pPr>
          </w:p>
        </w:tc>
      </w:tr>
      <w:tr>
        <w:trPr>
          <w:trHeight w:val="57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5"/>
          </w:tcPr>
          <w:p>
            <w:pPr>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Rule 13a-14(a)/15d-14(a) Certification of Aaron J. Pearce</w:t>
              </w:r>
            </w:hyperlink>
          </w:p>
        </w:tc>
      </w:tr>
      <w:tr>
        <w:trPr>
          <w:trHeight w:val="57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29">
              <w:r>
                <w:rPr>
                  <w:rFonts w:ascii="Times New Roman" w:cs="Times New Roman" w:eastAsia="Times New Roman" w:hAnsi="Times New Roman"/>
                  <w:sz w:val="18"/>
                  <w:szCs w:val="18"/>
                  <w:color w:val="0000FF"/>
                  <w:w w:val="99"/>
                </w:rPr>
                <w:t>Section 1350 Certification of J. Michael Nauman</w:t>
              </w:r>
            </w:hyperlink>
          </w:p>
        </w:tc>
        <w:tc>
          <w:tcPr>
            <w:tcW w:w="620" w:type="dxa"/>
            <w:vAlign w:val="bottom"/>
            <w:tcBorders>
              <w:top w:val="single" w:sz="8" w:color="0000FF"/>
            </w:tcBorders>
          </w:tcPr>
          <w:p>
            <w:pPr>
              <w:spacing w:after="0"/>
              <w:rPr>
                <w:sz w:val="24"/>
                <w:szCs w:val="24"/>
                <w:color w:val="auto"/>
              </w:rPr>
            </w:pPr>
          </w:p>
        </w:tc>
        <w:tc>
          <w:tcPr>
            <w:tcW w:w="4580" w:type="dxa"/>
            <w:vAlign w:val="bottom"/>
            <w:gridSpan w:val="2"/>
          </w:tcPr>
          <w:p>
            <w:pPr>
              <w:spacing w:after="0"/>
              <w:rPr>
                <w:sz w:val="24"/>
                <w:szCs w:val="24"/>
                <w:color w:val="auto"/>
              </w:rPr>
            </w:pPr>
          </w:p>
        </w:tc>
      </w:tr>
      <w:tr>
        <w:trPr>
          <w:trHeight w:val="57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5"/>
          </w:tcPr>
          <w:p>
            <w:pPr>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Section 1350 Certification of Aaron J. Pearce</w:t>
              </w:r>
            </w:hyperlink>
          </w:p>
        </w:tc>
      </w:tr>
      <w:tr>
        <w:trPr>
          <w:trHeight w:val="20"/>
        </w:trPr>
        <w:tc>
          <w:tcPr>
            <w:tcW w:w="2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r>
      <w:tr>
        <w:trPr>
          <w:trHeight w:val="596"/>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w:t>
            </w:r>
          </w:p>
        </w:tc>
      </w:tr>
      <w:tr>
        <w:trPr>
          <w:trHeight w:val="234"/>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594"/>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594"/>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94"/>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94"/>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94"/>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Presentation Label Linkbase Document</w:t>
            </w:r>
          </w:p>
        </w:tc>
      </w:tr>
      <w:tr>
        <w:trPr>
          <w:trHeight w:val="59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Inline XBRL data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880" w:type="dxa"/>
            <w:vAlign w:val="bottom"/>
            <w:gridSpan w:val="2"/>
          </w:tcPr>
          <w:p>
            <w:pPr>
              <w:jc w:val="center"/>
              <w:ind w:right="3450"/>
              <w:spacing w:after="0"/>
              <w:rPr>
                <w:sz w:val="20"/>
                <w:szCs w:val="20"/>
                <w:color w:val="auto"/>
              </w:rPr>
            </w:pPr>
            <w:r>
              <w:rPr>
                <w:rFonts w:ascii="Times New Roman" w:cs="Times New Roman" w:eastAsia="Times New Roman" w:hAnsi="Times New Roman"/>
                <w:sz w:val="18"/>
                <w:szCs w:val="18"/>
                <w:color w:val="auto"/>
                <w:w w:val="98"/>
              </w:rPr>
              <w:t>SIGNATURES</w:t>
            </w:r>
          </w:p>
        </w:tc>
      </w:tr>
      <w:tr>
        <w:trPr>
          <w:trHeight w:val="378"/>
        </w:trPr>
        <w:tc>
          <w:tcPr>
            <w:tcW w:w="3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59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21, 2019</w:t>
            </w: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 J. MICHAEL NAUMAN</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 Michael Nauman</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21, 2019</w:t>
            </w: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 AARON J. PEARCE</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Aaron J. Pearce</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59"/>
        </w:trPr>
        <w:tc>
          <w:tcPr>
            <w:tcW w:w="3500" w:type="dxa"/>
            <w:vAlign w:val="bottom"/>
          </w:tcPr>
          <w:p>
            <w:pPr>
              <w:spacing w:after="0"/>
              <w:rPr>
                <w:sz w:val="24"/>
                <w:szCs w:val="24"/>
                <w:color w:val="auto"/>
              </w:rPr>
            </w:pPr>
          </w:p>
        </w:tc>
        <w:tc>
          <w:tcPr>
            <w:tcW w:w="378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26</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40"/>
        <w:spacing w:after="0" w:line="282" w:lineRule="auto"/>
        <w:tabs>
          <w:tab w:leader="none" w:pos="6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40"/>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firstLine="440"/>
        <w:spacing w:after="0" w:line="266" w:lineRule="auto"/>
        <w:tabs>
          <w:tab w:leader="none" w:pos="6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firstLine="440"/>
        <w:spacing w:after="0" w:line="282" w:lineRule="auto"/>
        <w:tabs>
          <w:tab w:leader="none" w:pos="6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40"/>
        <w:spacing w:after="0" w:line="266" w:lineRule="auto"/>
        <w:tabs>
          <w:tab w:leader="none" w:pos="6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40"/>
        <w:spacing w:after="0" w:line="282" w:lineRule="auto"/>
        <w:tabs>
          <w:tab w:leader="none" w:pos="6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sz w:val="20"/>
          <w:szCs w:val="20"/>
          <w:color w:val="auto"/>
        </w:rPr>
      </w:pPr>
    </w:p>
    <w:p>
      <w:pPr>
        <w:ind w:firstLine="440"/>
        <w:spacing w:after="0" w:line="282" w:lineRule="auto"/>
        <w:tabs>
          <w:tab w:leader="none" w:pos="6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21,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49"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40"/>
        <w:spacing w:after="0" w:line="282" w:lineRule="auto"/>
        <w:tabs>
          <w:tab w:leader="none" w:pos="6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40"/>
        <w:spacing w:after="0" w:line="266"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firstLine="440"/>
        <w:spacing w:after="0" w:line="266" w:lineRule="auto"/>
        <w:tabs>
          <w:tab w:leader="none" w:pos="6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firstLine="440"/>
        <w:spacing w:after="0" w:line="282" w:lineRule="auto"/>
        <w:tabs>
          <w:tab w:leader="none" w:pos="6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40"/>
        <w:spacing w:after="0" w:line="266" w:lineRule="auto"/>
        <w:tabs>
          <w:tab w:leader="none" w:pos="6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40"/>
        <w:spacing w:after="0" w:line="282" w:lineRule="auto"/>
        <w:tabs>
          <w:tab w:leader="none" w:pos="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sz w:val="20"/>
          <w:szCs w:val="20"/>
          <w:color w:val="auto"/>
        </w:rPr>
      </w:pPr>
    </w:p>
    <w:p>
      <w:pPr>
        <w:ind w:firstLine="440"/>
        <w:spacing w:after="0" w:line="282" w:lineRule="auto"/>
        <w:tabs>
          <w:tab w:leader="none" w:pos="6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21,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49"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27" w:lineRule="exact"/>
        <w:rPr>
          <w:sz w:val="20"/>
          <w:szCs w:val="20"/>
          <w:color w:val="auto"/>
        </w:rPr>
      </w:pPr>
    </w:p>
    <w:p>
      <w:pPr>
        <w:ind w:right="20" w:firstLine="440"/>
        <w:spacing w:after="0" w:line="282" w:lineRule="auto"/>
        <w:tabs>
          <w:tab w:leader="none" w:pos="7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October 31, 2019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7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21,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49"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27" w:lineRule="exact"/>
        <w:rPr>
          <w:sz w:val="20"/>
          <w:szCs w:val="20"/>
          <w:color w:val="auto"/>
        </w:rPr>
      </w:pPr>
    </w:p>
    <w:p>
      <w:pPr>
        <w:ind w:right="20" w:firstLine="440"/>
        <w:spacing w:after="0" w:line="282" w:lineRule="auto"/>
        <w:tabs>
          <w:tab w:leader="none" w:pos="7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October 31, 2019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7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21,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381"/>
    </w:lvl>
  </w:abstractNum>
  <w:abstractNum w:abstractNumId="3">
    <w:nsid w:val="1190CDE7"/>
    <w:multiLevelType w:val="hybridMultilevel"/>
    <w:lvl w:ilvl="0">
      <w:lvlJc w:val="left"/>
      <w:lvlText w:val="(%1)"/>
      <w:numFmt w:val="decimal"/>
      <w:start w:val="185"/>
    </w:lvl>
  </w:abstractNum>
  <w:abstractNum w:abstractNumId="4">
    <w:nsid w:val="66EF438D"/>
    <w:multiLevelType w:val="hybridMultilevel"/>
    <w:lvl w:ilvl="0">
      <w:lvlJc w:val="left"/>
      <w:lvlText w:val="(%1)"/>
      <w:numFmt w:val="decimal"/>
      <w:start w:val="105"/>
    </w:lvl>
  </w:abstractNum>
  <w:abstractNum w:abstractNumId="5">
    <w:nsid w:val="140E0F76"/>
    <w:multiLevelType w:val="hybridMultilevel"/>
    <w:lvl w:ilvl="0">
      <w:lvlJc w:val="left"/>
      <w:lvlText w:val="(%1)"/>
      <w:numFmt w:val="decimal"/>
      <w:start w:val="240"/>
    </w:lvl>
  </w:abstractNum>
  <w:abstractNum w:abstractNumId="6">
    <w:nsid w:val="3352255A"/>
    <w:multiLevelType w:val="hybridMultilevel"/>
    <w:lvl w:ilvl="0">
      <w:lvlJc w:val="left"/>
      <w:lvlText w:val="(%1)"/>
      <w:numFmt w:val="decimal"/>
      <w:start w:val="70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2019-12-28T01:30:24Z</dcterms:created>
  <dcterms:modified xsi:type="dcterms:W3CDTF">2019-12-28T01:30:24Z</dcterms:modified>
</cp:coreProperties>
</file>