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359"/>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t xml:space="preserve">SEC 1745 </w:t>
      </w:r>
      <w:r>
        <w:rPr>
          <w:rFonts w:ascii="Arial" w:cs="Arial" w:eastAsia="Arial" w:hAnsi="Arial"/>
          <w:sz w:val="16"/>
          <w:szCs w:val="16"/>
          <w:b w:val="1"/>
          <w:bCs w:val="1"/>
          <w:color w:val="auto"/>
        </w:rPr>
        <w:t>Persons who respond to the collection of information contained in this form are not required to</w:t>
      </w:r>
      <w:r>
        <w:rPr>
          <w:rFonts w:ascii="Arial" w:cs="Arial" w:eastAsia="Arial" w:hAnsi="Arial"/>
          <w:sz w:val="16"/>
          <w:szCs w:val="16"/>
          <w:color w:val="auto"/>
        </w:rPr>
        <w:t xml:space="preserve"> (12-02) </w:t>
      </w:r>
      <w:r>
        <w:rPr>
          <w:rFonts w:ascii="Arial" w:cs="Arial" w:eastAsia="Arial" w:hAnsi="Arial"/>
          <w:sz w:val="16"/>
          <w:szCs w:val="16"/>
          <w:b w:val="1"/>
          <w:bCs w:val="1"/>
          <w:color w:val="auto"/>
        </w:rPr>
        <w:t>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51708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318135</wp:posOffset>
            </wp:positionV>
            <wp:extent cx="15690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616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Expires:  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hours per response. . .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62865</wp:posOffset>
            </wp:positionV>
            <wp:extent cx="156908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SCHEDULE 13G</w:t>
      </w:r>
    </w:p>
    <w:p>
      <w:pPr>
        <w:spacing w:after="0" w:line="30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(Amendment No. 20)*</w:t>
      </w:r>
    </w:p>
    <w:p>
      <w:pPr>
        <w:spacing w:after="0" w:line="200" w:lineRule="exact"/>
        <w:rPr>
          <w:sz w:val="24"/>
          <w:szCs w:val="24"/>
          <w:color w:val="auto"/>
        </w:rPr>
      </w:pPr>
    </w:p>
    <w:p>
      <w:pPr>
        <w:spacing w:after="0" w:line="329"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322"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104674106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80010</wp:posOffset>
            </wp:positionV>
            <wp:extent cx="2546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12/31/2006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|X|</w:t>
        <w:tab/>
        <w:t>Rule 13d-1(b)</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13d-1(c)</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13d-1(d)</w:t>
      </w:r>
    </w:p>
    <w:p>
      <w:pPr>
        <w:spacing w:after="0" w:line="252" w:lineRule="exact"/>
        <w:rPr>
          <w:sz w:val="24"/>
          <w:szCs w:val="24"/>
          <w:color w:val="auto"/>
        </w:rPr>
      </w:pPr>
    </w:p>
    <w:p>
      <w:pPr>
        <w:ind w:right="2119" w:firstLine="8"/>
        <w:spacing w:after="0" w:line="259"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71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CUSIP No. 104674106</w:t>
      </w:r>
    </w:p>
    <w:p>
      <w:pPr>
        <w:sectPr>
          <w:pgSz w:w="11900" w:h="16838" w:orient="portrait"/>
          <w:cols w:equalWidth="0" w:num="1">
            <w:col w:w="10219"/>
          </w:cols>
          <w:pgMar w:left="240" w:top="719" w:right="1440" w:bottom="0" w:gutter="0" w:footer="0" w:header="0"/>
          <w:type w:val="continuous"/>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8"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ARIEL CAPITAL MANAGEMENT, LLC</w:t>
      </w:r>
    </w:p>
    <w:p>
      <w:pPr>
        <w:spacing w:after="0" w:line="1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02-0712418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20" w:type="dxa"/>
            <w:vAlign w:val="bottom"/>
          </w:tcPr>
          <w:p>
            <w:pPr>
              <w:ind w:left="1020"/>
              <w:spacing w:after="0"/>
              <w:rPr>
                <w:sz w:val="20"/>
                <w:szCs w:val="20"/>
                <w:color w:val="auto"/>
              </w:rPr>
            </w:pPr>
            <w:r>
              <w:rPr>
                <w:rFonts w:ascii="Arial" w:cs="Arial" w:eastAsia="Arial" w:hAnsi="Arial"/>
                <w:sz w:val="18"/>
                <w:szCs w:val="18"/>
                <w:color w:val="auto"/>
                <w:w w:val="81"/>
              </w:rPr>
              <w:t>(a) |_|</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6120" w:type="dxa"/>
            <w:vAlign w:val="bottom"/>
            <w:vMerge w:val="restart"/>
          </w:tcPr>
          <w:p>
            <w:pPr>
              <w:ind w:left="180"/>
              <w:spacing w:after="0"/>
              <w:rPr>
                <w:sz w:val="20"/>
                <w:szCs w:val="20"/>
                <w:color w:val="auto"/>
              </w:rPr>
            </w:pPr>
            <w:r>
              <w:rPr>
                <w:rFonts w:ascii="Arial" w:cs="Arial" w:eastAsia="Arial" w:hAnsi="Arial"/>
                <w:sz w:val="18"/>
                <w:szCs w:val="18"/>
                <w:color w:val="auto"/>
              </w:rPr>
              <w:t>Not Applicable</w:t>
            </w:r>
          </w:p>
        </w:tc>
        <w:tc>
          <w:tcPr>
            <w:tcW w:w="1420" w:type="dxa"/>
            <w:vAlign w:val="bottom"/>
          </w:tcPr>
          <w:p>
            <w:pPr>
              <w:ind w:left="1020"/>
              <w:spacing w:after="0"/>
              <w:rPr>
                <w:sz w:val="20"/>
                <w:szCs w:val="20"/>
                <w:color w:val="auto"/>
              </w:rPr>
            </w:pPr>
            <w:r>
              <w:rPr>
                <w:rFonts w:ascii="Arial" w:cs="Arial" w:eastAsia="Arial" w:hAnsi="Arial"/>
                <w:sz w:val="18"/>
                <w:szCs w:val="18"/>
                <w:color w:val="auto"/>
                <w:w w:val="81"/>
              </w:rPr>
              <w:t>(b) |_|</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0" w:right="7079" w:hanging="492"/>
        <w:spacing w:after="0" w:line="57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49"/>
        </w:trPr>
        <w:tc>
          <w:tcPr>
            <w:tcW w:w="102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9"/>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Ariel - 6,606,823</w:t>
            </w:r>
          </w:p>
        </w:tc>
        <w:tc>
          <w:tcPr>
            <w:tcW w:w="0" w:type="dxa"/>
            <w:vAlign w:val="bottom"/>
          </w:tcPr>
          <w:p>
            <w:pPr>
              <w:spacing w:after="0"/>
              <w:rPr>
                <w:sz w:val="1"/>
                <w:szCs w:val="1"/>
                <w:color w:val="auto"/>
              </w:rPr>
            </w:pPr>
          </w:p>
        </w:tc>
      </w:tr>
      <w:tr>
        <w:trPr>
          <w:trHeight w:val="143"/>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3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0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94"/>
        </w:trPr>
        <w:tc>
          <w:tcPr>
            <w:tcW w:w="1020" w:type="dxa"/>
            <w:vAlign w:val="bottom"/>
          </w:tcPr>
          <w:p>
            <w:pPr>
              <w:jc w:val="center"/>
              <w:ind w:right="52"/>
              <w:spacing w:after="0" w:line="195" w:lineRule="exact"/>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vMerge w:val="restart"/>
          </w:tcPr>
          <w:p>
            <w:pPr>
              <w:ind w:left="180"/>
              <w:spacing w:after="0"/>
              <w:rPr>
                <w:sz w:val="20"/>
                <w:szCs w:val="20"/>
                <w:color w:val="auto"/>
              </w:rPr>
            </w:pPr>
            <w:r>
              <w:rPr>
                <w:rFonts w:ascii="Arial" w:cs="Arial" w:eastAsia="Arial" w:hAnsi="Arial"/>
                <w:sz w:val="18"/>
                <w:szCs w:val="18"/>
                <w:color w:val="auto"/>
              </w:rPr>
              <w:t>Ariel - 0</w:t>
            </w:r>
          </w:p>
        </w:tc>
        <w:tc>
          <w:tcPr>
            <w:tcW w:w="0" w:type="dxa"/>
            <w:vAlign w:val="bottom"/>
          </w:tcPr>
          <w:p>
            <w:pPr>
              <w:spacing w:after="0"/>
              <w:rPr>
                <w:sz w:val="1"/>
                <w:szCs w:val="1"/>
                <w:color w:val="auto"/>
              </w:rPr>
            </w:pPr>
          </w:p>
        </w:tc>
      </w:tr>
      <w:tr>
        <w:trPr>
          <w:trHeight w:val="74"/>
        </w:trPr>
        <w:tc>
          <w:tcPr>
            <w:tcW w:w="1020" w:type="dxa"/>
            <w:vAlign w:val="bottom"/>
            <w:vMerge w:val="restart"/>
          </w:tcPr>
          <w:p>
            <w:pPr>
              <w:jc w:val="center"/>
              <w:ind w:right="72"/>
              <w:spacing w:after="0" w:line="184" w:lineRule="exact"/>
              <w:rPr>
                <w:sz w:val="20"/>
                <w:szCs w:val="20"/>
                <w:color w:val="auto"/>
              </w:rPr>
            </w:pPr>
            <w:r>
              <w:rPr>
                <w:rFonts w:ascii="Arial" w:cs="Arial" w:eastAsia="Arial" w:hAnsi="Arial"/>
                <w:sz w:val="18"/>
                <w:szCs w:val="18"/>
                <w:color w:val="auto"/>
                <w:w w:val="89"/>
              </w:rPr>
              <w:t>Reporting</w:t>
            </w: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0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9"/>
              </w:rPr>
              <w:t>Person With</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w:t>
            </w:r>
          </w:p>
        </w:tc>
        <w:tc>
          <w:tcPr>
            <w:tcW w:w="634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344170</wp:posOffset>
            </wp:positionV>
            <wp:extent cx="4219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60" w:right="6439" w:hanging="493"/>
        <w:spacing w:after="0" w:line="508"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Ariel - 0</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Ariel - 8,907,658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10.</w:t>
            </w:r>
          </w:p>
        </w:tc>
        <w:tc>
          <w:tcPr>
            <w:tcW w:w="6680" w:type="dxa"/>
            <w:vAlign w:val="bottom"/>
          </w:tcPr>
          <w:p>
            <w:pPr>
              <w:ind w:left="140"/>
              <w:spacing w:after="0"/>
              <w:rPr>
                <w:sz w:val="20"/>
                <w:szCs w:val="20"/>
                <w:color w:val="auto"/>
              </w:rPr>
            </w:pPr>
            <w:r>
              <w:rPr>
                <w:rFonts w:ascii="Arial" w:cs="Arial" w:eastAsia="Arial" w:hAnsi="Arial"/>
                <w:sz w:val="18"/>
                <w:szCs w:val="18"/>
                <w:color w:val="auto"/>
                <w:w w:val="94"/>
              </w:rPr>
              <w:t>Check if the Aggregate Amount in Row (9) Excludes Certain Shares (See Instructions)</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|_|</w:t>
            </w:r>
          </w:p>
        </w:tc>
      </w:tr>
      <w:tr>
        <w:trPr>
          <w:trHeight w:val="432"/>
        </w:trPr>
        <w:tc>
          <w:tcPr>
            <w:tcW w:w="360" w:type="dxa"/>
            <w:vAlign w:val="bottom"/>
          </w:tcPr>
          <w:p>
            <w:pPr>
              <w:spacing w:after="0"/>
              <w:rPr>
                <w:sz w:val="24"/>
                <w:szCs w:val="24"/>
                <w:color w:val="auto"/>
              </w:rPr>
            </w:pPr>
          </w:p>
        </w:tc>
        <w:tc>
          <w:tcPr>
            <w:tcW w:w="6680" w:type="dxa"/>
            <w:vAlign w:val="bottom"/>
          </w:tcPr>
          <w:p>
            <w:pPr>
              <w:ind w:left="140"/>
              <w:spacing w:after="0"/>
              <w:rPr>
                <w:sz w:val="20"/>
                <w:szCs w:val="20"/>
                <w:color w:val="auto"/>
              </w:rPr>
            </w:pPr>
            <w:r>
              <w:rPr>
                <w:rFonts w:ascii="Arial" w:cs="Arial" w:eastAsia="Arial" w:hAnsi="Arial"/>
                <w:sz w:val="18"/>
                <w:szCs w:val="18"/>
                <w:color w:val="auto"/>
              </w:rPr>
              <w:t>Not Applicable</w:t>
            </w:r>
          </w:p>
        </w:tc>
        <w:tc>
          <w:tcPr>
            <w:tcW w:w="1080" w:type="dxa"/>
            <w:vAlign w:val="bottom"/>
          </w:tcPr>
          <w:p>
            <w:pPr>
              <w:spacing w:after="0"/>
              <w:rPr>
                <w:sz w:val="24"/>
                <w:szCs w:val="24"/>
                <w:color w:val="auto"/>
              </w:rPr>
            </w:pPr>
          </w:p>
        </w:tc>
      </w:tr>
      <w:tr>
        <w:trPr>
          <w:trHeight w:val="110"/>
        </w:trPr>
        <w:tc>
          <w:tcPr>
            <w:tcW w:w="360" w:type="dxa"/>
            <w:vAlign w:val="bottom"/>
            <w:tcBorders>
              <w:bottom w:val="single" w:sz="8" w:color="808080"/>
            </w:tcBorders>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4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11.</w:t>
            </w:r>
          </w:p>
        </w:tc>
        <w:tc>
          <w:tcPr>
            <w:tcW w:w="6680" w:type="dxa"/>
            <w:vAlign w:val="bottom"/>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0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6680" w:type="dxa"/>
            <w:vAlign w:val="bottom"/>
          </w:tcPr>
          <w:p>
            <w:pPr>
              <w:ind w:left="140"/>
              <w:spacing w:after="0"/>
              <w:rPr>
                <w:sz w:val="20"/>
                <w:szCs w:val="20"/>
                <w:color w:val="auto"/>
              </w:rPr>
            </w:pPr>
            <w:r>
              <w:rPr>
                <w:rFonts w:ascii="Arial" w:cs="Arial" w:eastAsia="Arial" w:hAnsi="Arial"/>
                <w:sz w:val="18"/>
                <w:szCs w:val="18"/>
                <w:color w:val="auto"/>
              </w:rPr>
              <w:t>Ariel - 8,907,658/ 50,389,008= 17.68%</w:t>
            </w:r>
          </w:p>
        </w:tc>
        <w:tc>
          <w:tcPr>
            <w:tcW w:w="1080" w:type="dxa"/>
            <w:vAlign w:val="bottom"/>
          </w:tcPr>
          <w:p>
            <w:pPr>
              <w:spacing w:after="0"/>
              <w:rPr>
                <w:sz w:val="24"/>
                <w:szCs w:val="24"/>
                <w:color w:val="auto"/>
              </w:rPr>
            </w:pPr>
          </w:p>
        </w:tc>
      </w:tr>
      <w:tr>
        <w:trPr>
          <w:trHeight w:val="110"/>
        </w:trPr>
        <w:tc>
          <w:tcPr>
            <w:tcW w:w="360" w:type="dxa"/>
            <w:vAlign w:val="bottom"/>
            <w:tcBorders>
              <w:bottom w:val="single" w:sz="8" w:color="808080"/>
            </w:tcBorders>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12.</w:t>
            </w:r>
          </w:p>
        </w:tc>
        <w:tc>
          <w:tcPr>
            <w:tcW w:w="6680" w:type="dxa"/>
            <w:vAlign w:val="bottom"/>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10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6680" w:type="dxa"/>
            <w:vAlign w:val="bottom"/>
          </w:tcPr>
          <w:p>
            <w:pPr>
              <w:ind w:left="140"/>
              <w:spacing w:after="0"/>
              <w:rPr>
                <w:sz w:val="20"/>
                <w:szCs w:val="20"/>
                <w:color w:val="auto"/>
              </w:rPr>
            </w:pPr>
            <w:r>
              <w:rPr>
                <w:rFonts w:ascii="Arial" w:cs="Arial" w:eastAsia="Arial" w:hAnsi="Arial"/>
                <w:sz w:val="18"/>
                <w:szCs w:val="18"/>
                <w:color w:val="auto"/>
              </w:rPr>
              <w:t>Ariel - IA</w:t>
            </w:r>
          </w:p>
        </w:tc>
        <w:tc>
          <w:tcPr>
            <w:tcW w:w="1080" w:type="dxa"/>
            <w:vAlign w:val="bottom"/>
          </w:tcPr>
          <w:p>
            <w:pPr>
              <w:spacing w:after="0"/>
              <w:rPr>
                <w:sz w:val="24"/>
                <w:szCs w:val="24"/>
                <w:color w:val="auto"/>
              </w:rPr>
            </w:pPr>
          </w:p>
        </w:tc>
      </w:tr>
      <w:tr>
        <w:trPr>
          <w:trHeight w:val="110"/>
        </w:trPr>
        <w:tc>
          <w:tcPr>
            <w:tcW w:w="360" w:type="dxa"/>
            <w:vAlign w:val="bottom"/>
            <w:tcBorders>
              <w:bottom w:val="single" w:sz="8" w:color="808080"/>
            </w:tcBorders>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355" w:lineRule="exact"/>
        <w:rPr>
          <w:sz w:val="20"/>
          <w:szCs w:val="20"/>
          <w:color w:val="auto"/>
        </w:rPr>
      </w:pPr>
    </w:p>
    <w:p>
      <w:pPr>
        <w:ind w:left="820" w:right="8079" w:hanging="407"/>
        <w:spacing w:after="0" w:line="616"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Brady Corporation</w:t>
      </w: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6555 West Good Hope Road, Milwaukee, WI 53201-0571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ectPr>
          <w:pgSz w:w="11900" w:h="16860" w:orient="portrait"/>
          <w:cols w:equalWidth="0" w:num="1">
            <w:col w:w="10219"/>
          </w:cols>
          <w:pgMar w:left="240" w:top="604" w:right="1440" w:bottom="0" w:gutter="0" w:footer="0" w:header="0"/>
        </w:sectPr>
      </w:pPr>
    </w:p>
    <w:bookmarkStart w:id="2" w:name="page3"/>
    <w:bookmarkEnd w:id="2"/>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Ariel Capital Management, LLC</w:t>
      </w:r>
    </w:p>
    <w:p>
      <w:pPr>
        <w:spacing w:after="0" w:line="279" w:lineRule="exact"/>
        <w:rPr>
          <w:rFonts w:ascii="Arial" w:cs="Arial" w:eastAsia="Arial" w:hAnsi="Arial"/>
          <w:sz w:val="18"/>
          <w:szCs w:val="18"/>
          <w:color w:val="auto"/>
        </w:rPr>
      </w:pPr>
    </w:p>
    <w:p>
      <w:pPr>
        <w:ind w:left="820" w:right="5219" w:hanging="407"/>
        <w:spacing w:after="0" w:line="657" w:lineRule="auto"/>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 200 E. Randolph Drive, Suite 2900, Chicago, IL 60601</w:t>
      </w:r>
    </w:p>
    <w:p>
      <w:pPr>
        <w:spacing w:after="0" w:line="1" w:lineRule="exact"/>
        <w:rPr>
          <w:rFonts w:ascii="Arial" w:cs="Arial" w:eastAsia="Arial" w:hAnsi="Arial"/>
          <w:sz w:val="15"/>
          <w:szCs w:val="15"/>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a Delaware Limited Liability Company</w:t>
      </w:r>
    </w:p>
    <w:p>
      <w:pPr>
        <w:spacing w:after="0" w:line="279" w:lineRule="exact"/>
        <w:rPr>
          <w:rFonts w:ascii="Arial" w:cs="Arial" w:eastAsia="Arial" w:hAnsi="Arial"/>
          <w:sz w:val="18"/>
          <w:szCs w:val="18"/>
          <w:color w:val="auto"/>
        </w:rPr>
      </w:pPr>
    </w:p>
    <w:p>
      <w:pPr>
        <w:ind w:left="820" w:right="7539" w:hanging="407"/>
        <w:spacing w:after="0" w:line="616"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Class A Common Stock</w:t>
      </w:r>
    </w:p>
    <w:p>
      <w:pPr>
        <w:ind w:left="820" w:right="8279" w:hanging="407"/>
        <w:spacing w:after="0" w:line="61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104674106</w:t>
      </w:r>
    </w:p>
    <w:p>
      <w:pPr>
        <w:spacing w:after="0" w:line="1" w:lineRule="exact"/>
        <w:rPr>
          <w:sz w:val="20"/>
          <w:szCs w:val="20"/>
          <w:color w:val="auto"/>
        </w:rPr>
      </w:pPr>
    </w:p>
    <w:p>
      <w:pPr>
        <w:ind w:left="720" w:right="2619" w:hanging="701"/>
        <w:spacing w:after="0" w:line="275" w:lineRule="auto"/>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1" w:lineRule="exact"/>
        <w:rPr>
          <w:sz w:val="20"/>
          <w:szCs w:val="20"/>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Act (15 U.S.C. 78o).</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|_|   Bank as defined in section 3(a)(6) of the Act (15 U.S.C. 78c).</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Act (15 U.S.C. 78c).</w:t>
      </w:r>
    </w:p>
    <w:p>
      <w:pPr>
        <w:spacing w:after="0" w:line="252" w:lineRule="exact"/>
        <w:rPr>
          <w:rFonts w:ascii="Arial" w:cs="Arial" w:eastAsia="Arial" w:hAnsi="Arial"/>
          <w:sz w:val="18"/>
          <w:szCs w:val="18"/>
          <w:color w:val="auto"/>
        </w:rPr>
      </w:pPr>
    </w:p>
    <w:p>
      <w:pPr>
        <w:ind w:left="1220" w:right="2819" w:hanging="807"/>
        <w:spacing w:after="0" w:line="268" w:lineRule="auto"/>
        <w:tabs>
          <w:tab w:leader="none" w:pos="825" w:val="left"/>
        </w:tabs>
        <w:numPr>
          <w:ilvl w:val="0"/>
          <w:numId w:val="8"/>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13" w:lineRule="exact"/>
        <w:rPr>
          <w:sz w:val="20"/>
          <w:szCs w:val="20"/>
          <w:color w:val="auto"/>
        </w:rPr>
      </w:pPr>
    </w:p>
    <w:p>
      <w:pPr>
        <w:ind w:left="420"/>
        <w:spacing w:after="0"/>
        <w:tabs>
          <w:tab w:leader="none" w:pos="800" w:val="left"/>
          <w:tab w:leader="none" w:pos="1220" w:val="left"/>
        </w:tabs>
        <w:rPr>
          <w:sz w:val="20"/>
          <w:szCs w:val="20"/>
          <w:color w:val="auto"/>
        </w:rPr>
      </w:pPr>
      <w:r>
        <w:rPr>
          <w:rFonts w:ascii="Arial" w:cs="Arial" w:eastAsia="Arial" w:hAnsi="Arial"/>
          <w:sz w:val="18"/>
          <w:szCs w:val="18"/>
          <w:color w:val="auto"/>
        </w:rPr>
        <w:t>(e)</w:t>
        <w:tab/>
        <w:t>|X|</w:t>
      </w:r>
      <w:r>
        <w:rPr>
          <w:sz w:val="20"/>
          <w:szCs w:val="20"/>
          <w:color w:val="auto"/>
        </w:rPr>
        <w:tab/>
      </w:r>
      <w:r>
        <w:rPr>
          <w:rFonts w:ascii="Arial" w:cs="Arial" w:eastAsia="Arial" w:hAnsi="Arial"/>
          <w:sz w:val="16"/>
          <w:szCs w:val="16"/>
          <w:color w:val="auto"/>
        </w:rPr>
        <w:t>An investment adviser in accordance with §240.13d-1(b)(1)(ii)(E);</w:t>
      </w:r>
    </w:p>
    <w:p>
      <w:pPr>
        <w:spacing w:after="0" w:line="252"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|_|   An employee benefit plan or endowment fund in accordance with §240.13d-1(b)(1)(ii)(F);</w:t>
      </w:r>
    </w:p>
    <w:p>
      <w:pPr>
        <w:spacing w:after="0" w:line="275" w:lineRule="exact"/>
        <w:rPr>
          <w:rFonts w:ascii="Arial" w:cs="Arial" w:eastAsia="Arial" w:hAnsi="Arial"/>
          <w:sz w:val="16"/>
          <w:szCs w:val="16"/>
          <w:color w:val="auto"/>
        </w:rPr>
      </w:pPr>
    </w:p>
    <w:p>
      <w:pPr>
        <w:ind w:left="820" w:hanging="407"/>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|_|   A parent holding company or control person in accordance with § 240.13d-1(b)(1)(ii)(G);</w:t>
      </w:r>
    </w:p>
    <w:p>
      <w:pPr>
        <w:spacing w:after="0" w:line="275" w:lineRule="exact"/>
        <w:rPr>
          <w:rFonts w:ascii="Arial" w:cs="Arial" w:eastAsia="Arial" w:hAnsi="Arial"/>
          <w:sz w:val="16"/>
          <w:szCs w:val="16"/>
          <w:color w:val="auto"/>
        </w:rPr>
      </w:pPr>
    </w:p>
    <w:p>
      <w:pPr>
        <w:ind w:left="1220" w:right="2959" w:hanging="807"/>
        <w:spacing w:after="0" w:line="268" w:lineRule="auto"/>
        <w:tabs>
          <w:tab w:leader="none" w:pos="825" w:val="left"/>
        </w:tabs>
        <w:numPr>
          <w:ilvl w:val="0"/>
          <w:numId w:val="9"/>
        </w:numPr>
        <w:rPr>
          <w:rFonts w:ascii="Arial" w:cs="Arial" w:eastAsia="Arial" w:hAnsi="Arial"/>
          <w:sz w:val="18"/>
          <w:szCs w:val="18"/>
          <w:color w:val="auto"/>
        </w:rPr>
      </w:pPr>
      <w:r>
        <w:rPr>
          <w:rFonts w:ascii="Arial" w:cs="Arial" w:eastAsia="Arial" w:hAnsi="Arial"/>
          <w:sz w:val="18"/>
          <w:szCs w:val="18"/>
          <w:color w:val="auto"/>
        </w:rPr>
        <w:t>|_| A savings associations as defined in Section 3(b) of the Federal Deposit Insurance Act (12 U.S.C. 1813);</w:t>
      </w:r>
    </w:p>
    <w:p>
      <w:pPr>
        <w:spacing w:after="0" w:line="212" w:lineRule="exact"/>
        <w:rPr>
          <w:rFonts w:ascii="Arial" w:cs="Arial" w:eastAsia="Arial" w:hAnsi="Arial"/>
          <w:sz w:val="18"/>
          <w:szCs w:val="18"/>
          <w:color w:val="auto"/>
        </w:rPr>
      </w:pPr>
    </w:p>
    <w:p>
      <w:pPr>
        <w:ind w:left="1220" w:right="3159" w:hanging="807"/>
        <w:spacing w:after="0" w:line="332" w:lineRule="auto"/>
        <w:tabs>
          <w:tab w:leader="none" w:pos="825" w:val="left"/>
        </w:tabs>
        <w:numPr>
          <w:ilvl w:val="0"/>
          <w:numId w:val="9"/>
        </w:numPr>
        <w:rPr>
          <w:rFonts w:ascii="Arial" w:cs="Arial" w:eastAsia="Arial" w:hAnsi="Arial"/>
          <w:sz w:val="16"/>
          <w:szCs w:val="16"/>
          <w:color w:val="auto"/>
        </w:rPr>
      </w:pPr>
      <w:r>
        <w:rPr>
          <w:rFonts w:ascii="Arial" w:cs="Arial" w:eastAsia="Arial" w:hAnsi="Arial"/>
          <w:sz w:val="16"/>
          <w:szCs w:val="16"/>
          <w:color w:val="auto"/>
        </w:rPr>
        <w:t>|_| A church plan that is excluded from the definition of an investment company under section 3(c)(14) of the Investment Company Act of 1940 (15 U.S.C. 80a-3);</w:t>
      </w:r>
    </w:p>
    <w:p>
      <w:pPr>
        <w:spacing w:after="0" w:line="166" w:lineRule="exact"/>
        <w:rPr>
          <w:rFonts w:ascii="Arial" w:cs="Arial" w:eastAsia="Arial" w:hAnsi="Arial"/>
          <w:sz w:val="16"/>
          <w:szCs w:val="16"/>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12" w:lineRule="exact"/>
        <w:rPr>
          <w:sz w:val="20"/>
          <w:szCs w:val="20"/>
          <w:color w:val="auto"/>
        </w:rPr>
      </w:pPr>
    </w:p>
    <w:p>
      <w:pPr>
        <w:ind w:right="2259" w:firstLine="439"/>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13" w:lineRule="exact"/>
        <w:rPr>
          <w:sz w:val="20"/>
          <w:szCs w:val="20"/>
          <w:color w:val="auto"/>
        </w:rPr>
      </w:pPr>
    </w:p>
    <w:p>
      <w:pPr>
        <w:ind w:left="820" w:right="7399" w:hanging="407"/>
        <w:spacing w:after="0" w:line="332"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beneficially owned: (See Page 2, No. 9)</w:t>
      </w:r>
    </w:p>
    <w:p>
      <w:pPr>
        <w:spacing w:after="0" w:line="166" w:lineRule="exact"/>
        <w:rPr>
          <w:rFonts w:ascii="Arial" w:cs="Arial" w:eastAsia="Arial" w:hAnsi="Arial"/>
          <w:sz w:val="16"/>
          <w:szCs w:val="16"/>
          <w:color w:val="auto"/>
        </w:rPr>
      </w:pPr>
    </w:p>
    <w:p>
      <w:pPr>
        <w:ind w:left="820" w:right="7959" w:hanging="407"/>
        <w:spacing w:after="0" w:line="370" w:lineRule="auto"/>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Percent of class: (See Page 2, No. 11)</w:t>
      </w:r>
    </w:p>
    <w:p>
      <w:pPr>
        <w:spacing w:after="0" w:line="143" w:lineRule="exact"/>
        <w:rPr>
          <w:rFonts w:ascii="Arial" w:cs="Arial" w:eastAsia="Arial" w:hAnsi="Arial"/>
          <w:sz w:val="15"/>
          <w:szCs w:val="15"/>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220" w:right="6259" w:hanging="402"/>
        <w:spacing w:after="0" w:line="268" w:lineRule="auto"/>
        <w:tabs>
          <w:tab w:leader="none" w:pos="1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(See Page 2, No. 5)</w:t>
      </w:r>
    </w:p>
    <w:p>
      <w:pPr>
        <w:sectPr>
          <w:pgSz w:w="11900" w:h="16838" w:orient="portrait"/>
          <w:cols w:equalWidth="0" w:num="1">
            <w:col w:w="10219"/>
          </w:cols>
          <w:pgMar w:left="240" w:top="631" w:right="1440" w:bottom="0" w:gutter="0" w:footer="0" w:header="0"/>
        </w:sectPr>
      </w:pPr>
    </w:p>
    <w:bookmarkStart w:id="3" w:name="page4"/>
    <w:bookmarkEnd w:id="3"/>
    <w:p>
      <w:pPr>
        <w:ind w:left="1220" w:right="6079" w:hanging="402"/>
        <w:spacing w:after="0" w:line="268"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(See Page 2, No. 6)</w:t>
      </w:r>
    </w:p>
    <w:p>
      <w:pPr>
        <w:spacing w:after="0" w:line="212" w:lineRule="exact"/>
        <w:rPr>
          <w:rFonts w:ascii="Arial" w:cs="Arial" w:eastAsia="Arial" w:hAnsi="Arial"/>
          <w:sz w:val="18"/>
          <w:szCs w:val="18"/>
          <w:color w:val="auto"/>
        </w:rPr>
      </w:pPr>
    </w:p>
    <w:p>
      <w:pPr>
        <w:ind w:left="1220" w:right="5379" w:hanging="402"/>
        <w:spacing w:after="0" w:line="268"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Page 2, No. 7)</w:t>
      </w:r>
    </w:p>
    <w:p>
      <w:pPr>
        <w:spacing w:after="0" w:line="212" w:lineRule="exact"/>
        <w:rPr>
          <w:rFonts w:ascii="Arial" w:cs="Arial" w:eastAsia="Arial" w:hAnsi="Arial"/>
          <w:sz w:val="18"/>
          <w:szCs w:val="18"/>
          <w:color w:val="auto"/>
        </w:rPr>
      </w:pPr>
    </w:p>
    <w:p>
      <w:pPr>
        <w:ind w:left="1220" w:right="5199" w:hanging="402"/>
        <w:spacing w:after="0" w:line="268"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Page 2, No.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00" w:lineRule="exact"/>
        <w:rPr>
          <w:sz w:val="20"/>
          <w:szCs w:val="20"/>
          <w:color w:val="auto"/>
        </w:rPr>
      </w:pPr>
    </w:p>
    <w:p>
      <w:pPr>
        <w:spacing w:after="0" w:line="342" w:lineRule="exact"/>
        <w:rPr>
          <w:sz w:val="20"/>
          <w:szCs w:val="20"/>
          <w:color w:val="auto"/>
        </w:rPr>
      </w:pPr>
    </w:p>
    <w:p>
      <w:pPr>
        <w:ind w:left="820" w:right="2379" w:firstLine="483"/>
        <w:spacing w:after="0" w:line="259"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342" w:lineRule="exact"/>
        <w:rPr>
          <w:sz w:val="20"/>
          <w:szCs w:val="20"/>
          <w:color w:val="auto"/>
        </w:rPr>
      </w:pPr>
    </w:p>
    <w:p>
      <w:pPr>
        <w:ind w:left="820" w:right="2179" w:firstLine="473"/>
        <w:spacing w:after="0" w:line="298" w:lineRule="auto"/>
        <w:rPr>
          <w:sz w:val="20"/>
          <w:szCs w:val="20"/>
          <w:color w:val="auto"/>
        </w:rPr>
      </w:pPr>
      <w:r>
        <w:rPr>
          <w:rFonts w:ascii="Arial" w:cs="Arial" w:eastAsia="Arial" w:hAnsi="Arial"/>
          <w:sz w:val="16"/>
          <w:szCs w:val="16"/>
          <w:color w:val="auto"/>
        </w:rPr>
        <w:t>Ariel Capital Management, LLC's adviser clients have the right to receive or the power to direct the receipt of dividends from, or the proceeds from the sale of, all securities reported upon this Schedule. Of these clients, Ariel Fund, an open-end management investment company, has an economic interest in more than 5% of the subject securities reported upon this Schedule.</w:t>
      </w:r>
    </w:p>
    <w:p>
      <w:pPr>
        <w:spacing w:after="0" w:line="188" w:lineRule="exact"/>
        <w:rPr>
          <w:sz w:val="20"/>
          <w:szCs w:val="20"/>
          <w:color w:val="auto"/>
        </w:rPr>
      </w:pPr>
    </w:p>
    <w:p>
      <w:pPr>
        <w:ind w:left="720" w:right="2379" w:hanging="701"/>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0" w:right="2139"/>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SIGNATURE</w:t>
      </w:r>
    </w:p>
    <w:p>
      <w:pPr>
        <w:spacing w:after="0" w:line="312" w:lineRule="exact"/>
        <w:rPr>
          <w:sz w:val="20"/>
          <w:szCs w:val="20"/>
          <w:color w:val="auto"/>
        </w:rPr>
      </w:pPr>
    </w:p>
    <w:p>
      <w:pPr>
        <w:ind w:right="2179" w:firstLine="341"/>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1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ARIEL CAPITAL MANAGEMENT, LLC</w:t>
      </w:r>
    </w:p>
    <w:p>
      <w:pPr>
        <w:spacing w:after="0" w:line="15" w:lineRule="exact"/>
        <w:rPr>
          <w:sz w:val="20"/>
          <w:szCs w:val="20"/>
          <w:color w:val="auto"/>
        </w:rPr>
      </w:pPr>
    </w:p>
    <w:p>
      <w:pPr>
        <w:ind w:left="3660"/>
        <w:spacing w:after="0"/>
        <w:tabs>
          <w:tab w:leader="none" w:pos="4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Wendy D. Fox</w:t>
      </w:r>
    </w:p>
    <w:p>
      <w:pPr>
        <w:sectPr>
          <w:pgSz w:w="11900" w:h="16838" w:orient="portrait"/>
          <w:cols w:equalWidth="0" w:num="1">
            <w:col w:w="10219"/>
          </w:cols>
          <w:pgMar w:left="240" w:top="374" w:right="1440" w:bottom="20" w:gutter="0" w:footer="0" w:header="0"/>
        </w:sectPr>
      </w:pPr>
    </w:p>
    <w:bookmarkStart w:id="4" w:name="page5"/>
    <w:bookmarkEnd w:id="4"/>
    <w:p>
      <w:pPr>
        <w:ind w:left="40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Wendy D. Fox</w:t>
      </w:r>
    </w:p>
    <w:p>
      <w:pPr>
        <w:spacing w:after="0" w:line="24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Vice President/Chief Compliance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4"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exhibits. </w:t>
      </w:r>
      <w:r>
        <w:rPr>
          <w:rFonts w:ascii="Arial" w:cs="Arial" w:eastAsia="Arial" w:hAnsi="Arial"/>
          <w:sz w:val="18"/>
          <w:szCs w:val="18"/>
          <w:i w:val="1"/>
          <w:iCs w:val="1"/>
          <w:color w:val="auto"/>
        </w:rPr>
        <w:t>See</w:t>
      </w:r>
      <w:r>
        <w:rPr>
          <w:rFonts w:ascii="Arial" w:cs="Arial" w:eastAsia="Arial" w:hAnsi="Arial"/>
          <w:sz w:val="18"/>
          <w:szCs w:val="18"/>
          <w:color w:val="auto"/>
        </w:rPr>
        <w:t xml:space="preserve"> §240.13d-7 for other parties for whom copies are to be sent.</w:t>
      </w:r>
    </w:p>
    <w:p>
      <w:pPr>
        <w:spacing w:after="0" w:line="207" w:lineRule="exact"/>
        <w:rPr>
          <w:sz w:val="20"/>
          <w:szCs w:val="20"/>
          <w:color w:val="auto"/>
        </w:rPr>
      </w:pPr>
    </w:p>
    <w:p>
      <w:pPr>
        <w:ind w:left="820" w:right="3139" w:hanging="809"/>
        <w:spacing w:after="0" w:line="275" w:lineRule="auto"/>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1"/>
    </w:lvl>
    <w:lvl w:ilvl="1">
      <w:lvlJc w:val="left"/>
      <w:lvlText w:val="%2."/>
      <w:numFmt w:val="decimal"/>
      <w:start w:val="8"/>
    </w:lvl>
  </w:abstractNum>
  <w:abstractNum w:abstractNumId="4">
    <w:nsid w:val="7545E146"/>
    <w:multiLevelType w:val="hybridMultilevel"/>
    <w:lvl w:ilvl="0">
      <w:lvlJc w:val="left"/>
      <w:lvlText w:val="%1."/>
      <w:numFmt w:val="decimal"/>
      <w:start w:val="9"/>
    </w:lvl>
    <w:lvl w:ilvl="1">
      <w:lvlJc w:val="left"/>
      <w:lvlText w:val="%2"/>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6"/>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2019-12-13T14:13:30Z</dcterms:created>
  <dcterms:modified xsi:type="dcterms:W3CDTF">2019-12-13T14:13:30Z</dcterms:modified>
</cp:coreProperties>
</file>