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24917.xml.htm"/>
      <w:bookmarkStart w:id="1" w:name="kswkform4_17912249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DeBruine Thomas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6555 W GOOD HOPE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53223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BRADY CORP</w:t>
              </w:r>
            </w:hyperlink>
            <w:r>
              <w:rPr/>
              <w:t xml:space="preserve"> [ </w:t>
            </w:r>
            <w:r>
              <w:rPr>
                <w:rFonts w:ascii="Times;serif" w:hAnsi="Times;serif"/>
                <w:color w:val="0000FF"/>
                <w:sz w:val="24"/>
                <w:shd w:fill="FFFFFF" w:val="clear"/>
              </w:rPr>
              <w:t>BRC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3,815</w:t>
            </w:r>
            <w:r>
              <w:rPr>
                <w:rFonts w:ascii="Times;serif" w:hAnsi="Times;serif"/>
                <w:color w:val="008000"/>
                <w:position w:val="7"/>
                <w:sz w:val="16"/>
                <w:sz w:val="20"/>
                <w:shd w:fill="FFFFFF" w:val="clear"/>
              </w:rPr>
              <w:t>(1)</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11,338</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1,388</w:t>
            </w:r>
            <w:r>
              <w:rPr>
                <w:rFonts w:ascii="Times;serif" w:hAnsi="Times;serif"/>
                <w:color w:val="008000"/>
                <w:position w:val="7"/>
                <w:sz w:val="16"/>
                <w:sz w:val="20"/>
                <w:shd w:fill="FFFFFF" w:val="clear"/>
              </w:rPr>
              <w:t>(2)</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85.2</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9,950</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which vest one third each year for the three years subsequent to the grant date. Upon vesting, each restricted stock unit will be settled solely by delivery of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to cover taxes on 2,957 restricted stock units that vested on October 2,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Heidi Knueppel,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5977" TargetMode="External"/><Relationship Id="rId5" Type="http://schemas.openxmlformats.org/officeDocument/2006/relationships/hyperlink" Target="http://www.sec.gov/cgi-bin/browse-edgar?action=getcompany&amp;CIK=00007465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634</Words>
  <Characters>3403</Characters>
  <CharactersWithSpaces>3960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