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46990</wp:posOffset>
            </wp:positionV>
            <wp:extent cx="1499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41275</wp:posOffset>
            </wp:positionV>
            <wp:extent cx="1499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55" w:lineRule="exact"/>
        <w:rPr>
          <w:sz w:val="24"/>
          <w:szCs w:val="24"/>
          <w:color w:val="auto"/>
        </w:rPr>
      </w:pPr>
    </w:p>
    <w:p>
      <w:pPr>
        <w:ind w:left="640" w:right="380" w:hanging="614"/>
        <w:spacing w:after="0" w:line="231" w:lineRule="auto"/>
        <w:tabs>
          <w:tab w:leader="none" w:pos="64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2021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2" w:lineRule="exact"/>
        <w:rPr>
          <w:sz w:val="24"/>
          <w:szCs w:val="24"/>
          <w:color w:val="auto"/>
        </w:rPr>
      </w:pPr>
    </w:p>
    <w:p>
      <w:pPr>
        <w:ind w:left="640" w:right="38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68580</wp:posOffset>
            </wp:positionV>
            <wp:extent cx="1499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55880</wp:posOffset>
            </wp:positionV>
            <wp:extent cx="15005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60" w:type="dxa"/>
            <w:vAlign w:val="bottom"/>
          </w:tcPr>
          <w:p>
            <w:pPr>
              <w:spacing w:after="0"/>
              <w:rPr>
                <w:sz w:val="19"/>
                <w:szCs w:val="19"/>
                <w:color w:val="auto"/>
              </w:rPr>
            </w:pPr>
          </w:p>
        </w:tc>
        <w:tc>
          <w:tcPr>
            <w:tcW w:w="3600" w:type="dxa"/>
            <w:vAlign w:val="bottom"/>
          </w:tcPr>
          <w:p>
            <w:pPr>
              <w:jc w:val="center"/>
              <w:ind w:left="904"/>
              <w:spacing w:after="0"/>
              <w:rPr>
                <w:sz w:val="20"/>
                <w:szCs w:val="20"/>
                <w:color w:val="auto"/>
              </w:rPr>
            </w:pPr>
            <w:r>
              <w:rPr>
                <w:rFonts w:ascii="Arial" w:cs="Arial" w:eastAsia="Arial" w:hAnsi="Arial"/>
                <w:sz w:val="18"/>
                <w:szCs w:val="18"/>
                <w:b w:val="1"/>
                <w:bCs w:val="1"/>
                <w:color w:val="auto"/>
                <w:w w:val="86"/>
              </w:rPr>
              <w:t>Wisconsin</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80" w:type="dxa"/>
            <w:vAlign w:val="bottom"/>
          </w:tcPr>
          <w:p>
            <w:pPr>
              <w:jc w:val="right"/>
              <w:ind w:right="1864"/>
              <w:spacing w:after="0"/>
              <w:rPr>
                <w:sz w:val="20"/>
                <w:szCs w:val="20"/>
                <w:color w:val="auto"/>
              </w:rPr>
            </w:pPr>
            <w:r>
              <w:rPr>
                <w:rFonts w:ascii="Arial" w:cs="Arial" w:eastAsia="Arial" w:hAnsi="Arial"/>
                <w:sz w:val="18"/>
                <w:szCs w:val="18"/>
                <w:b w:val="1"/>
                <w:bCs w:val="1"/>
                <w:color w:val="auto"/>
              </w:rPr>
              <w:t>39-0178960</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6700" w:type="dxa"/>
            <w:vAlign w:val="bottom"/>
            <w:gridSpan w:val="5"/>
          </w:tcPr>
          <w:p>
            <w:pPr>
              <w:jc w:val="center"/>
              <w:ind w:right="210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880" w:type="dxa"/>
            <w:vAlign w:val="bottom"/>
          </w:tcPr>
          <w:p>
            <w:pPr>
              <w:jc w:val="center"/>
              <w:ind w:right="804"/>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507"/>
        </w:trPr>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6555 West Good Hope Road</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100" w:type="dxa"/>
            <w:vAlign w:val="bottom"/>
            <w:gridSpan w:val="4"/>
          </w:tcPr>
          <w:p>
            <w:pPr>
              <w:ind w:left="440"/>
              <w:spacing w:after="0"/>
              <w:rPr>
                <w:sz w:val="20"/>
                <w:szCs w:val="20"/>
                <w:color w:val="auto"/>
              </w:rPr>
            </w:pPr>
            <w:r>
              <w:rPr>
                <w:rFonts w:ascii="Arial" w:cs="Arial" w:eastAsia="Arial" w:hAnsi="Arial"/>
                <w:sz w:val="18"/>
                <w:szCs w:val="18"/>
                <w:b w:val="1"/>
                <w:bCs w:val="1"/>
                <w:color w:val="auto"/>
              </w:rPr>
              <w:t>Milwaukee, Wisconsin 53223</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100" w:type="dxa"/>
            <w:vAlign w:val="bottom"/>
            <w:gridSpan w:val="4"/>
          </w:tcPr>
          <w:p>
            <w:pPr>
              <w:jc w:val="center"/>
              <w:ind w:left="139"/>
              <w:spacing w:after="0" w:line="145" w:lineRule="exact"/>
              <w:rPr>
                <w:sz w:val="20"/>
                <w:szCs w:val="20"/>
                <w:color w:val="auto"/>
              </w:rPr>
            </w:pPr>
            <w:r>
              <w:rPr>
                <w:rFonts w:ascii="Arial" w:cs="Arial" w:eastAsia="Arial" w:hAnsi="Arial"/>
                <w:sz w:val="14"/>
                <w:szCs w:val="14"/>
                <w:b w:val="1"/>
                <w:bCs w:val="1"/>
                <w:color w:val="auto"/>
                <w:w w:val="91"/>
              </w:rPr>
              <w:t>(Address of principal executive offices and</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zip code)</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40" w:type="dxa"/>
            <w:vAlign w:val="bottom"/>
            <w:gridSpan w:val="3"/>
          </w:tcPr>
          <w:p>
            <w:pPr>
              <w:jc w:val="center"/>
              <w:ind w:left="399"/>
              <w:spacing w:after="0"/>
              <w:rPr>
                <w:sz w:val="20"/>
                <w:szCs w:val="20"/>
                <w:color w:val="auto"/>
              </w:rPr>
            </w:pPr>
            <w:r>
              <w:rPr>
                <w:rFonts w:ascii="Arial" w:cs="Arial" w:eastAsia="Arial" w:hAnsi="Arial"/>
                <w:sz w:val="18"/>
                <w:szCs w:val="18"/>
                <w:b w:val="1"/>
                <w:bCs w:val="1"/>
                <w:color w:val="auto"/>
                <w:w w:val="90"/>
              </w:rPr>
              <w:t>(414) 358-6600</w:t>
            </w:r>
          </w:p>
        </w:tc>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980" w:type="dxa"/>
            <w:vAlign w:val="bottom"/>
            <w:gridSpan w:val="5"/>
          </w:tcPr>
          <w:p>
            <w:pPr>
              <w:jc w:val="center"/>
              <w:ind w:right="35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80"/>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39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2"/>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0" w:type="dxa"/>
            <w:vAlign w:val="bottom"/>
            <w:tcBorders>
              <w:right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w:t>
            </w: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Trading Symbol</w:t>
            </w: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1"/>
        </w:trPr>
        <w:tc>
          <w:tcPr>
            <w:tcW w:w="360" w:type="dxa"/>
            <w:vAlign w:val="bottom"/>
            <w:tcBorders>
              <w:right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Class A Nonvoting Common Stock, par value $0.01 per share</w:t>
            </w: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BRC</w:t>
            </w: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36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Pr>
          <w:p>
            <w:pPr>
              <w:ind w:left="440"/>
              <w:spacing w:after="0"/>
              <w:rPr>
                <w:sz w:val="20"/>
                <w:szCs w:val="20"/>
                <w:color w:val="auto"/>
              </w:rPr>
            </w:pPr>
            <w:r>
              <w:rPr>
                <w:rFonts w:ascii="Arial" w:cs="Arial" w:eastAsia="Arial" w:hAnsi="Arial"/>
                <w:sz w:val="14"/>
                <w:szCs w:val="14"/>
                <w:color w:val="auto"/>
              </w:rPr>
              <w:t>Accelerated filer</w:t>
            </w:r>
          </w:p>
        </w:tc>
        <w:tc>
          <w:tcPr>
            <w:tcW w:w="1060" w:type="dxa"/>
            <w:vAlign w:val="bottom"/>
            <w:vMerge w:val="restart"/>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480" w:type="dxa"/>
            <w:vAlign w:val="bottom"/>
          </w:tcPr>
          <w:p>
            <w:pPr>
              <w:ind w:left="440"/>
              <w:spacing w:after="0"/>
              <w:rPr>
                <w:sz w:val="20"/>
                <w:szCs w:val="20"/>
                <w:color w:val="auto"/>
              </w:rPr>
            </w:pPr>
            <w:r>
              <w:rPr>
                <w:rFonts w:ascii="Arial" w:cs="Arial" w:eastAsia="Arial" w:hAnsi="Arial"/>
                <w:sz w:val="14"/>
                <w:szCs w:val="14"/>
                <w:color w:val="auto"/>
              </w:rPr>
              <w:t>Emerging growth company</w:t>
            </w:r>
          </w:p>
        </w:tc>
        <w:tc>
          <w:tcPr>
            <w:tcW w:w="600" w:type="dxa"/>
            <w:vAlign w:val="bottom"/>
            <w:vMerge w:val="restart"/>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73"/>
        </w:trPr>
        <w:tc>
          <w:tcPr>
            <w:tcW w:w="186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spacing w:after="0"/>
              <w:rPr>
                <w:sz w:val="6"/>
                <w:szCs w:val="6"/>
                <w:color w:val="auto"/>
              </w:rPr>
            </w:pPr>
          </w:p>
        </w:tc>
        <w:tc>
          <w:tcPr>
            <w:tcW w:w="2480" w:type="dxa"/>
            <w:vAlign w:val="bottom"/>
            <w:vMerge w:val="restart"/>
          </w:tcPr>
          <w:p>
            <w:pPr>
              <w:ind w:left="440"/>
              <w:spacing w:after="0"/>
              <w:rPr>
                <w:sz w:val="20"/>
                <w:szCs w:val="20"/>
                <w:color w:val="auto"/>
              </w:rPr>
            </w:pPr>
            <w:r>
              <w:rPr>
                <w:rFonts w:ascii="Arial" w:cs="Arial" w:eastAsia="Arial" w:hAnsi="Arial"/>
                <w:sz w:val="14"/>
                <w:szCs w:val="14"/>
                <w:color w:val="auto"/>
              </w:rPr>
              <w:t>Smaller reporting company</w:t>
            </w:r>
          </w:p>
        </w:tc>
        <w:tc>
          <w:tcPr>
            <w:tcW w:w="1060" w:type="dxa"/>
            <w:vAlign w:val="bottom"/>
            <w:vMerge w:val="continue"/>
          </w:tcPr>
          <w:p>
            <w:pPr>
              <w:spacing w:after="0"/>
              <w:rPr>
                <w:sz w:val="6"/>
                <w:szCs w:val="6"/>
                <w:color w:val="auto"/>
              </w:rPr>
            </w:pPr>
          </w:p>
        </w:tc>
        <w:tc>
          <w:tcPr>
            <w:tcW w:w="24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860" w:type="dxa"/>
            <w:vAlign w:val="bottom"/>
            <w:vMerge w:val="continue"/>
          </w:tcPr>
          <w:p>
            <w:pPr>
              <w:spacing w:after="0"/>
              <w:rPr>
                <w:sz w:val="14"/>
                <w:szCs w:val="14"/>
                <w:color w:val="auto"/>
              </w:rPr>
            </w:pPr>
          </w:p>
        </w:tc>
        <w:tc>
          <w:tcPr>
            <w:tcW w:w="1160" w:type="dxa"/>
            <w:vAlign w:val="bottom"/>
            <w:vMerge w:val="restart"/>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2480" w:type="dxa"/>
            <w:vAlign w:val="bottom"/>
            <w:vMerge w:val="continue"/>
          </w:tcPr>
          <w:p>
            <w:pPr>
              <w:spacing w:after="0"/>
              <w:rPr>
                <w:sz w:val="14"/>
                <w:szCs w:val="14"/>
                <w:color w:val="auto"/>
              </w:rPr>
            </w:pPr>
          </w:p>
        </w:tc>
        <w:tc>
          <w:tcPr>
            <w:tcW w:w="1060" w:type="dxa"/>
            <w:vAlign w:val="bottom"/>
            <w:vMerge w:val="restart"/>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8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7" w:lineRule="exact"/>
        <w:rPr>
          <w:sz w:val="24"/>
          <w:szCs w:val="24"/>
          <w:color w:val="auto"/>
        </w:rPr>
      </w:pPr>
    </w:p>
    <w:p>
      <w:pPr>
        <w:ind w:right="54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69" w:lineRule="exact"/>
        <w:rPr>
          <w:sz w:val="24"/>
          <w:szCs w:val="24"/>
          <w:color w:val="auto"/>
        </w:rPr>
      </w:pPr>
    </w:p>
    <w:p>
      <w:pPr>
        <w:ind w:right="120"/>
        <w:spacing w:after="0" w:line="273" w:lineRule="auto"/>
        <w:rPr>
          <w:sz w:val="20"/>
          <w:szCs w:val="20"/>
          <w:color w:val="auto"/>
        </w:rPr>
      </w:pPr>
      <w:r>
        <w:rPr>
          <w:rFonts w:ascii="Arial" w:cs="Arial" w:eastAsia="Arial" w:hAnsi="Arial"/>
          <w:sz w:val="14"/>
          <w:szCs w:val="14"/>
          <w:color w:val="auto"/>
        </w:rPr>
        <w:t>As of February 16, 2021, there were 48,486,758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080" w:type="dxa"/>
            <w:vAlign w:val="bottom"/>
          </w:tcPr>
          <w:p>
            <w:pPr>
              <w:jc w:val="center"/>
              <w:ind w:left="710"/>
              <w:spacing w:after="0"/>
              <w:rPr>
                <w:sz w:val="20"/>
                <w:szCs w:val="20"/>
                <w:color w:val="auto"/>
              </w:rPr>
            </w:pPr>
            <w:r>
              <w:rPr>
                <w:rFonts w:ascii="Arial" w:cs="Arial" w:eastAsia="Arial" w:hAnsi="Arial"/>
                <w:sz w:val="18"/>
                <w:szCs w:val="18"/>
                <w:color w:val="auto"/>
                <w:w w:val="93"/>
              </w:rPr>
              <w:t>FORM 10-Q</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9080" w:type="dxa"/>
            <w:vAlign w:val="bottom"/>
          </w:tcPr>
          <w:p>
            <w:pPr>
              <w:jc w:val="center"/>
              <w:ind w:left="730"/>
              <w:spacing w:after="0"/>
              <w:rPr>
                <w:sz w:val="20"/>
                <w:szCs w:val="20"/>
                <w:color w:val="auto"/>
              </w:rPr>
            </w:pPr>
            <w:r>
              <w:rPr>
                <w:rFonts w:ascii="Arial" w:cs="Arial" w:eastAsia="Arial" w:hAnsi="Arial"/>
                <w:sz w:val="18"/>
                <w:szCs w:val="18"/>
                <w:color w:val="auto"/>
                <w:w w:val="96"/>
              </w:rPr>
              <w:t>BRADY CORPORATION</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9080" w:type="dxa"/>
            <w:vAlign w:val="bottom"/>
          </w:tcPr>
          <w:p>
            <w:pPr>
              <w:jc w:val="center"/>
              <w:ind w:left="710"/>
              <w:spacing w:after="0"/>
              <w:rPr>
                <w:sz w:val="20"/>
                <w:szCs w:val="20"/>
                <w:color w:val="auto"/>
              </w:rPr>
            </w:pPr>
            <w:r>
              <w:rPr>
                <w:rFonts w:ascii="Arial" w:cs="Arial" w:eastAsia="Arial" w:hAnsi="Arial"/>
                <w:sz w:val="18"/>
                <w:szCs w:val="18"/>
                <w:color w:val="auto"/>
              </w:rPr>
              <w:t>INDEX</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12"/>
        </w:trPr>
        <w:tc>
          <w:tcPr>
            <w:tcW w:w="68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480" w:type="dxa"/>
            <w:vAlign w:val="bottom"/>
            <w:gridSpan w:val="2"/>
          </w:tcPr>
          <w:p>
            <w:pPr>
              <w:ind w:left="600"/>
              <w:spacing w:after="0"/>
              <w:rPr>
                <w:sz w:val="20"/>
                <w:szCs w:val="20"/>
                <w:color w:val="auto"/>
              </w:rPr>
            </w:pPr>
            <w:r>
              <w:rPr>
                <w:rFonts w:ascii="Arial" w:cs="Arial" w:eastAsia="Arial" w:hAnsi="Arial"/>
                <w:sz w:val="14"/>
                <w:szCs w:val="14"/>
                <w:color w:val="auto"/>
              </w:rPr>
              <w:t>Page</w:t>
            </w:r>
          </w:p>
        </w:tc>
      </w:tr>
      <w:tr>
        <w:trPr>
          <w:trHeight w:val="229"/>
        </w:trPr>
        <w:tc>
          <w:tcPr>
            <w:tcW w:w="9760" w:type="dxa"/>
            <w:vAlign w:val="bottom"/>
            <w:gridSpan w:val="2"/>
          </w:tcPr>
          <w:p>
            <w:pPr>
              <w:ind w:left="20"/>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460" w:type="dxa"/>
            <w:vAlign w:val="bottom"/>
            <w:tcBorders>
              <w:top w:val="single" w:sz="8" w:color="auto"/>
            </w:tcBorders>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r>
      <w:tr>
        <w:trPr>
          <w:trHeight w:val="230"/>
        </w:trPr>
        <w:tc>
          <w:tcPr>
            <w:tcW w:w="9760" w:type="dxa"/>
            <w:vAlign w:val="bottom"/>
            <w:gridSpan w:val="2"/>
          </w:tcPr>
          <w:p>
            <w:pPr>
              <w:ind w:left="14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r>
      <w:tr>
        <w:trPr>
          <w:trHeight w:val="229"/>
        </w:trPr>
        <w:tc>
          <w:tcPr>
            <w:tcW w:w="9760" w:type="dxa"/>
            <w:vAlign w:val="bottom"/>
            <w:gridSpan w:val="2"/>
          </w:tcPr>
          <w:p>
            <w:pPr>
              <w:ind w:left="36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4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r>
      <w:tr>
        <w:trPr>
          <w:trHeight w:val="230"/>
        </w:trPr>
        <w:tc>
          <w:tcPr>
            <w:tcW w:w="9760" w:type="dxa"/>
            <w:vAlign w:val="bottom"/>
            <w:gridSpan w:val="2"/>
          </w:tcPr>
          <w:p>
            <w:pPr>
              <w:ind w:left="36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w:t>
              </w:r>
            </w:hyperlink>
          </w:p>
        </w:tc>
        <w:tc>
          <w:tcPr>
            <w:tcW w:w="14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0" w:type="dxa"/>
            <w:vAlign w:val="bottom"/>
          </w:tcPr>
          <w:p>
            <w:pPr>
              <w:spacing w:after="0"/>
              <w:rPr>
                <w:sz w:val="19"/>
                <w:szCs w:val="19"/>
                <w:color w:val="auto"/>
              </w:rPr>
            </w:pPr>
          </w:p>
        </w:tc>
      </w:tr>
      <w:tr>
        <w:trPr>
          <w:trHeight w:val="229"/>
        </w:trPr>
        <w:tc>
          <w:tcPr>
            <w:tcW w:w="9760" w:type="dxa"/>
            <w:vAlign w:val="bottom"/>
            <w:gridSpan w:val="2"/>
          </w:tcPr>
          <w:p>
            <w:pPr>
              <w:ind w:left="36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w:t>
              </w:r>
            </w:hyperlink>
          </w:p>
        </w:tc>
        <w:tc>
          <w:tcPr>
            <w:tcW w:w="14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19"/>
                <w:szCs w:val="19"/>
                <w:color w:val="auto"/>
              </w:rPr>
            </w:pPr>
          </w:p>
        </w:tc>
      </w:tr>
      <w:tr>
        <w:trPr>
          <w:trHeight w:val="229"/>
        </w:trPr>
        <w:tc>
          <w:tcPr>
            <w:tcW w:w="9760" w:type="dxa"/>
            <w:vAlign w:val="bottom"/>
            <w:gridSpan w:val="2"/>
          </w:tcPr>
          <w:p>
            <w:pPr>
              <w:ind w:left="36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46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9"/>
                <w:szCs w:val="19"/>
                <w:color w:val="auto"/>
              </w:rPr>
            </w:pPr>
          </w:p>
        </w:tc>
      </w:tr>
      <w:tr>
        <w:trPr>
          <w:trHeight w:val="230"/>
        </w:trPr>
        <w:tc>
          <w:tcPr>
            <w:tcW w:w="9760" w:type="dxa"/>
            <w:vAlign w:val="bottom"/>
            <w:gridSpan w:val="2"/>
          </w:tcPr>
          <w:p>
            <w:pPr>
              <w:ind w:left="360"/>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6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9"/>
                <w:szCs w:val="19"/>
                <w:color w:val="auto"/>
              </w:rPr>
            </w:pPr>
          </w:p>
        </w:tc>
      </w:tr>
      <w:tr>
        <w:trPr>
          <w:trHeight w:val="229"/>
        </w:trPr>
        <w:tc>
          <w:tcPr>
            <w:tcW w:w="680" w:type="dxa"/>
            <w:vAlign w:val="bottom"/>
          </w:tcPr>
          <w:p>
            <w:pPr>
              <w:ind w:left="140"/>
              <w:spacing w:after="0"/>
              <w:rPr>
                <w:rFonts w:ascii="Arial" w:cs="Arial" w:eastAsia="Arial" w:hAnsi="Arial"/>
                <w:sz w:val="18"/>
                <w:szCs w:val="18"/>
                <w:color w:val="0000FF"/>
                <w:w w:val="94"/>
              </w:rPr>
            </w:pPr>
            <w:hyperlink w:anchor="page15">
              <w:r>
                <w:rPr>
                  <w:rFonts w:ascii="Arial" w:cs="Arial" w:eastAsia="Arial" w:hAnsi="Arial"/>
                  <w:sz w:val="18"/>
                  <w:szCs w:val="18"/>
                  <w:color w:val="0000FF"/>
                  <w:w w:val="94"/>
                </w:rPr>
                <w:t>Item 2.</w:t>
              </w:r>
            </w:hyperlink>
          </w:p>
        </w:tc>
        <w:tc>
          <w:tcPr>
            <w:tcW w:w="9080" w:type="dxa"/>
            <w:vAlign w:val="bottom"/>
          </w:tcPr>
          <w:p>
            <w:pPr>
              <w:ind w:left="20"/>
              <w:spacing w:after="0"/>
              <w:rPr>
                <w:rFonts w:ascii="Arial" w:cs="Arial" w:eastAsia="Arial" w:hAnsi="Arial"/>
                <w:sz w:val="18"/>
                <w:szCs w:val="18"/>
                <w:color w:val="0000FF"/>
              </w:rPr>
            </w:pPr>
            <w:hyperlink w:anchor="page15">
              <w:r>
                <w:rPr>
                  <w:rFonts w:ascii="Arial" w:cs="Arial" w:eastAsia="Arial" w:hAnsi="Arial"/>
                  <w:sz w:val="18"/>
                  <w:szCs w:val="18"/>
                  <w:color w:val="0000FF"/>
                </w:rPr>
                <w:t>Management’s Discussion and Analysis of Results of Operations and Financial Condition</w:t>
              </w:r>
            </w:hyperlink>
          </w:p>
        </w:tc>
        <w:tc>
          <w:tcPr>
            <w:tcW w:w="146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c>
          <w:tcPr>
            <w:tcW w:w="20" w:type="dxa"/>
            <w:vAlign w:val="bottom"/>
          </w:tcPr>
          <w:p>
            <w:pPr>
              <w:spacing w:after="0"/>
              <w:rPr>
                <w:sz w:val="19"/>
                <w:szCs w:val="19"/>
                <w:color w:val="auto"/>
              </w:rPr>
            </w:pPr>
          </w:p>
        </w:tc>
      </w:tr>
      <w:tr>
        <w:trPr>
          <w:trHeight w:val="230"/>
        </w:trPr>
        <w:tc>
          <w:tcPr>
            <w:tcW w:w="680" w:type="dxa"/>
            <w:vAlign w:val="bottom"/>
          </w:tcPr>
          <w:p>
            <w:pPr>
              <w:ind w:left="140"/>
              <w:spacing w:after="0"/>
              <w:rPr>
                <w:rFonts w:ascii="Arial" w:cs="Arial" w:eastAsia="Arial" w:hAnsi="Arial"/>
                <w:sz w:val="18"/>
                <w:szCs w:val="18"/>
                <w:color w:val="0000FF"/>
                <w:w w:val="94"/>
              </w:rPr>
            </w:pPr>
            <w:hyperlink w:anchor="page23">
              <w:r>
                <w:rPr>
                  <w:rFonts w:ascii="Arial" w:cs="Arial" w:eastAsia="Arial" w:hAnsi="Arial"/>
                  <w:sz w:val="18"/>
                  <w:szCs w:val="18"/>
                  <w:color w:val="0000FF"/>
                  <w:w w:val="94"/>
                </w:rPr>
                <w:t>Item 3.</w:t>
              </w:r>
            </w:hyperlink>
          </w:p>
        </w:tc>
        <w:tc>
          <w:tcPr>
            <w:tcW w:w="9080" w:type="dxa"/>
            <w:vAlign w:val="bottom"/>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Quantitative and Qualitative Disclosures About Market Risk</w:t>
              </w:r>
            </w:hyperlink>
          </w:p>
        </w:tc>
        <w:tc>
          <w:tcPr>
            <w:tcW w:w="14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9"/>
                <w:szCs w:val="19"/>
                <w:color w:val="auto"/>
              </w:rPr>
            </w:pPr>
          </w:p>
        </w:tc>
      </w:tr>
      <w:tr>
        <w:trPr>
          <w:trHeight w:val="229"/>
        </w:trPr>
        <w:tc>
          <w:tcPr>
            <w:tcW w:w="680" w:type="dxa"/>
            <w:vAlign w:val="bottom"/>
          </w:tcPr>
          <w:p>
            <w:pPr>
              <w:ind w:left="140"/>
              <w:spacing w:after="0"/>
              <w:rPr>
                <w:rFonts w:ascii="Arial" w:cs="Arial" w:eastAsia="Arial" w:hAnsi="Arial"/>
                <w:sz w:val="18"/>
                <w:szCs w:val="18"/>
                <w:color w:val="0000FF"/>
                <w:w w:val="94"/>
              </w:rPr>
            </w:pPr>
            <w:hyperlink w:anchor="page23">
              <w:r>
                <w:rPr>
                  <w:rFonts w:ascii="Arial" w:cs="Arial" w:eastAsia="Arial" w:hAnsi="Arial"/>
                  <w:sz w:val="18"/>
                  <w:szCs w:val="18"/>
                  <w:color w:val="0000FF"/>
                  <w:w w:val="94"/>
                </w:rPr>
                <w:t>Item 4.</w:t>
              </w:r>
            </w:hyperlink>
          </w:p>
        </w:tc>
        <w:tc>
          <w:tcPr>
            <w:tcW w:w="9080" w:type="dxa"/>
            <w:vAlign w:val="bottom"/>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Controls and Procedures</w:t>
              </w:r>
            </w:hyperlink>
          </w:p>
        </w:tc>
        <w:tc>
          <w:tcPr>
            <w:tcW w:w="14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9"/>
                <w:szCs w:val="19"/>
                <w:color w:val="auto"/>
              </w:rPr>
            </w:pPr>
          </w:p>
        </w:tc>
      </w:tr>
      <w:tr>
        <w:trPr>
          <w:trHeight w:val="229"/>
        </w:trPr>
        <w:tc>
          <w:tcPr>
            <w:tcW w:w="9760" w:type="dxa"/>
            <w:vAlign w:val="bottom"/>
            <w:gridSpan w:val="2"/>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PART II. Other Information</w:t>
              </w:r>
            </w:hyperlink>
          </w:p>
        </w:tc>
        <w:tc>
          <w:tcPr>
            <w:tcW w:w="14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20" w:type="dxa"/>
            <w:vAlign w:val="bottom"/>
          </w:tcPr>
          <w:p>
            <w:pPr>
              <w:spacing w:after="0"/>
              <w:rPr>
                <w:sz w:val="19"/>
                <w:szCs w:val="19"/>
                <w:color w:val="auto"/>
              </w:rPr>
            </w:pPr>
          </w:p>
        </w:tc>
      </w:tr>
      <w:tr>
        <w:trPr>
          <w:trHeight w:val="230"/>
        </w:trPr>
        <w:tc>
          <w:tcPr>
            <w:tcW w:w="9760" w:type="dxa"/>
            <w:vAlign w:val="bottom"/>
            <w:gridSpan w:val="2"/>
          </w:tcPr>
          <w:p>
            <w:pPr>
              <w:ind w:left="140"/>
              <w:spacing w:after="0"/>
              <w:rPr>
                <w:rFonts w:ascii="Arial" w:cs="Arial" w:eastAsia="Arial" w:hAnsi="Arial"/>
                <w:sz w:val="18"/>
                <w:szCs w:val="18"/>
                <w:color w:val="0000FF"/>
              </w:rPr>
            </w:pPr>
            <w:hyperlink w:anchor="page24">
              <w:r>
                <w:rPr>
                  <w:rFonts w:ascii="Arial" w:cs="Arial" w:eastAsia="Arial" w:hAnsi="Arial"/>
                  <w:sz w:val="18"/>
                  <w:szCs w:val="18"/>
                  <w:color w:val="0000FF"/>
                </w:rPr>
                <w:t>Item 1A. Risk Factors</w:t>
              </w:r>
            </w:hyperlink>
          </w:p>
        </w:tc>
        <w:tc>
          <w:tcPr>
            <w:tcW w:w="14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20" w:type="dxa"/>
            <w:vAlign w:val="bottom"/>
          </w:tcPr>
          <w:p>
            <w:pPr>
              <w:spacing w:after="0"/>
              <w:rPr>
                <w:sz w:val="19"/>
                <w:szCs w:val="19"/>
                <w:color w:val="auto"/>
              </w:rPr>
            </w:pPr>
          </w:p>
        </w:tc>
      </w:tr>
      <w:tr>
        <w:trPr>
          <w:trHeight w:val="229"/>
        </w:trPr>
        <w:tc>
          <w:tcPr>
            <w:tcW w:w="680" w:type="dxa"/>
            <w:vAlign w:val="bottom"/>
          </w:tcPr>
          <w:p>
            <w:pPr>
              <w:ind w:left="140"/>
              <w:spacing w:after="0"/>
              <w:rPr>
                <w:rFonts w:ascii="Arial" w:cs="Arial" w:eastAsia="Arial" w:hAnsi="Arial"/>
                <w:sz w:val="18"/>
                <w:szCs w:val="18"/>
                <w:color w:val="0000FF"/>
                <w:w w:val="94"/>
              </w:rPr>
            </w:pPr>
            <w:hyperlink w:anchor="page24">
              <w:r>
                <w:rPr>
                  <w:rFonts w:ascii="Arial" w:cs="Arial" w:eastAsia="Arial" w:hAnsi="Arial"/>
                  <w:sz w:val="18"/>
                  <w:szCs w:val="18"/>
                  <w:color w:val="0000FF"/>
                  <w:w w:val="94"/>
                </w:rPr>
                <w:t>Item 6.</w:t>
              </w:r>
            </w:hyperlink>
          </w:p>
        </w:tc>
        <w:tc>
          <w:tcPr>
            <w:tcW w:w="9080" w:type="dxa"/>
            <w:vAlign w:val="bottom"/>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Exhibits</w:t>
              </w:r>
            </w:hyperlink>
          </w:p>
        </w:tc>
        <w:tc>
          <w:tcPr>
            <w:tcW w:w="1460" w:type="dxa"/>
            <w:vAlign w:val="bottom"/>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9"/>
                <w:szCs w:val="19"/>
                <w:color w:val="auto"/>
              </w:rPr>
            </w:pPr>
          </w:p>
        </w:tc>
      </w:tr>
      <w:tr>
        <w:trPr>
          <w:trHeight w:val="230"/>
        </w:trPr>
        <w:tc>
          <w:tcPr>
            <w:tcW w:w="9760" w:type="dxa"/>
            <w:vAlign w:val="bottom"/>
            <w:gridSpan w:val="2"/>
          </w:tcPr>
          <w:p>
            <w:pPr>
              <w:ind w:left="140"/>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146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20"/>
                <w:szCs w:val="20"/>
                <w:color w:val="auto"/>
              </w:rPr>
            </w:pPr>
          </w:p>
        </w:tc>
      </w:tr>
      <w:tr>
        <w:trPr>
          <w:trHeight w:val="1121"/>
        </w:trPr>
        <w:tc>
          <w:tcPr>
            <w:tcW w:w="680" w:type="dxa"/>
            <w:vAlign w:val="bottom"/>
          </w:tcPr>
          <w:p>
            <w:pPr>
              <w:spacing w:after="0"/>
              <w:rPr>
                <w:sz w:val="24"/>
                <w:szCs w:val="24"/>
                <w:color w:val="auto"/>
              </w:rPr>
            </w:pPr>
          </w:p>
        </w:tc>
        <w:tc>
          <w:tcPr>
            <w:tcW w:w="9080" w:type="dxa"/>
            <w:vAlign w:val="bottom"/>
          </w:tcPr>
          <w:p>
            <w:pPr>
              <w:jc w:val="center"/>
              <w:ind w:left="710"/>
              <w:spacing w:after="0"/>
              <w:rPr>
                <w:sz w:val="20"/>
                <w:szCs w:val="20"/>
                <w:color w:val="auto"/>
              </w:rPr>
            </w:pPr>
            <w:r>
              <w:rPr>
                <w:rFonts w:ascii="Arial" w:cs="Arial" w:eastAsia="Arial" w:hAnsi="Arial"/>
                <w:sz w:val="18"/>
                <w:szCs w:val="18"/>
                <w:color w:val="auto"/>
                <w:w w:val="79"/>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90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31, 2021</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July 31, 2020</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217,643</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Accounts receivable, net of allowances for credit losses of $7,450 and $7,157, respectively</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154,052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146,181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135,662</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9,962</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509,448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122,088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115,068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416,034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19,809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22,334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38,849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41,899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28,838</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1,207,882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1,142,466</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62,547</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41,546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8,652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49,782</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185,888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27,134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31,982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61,524</w:t>
            </w:r>
          </w:p>
        </w:tc>
        <w:tc>
          <w:tcPr>
            <w:tcW w:w="0" w:type="dxa"/>
            <w:vAlign w:val="bottom"/>
          </w:tcPr>
          <w:p>
            <w:pPr>
              <w:spacing w:after="0"/>
              <w:rPr>
                <w:sz w:val="1"/>
                <w:szCs w:val="1"/>
                <w:color w:val="auto"/>
              </w:rPr>
            </w:pPr>
          </w:p>
        </w:tc>
      </w:tr>
      <w:tr>
        <w:trPr>
          <w:trHeight w:val="206"/>
        </w:trPr>
        <w:tc>
          <w:tcPr>
            <w:tcW w:w="814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288,547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279,394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140" w:type="dxa"/>
            <w:vAlign w:val="bottom"/>
          </w:tcPr>
          <w:p>
            <w:pPr>
              <w:ind w:left="360"/>
              <w:spacing w:after="0" w:line="166" w:lineRule="exact"/>
              <w:rPr>
                <w:sz w:val="20"/>
                <w:szCs w:val="20"/>
                <w:color w:val="auto"/>
              </w:rPr>
            </w:pPr>
            <w:r>
              <w:rPr>
                <w:rFonts w:ascii="Arial" w:cs="Arial" w:eastAsia="Arial" w:hAnsi="Arial"/>
                <w:sz w:val="16"/>
                <w:szCs w:val="16"/>
                <w:color w:val="auto"/>
                <w:w w:val="95"/>
              </w:rPr>
              <w:t>Class A nonvoting common stock—Issued 51,261,487 shares, and outstanding 48,486,758 and 48,456,954 shares,</w:t>
            </w: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9"/>
        </w:trPr>
        <w:tc>
          <w:tcPr>
            <w:tcW w:w="814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334,077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331,761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745,960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704,456</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Treasury stock—2,774,729 and 2,804,533 shares, respectively, of Class A nonvoting common stock, at cost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(109,789)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(107,216)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919,335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863,072</w:t>
            </w:r>
          </w:p>
        </w:tc>
        <w:tc>
          <w:tcPr>
            <w:tcW w:w="0" w:type="dxa"/>
            <w:vAlign w:val="bottom"/>
          </w:tcPr>
          <w:p>
            <w:pPr>
              <w:spacing w:after="0"/>
              <w:rPr>
                <w:sz w:val="1"/>
                <w:szCs w:val="1"/>
                <w:color w:val="auto"/>
              </w:rPr>
            </w:pPr>
          </w:p>
        </w:tc>
      </w:tr>
      <w:tr>
        <w:trPr>
          <w:trHeight w:val="23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1,207,882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1,142,466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6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210"/>
        </w:trPr>
        <w:tc>
          <w:tcPr>
            <w:tcW w:w="5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563,612</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283,080</w:t>
            </w: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280,532</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21,484</w:t>
            </w:r>
          </w:p>
        </w:tc>
      </w:tr>
      <w:tr>
        <w:trPr>
          <w:trHeight w:val="213"/>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165,271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176,913</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97,883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185,350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198,397</w:t>
            </w: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41,244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79,600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82,135</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Investment and other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3,140</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39,397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42,357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81,634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83,927</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12,876</w:t>
            </w: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31,191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64,846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71,051</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64,341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71,051</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53,232</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53,781</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26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210"/>
        </w:trPr>
        <w:tc>
          <w:tcPr>
            <w:tcW w:w="55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71,051</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500" w:type="dxa"/>
            <w:vAlign w:val="bottom"/>
          </w:tcPr>
          <w:p>
            <w:pPr>
              <w:ind w:left="680"/>
              <w:spacing w:after="0"/>
              <w:rPr>
                <w:sz w:val="20"/>
                <w:szCs w:val="20"/>
                <w:color w:val="auto"/>
              </w:rPr>
            </w:pPr>
            <w:r>
              <w:rPr>
                <w:rFonts w:ascii="Arial" w:cs="Arial" w:eastAsia="Arial" w:hAnsi="Arial"/>
                <w:sz w:val="16"/>
                <w:szCs w:val="16"/>
                <w:color w:val="auto"/>
              </w:rPr>
              <w:t>Net gain recognized in other comprehensive income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216"/>
        </w:trPr>
        <w:tc>
          <w:tcPr>
            <w:tcW w:w="550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9"/>
              </w:rPr>
              <w:t>Reclassification adjustment for losses (gains)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other post-retirement benefits: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500" w:type="dxa"/>
            <w:vAlign w:val="bottom"/>
          </w:tcPr>
          <w:p>
            <w:pPr>
              <w:ind w:left="680"/>
              <w:spacing w:after="0"/>
              <w:rPr>
                <w:sz w:val="20"/>
                <w:szCs w:val="20"/>
                <w:color w:val="auto"/>
              </w:rPr>
            </w:pPr>
            <w:r>
              <w:rPr>
                <w:rFonts w:ascii="Arial" w:cs="Arial" w:eastAsia="Arial" w:hAnsi="Arial"/>
                <w:sz w:val="16"/>
                <w:szCs w:val="16"/>
                <w:color w:val="auto"/>
              </w:rPr>
              <w:t>Net loss recognized in other comprehensive income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6"/>
        </w:trPr>
        <w:tc>
          <w:tcPr>
            <w:tcW w:w="55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actuarial gain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19"/>
        </w:trPr>
        <w:tc>
          <w:tcPr>
            <w:tcW w:w="55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07"/>
        </w:trPr>
        <w:tc>
          <w:tcPr>
            <w:tcW w:w="55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19,458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16,068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(1,405)</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Income tax (expense) benefit related to items of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7"/>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r>
      <w:tr>
        <w:trPr>
          <w:trHeight w:val="23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49,067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79,357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69,815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8"/>
              </w:rPr>
              <w:t>Six months ended January 31,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64,341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71,051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11,672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5,384</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losses of unconsolidated affiliate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6,209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(39,777)</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53,107</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(13,100)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(16,506)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 of dividends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(23,136)</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4,686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for employee taxes withheld from stock-based awards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(7,733)</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 of treasury stock</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6"/>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(28,828)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(26,049)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59,945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10,731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279,072</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277,588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289,803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2021 and July 31, 2020, its results of operations and comprehensive income for the three and six months ended January 31, 2021 and 2020, and cash flows for the six months ended January 31, 2021 and 2020. The condensed consolidated balance sheet as of July 31, 2020,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2020.</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Standards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changes the impairment model for most financial instruments. Prior guidance required the recognition of credit losses based on an incurred loss impairment methodology that reflected losses once the losses were probable. Under ASU 2016-13, the Company is required to use a current expected credit loss model ("CECL") that immediately recognizes an estimate of credit losses that are expected to occur over the life of the financial instruments that are in the scope of this update, including trade receivables. The Company adopted ASU 2016-13 effective August 1, 2020, which did not have a material impact on its consolidated financial statements.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2017-04, "Goodwill and Other, Simplifying the Test for Goodwill Impairment." The new guidance removes Step 2 of the goodwill impairment test, which required a hypothetical purchase price allocation. A goodwill impairment is now the amount by which a reporting unit’s carrying value exceeds its fair value, not to exceed the carrying amount of goodwill. All other goodwill impairment guidance remains largely unchanged. The Company adopted ASC 2017-04 effective August 1, 2020. This guidance only impacts the Company's consolidated financial statements if there is a future impairment of goodwill.</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Standards not yet adopted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(Topic 740)." The new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 the annual effective tax rate computation in the interim period that includes the enactment date. This guidance is effective for annual periods beginning after December 15, 2020, and interim periods thereafter. Early adoption is permitted. The Company is currently evaluating the impact that the adoption of this ASU will have on the consolidated financial statements and related disclosures.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phase out of the London Inter-bank Offered Rate ("LIBOR") by the end of 2021. This guidance was effective upon issuance and allows application to contract changes as early as January 1, 2020. Some of the Company's contracts with respect to its borrowing agreements already contain comparable alternative reference rates that would automatically take effect upon the phasing out of LIBOR. The Company is in the process of reviewing its bank facilities and commercial contracts that utilize LIBOR as the reference rate and is currently evaluating the potential impact that the adoption of this ASU will have on the consolidated financial statements and related disclosures.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C — Additional Balance Sheet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January 31, 2021, and July 31, 2020,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31, 2021</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2020</w:t>
            </w:r>
          </w:p>
        </w:tc>
      </w:tr>
      <w:tr>
        <w:trPr>
          <w:trHeight w:val="21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85,547</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19,262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24,044</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26,071</w:t>
            </w:r>
          </w:p>
        </w:tc>
      </w:tr>
      <w:tr>
        <w:trPr>
          <w:trHeight w:val="207"/>
        </w:trPr>
        <w:tc>
          <w:tcPr>
            <w:tcW w:w="798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122,922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135,662</w:t>
            </w:r>
          </w:p>
        </w:tc>
      </w:tr>
      <w:tr>
        <w:trPr>
          <w:trHeight w:val="23"/>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$272,945 and $276,248 as of January 31, 2021, and July 31, 2020,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as of January 31, 2021 and July 31, 2020,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January 31, 2021</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July 31, 2020</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Book</w:t>
            </w: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(Years)</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1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0"/>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Definite-lived other intangible assets:</w:t>
            </w: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40" w:type="dxa"/>
            <w:vAlign w:val="bottom"/>
          </w:tcPr>
          <w:p>
            <w:pPr>
              <w:ind w:left="180"/>
              <w:spacing w:after="0"/>
              <w:rPr>
                <w:sz w:val="20"/>
                <w:szCs w:val="20"/>
                <w:color w:val="auto"/>
              </w:rPr>
            </w:pPr>
            <w:r>
              <w:rPr>
                <w:rFonts w:ascii="Arial" w:cs="Arial" w:eastAsia="Arial" w:hAnsi="Arial"/>
                <w:sz w:val="14"/>
                <w:szCs w:val="14"/>
                <w:color w:val="auto"/>
              </w:rPr>
              <w:t>Customer relationships and tradenames</w:t>
            </w:r>
          </w:p>
        </w:tc>
        <w:tc>
          <w:tcPr>
            <w:tcW w:w="110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45,498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(35,431)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10,067</w:t>
            </w:r>
          </w:p>
        </w:tc>
        <w:tc>
          <w:tcPr>
            <w:tcW w:w="1200" w:type="dxa"/>
            <w:vAlign w:val="bottom"/>
            <w:gridSpan w:val="2"/>
          </w:tcPr>
          <w:p>
            <w:pPr>
              <w:jc w:val="center"/>
              <w:ind w:lef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45,385</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(32,670)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12,715</w:t>
            </w: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Indefinite-lived other intangible assets:</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4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9,742</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9,619</w:t>
            </w:r>
          </w:p>
        </w:tc>
        <w:tc>
          <w:tcPr>
            <w:tcW w:w="0" w:type="dxa"/>
            <w:vAlign w:val="bottom"/>
          </w:tcPr>
          <w:p>
            <w:pPr>
              <w:spacing w:after="0"/>
              <w:rPr>
                <w:sz w:val="1"/>
                <w:szCs w:val="1"/>
                <w:color w:val="auto"/>
              </w:rPr>
            </w:pPr>
          </w:p>
        </w:tc>
      </w:tr>
      <w:tr>
        <w:trPr>
          <w:trHeight w:val="20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55,004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gross carrying amount of other intangible assets as of January 31, 2021 compared to July 31, 2020 was mainly due to the effect of currency fluctuations during the six-month period.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of intangible assets was $1,353 and $1,291 for the three months ended January 31, 2021 and 2020, respectively, and $2,704 and $2,582 for the six months ended January 31, 2021 and 2020, respectively. Amortization expense over each of the next three fiscal years is projected to be $5,407, $5,123, and $2,241 for the fiscal years ending July 31, 2021, 2022, and 2023. No amortization expense for intangible assets is projected after July 31, 2023.</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E — Leases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leases certain manufacturing facilities, warehouses and office space, computer equipment, and vehicles accounted for as operating leases. Lease terms typically range from one year to ten years. As of January 31, 2021, the Company did not have any finance leases.</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lease expense was $4,169 and $4,274 for the three months ended January 31, 2021 and 2020, respectively, and $8,242 and $9,678 for the six months ended January 31, 2021 and 2020, respectively. Operating lease expense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and six months ended January 31, 2021 and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Supplemental cash flow information related to the Company's operating leases for the six months ended January 31, 2021 and 2020,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January 31,</w:t>
            </w:r>
          </w:p>
        </w:tc>
        <w:tc>
          <w:tcPr>
            <w:tcW w:w="520" w:type="dxa"/>
            <w:vAlign w:val="bottom"/>
            <w:tcBorders>
              <w:bottom w:val="single" w:sz="8" w:color="auto"/>
            </w:tcBorders>
          </w:tcPr>
          <w:p>
            <w:pPr>
              <w:spacing w:after="0"/>
              <w:rPr>
                <w:sz w:val="18"/>
                <w:szCs w:val="18"/>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outflows from operating leases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8,216</w:t>
            </w: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color w:val="auto"/>
              </w:rPr>
              <w:t>Operating lease assets obtained in exchange for new operating lease liabilities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3,297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10,637</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NOTE F – Stockholders'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illustrates the changes in the balances of each component of stockholders' equity for the three months ended January 31,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October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332,121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726,546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880,401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30,860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18,207</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A — $0.2200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(10,667)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 $0.2200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Balances at January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334,077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745,960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(109,789)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(51,461)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919,335</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six months ended January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863,072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64,341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64,341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15,016</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(3,187)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5,471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 $0.4400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(21,338)</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B — $0.4234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919,335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January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6"/>
                <w:szCs w:val="16"/>
                <w:color w:val="auto"/>
              </w:rPr>
            </w:pPr>
          </w:p>
        </w:tc>
        <w:tc>
          <w:tcPr>
            <w:tcW w:w="11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Common</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Treasury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October 31,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876,535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3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33,553</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166"/>
        </w:trPr>
        <w:tc>
          <w:tcPr>
            <w:tcW w:w="4000" w:type="dxa"/>
            <w:vAlign w:val="bottom"/>
          </w:tcPr>
          <w:p>
            <w:pPr>
              <w:ind w:left="20"/>
              <w:spacing w:after="0" w:line="166" w:lineRule="exact"/>
              <w:rPr>
                <w:sz w:val="20"/>
                <w:szCs w:val="20"/>
                <w:color w:val="auto"/>
              </w:rPr>
            </w:pPr>
            <w:r>
              <w:rPr>
                <w:rFonts w:ascii="Arial" w:cs="Arial" w:eastAsia="Arial" w:hAnsi="Arial"/>
                <w:sz w:val="16"/>
                <w:szCs w:val="16"/>
                <w:color w:val="auto"/>
              </w:rPr>
              <w:t>Issuance of shares of Class A Common Stock</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line="166"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Arial" w:cs="Arial" w:eastAsia="Arial" w:hAnsi="Arial"/>
                <w:sz w:val="16"/>
                <w:szCs w:val="16"/>
                <w:color w:val="auto"/>
              </w:rPr>
              <w:t>187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line="16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624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1040"/>
              <w:spacing w:after="0" w:line="16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tcPr>
          <w:p>
            <w:pPr>
              <w:jc w:val="right"/>
              <w:spacing w:after="0" w:line="166" w:lineRule="exact"/>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6"/>
                <w:szCs w:val="16"/>
                <w:color w:val="auto"/>
              </w:rPr>
              <w:t>under stock plan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04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80"/>
              <w:spacing w:after="0"/>
              <w:rPr>
                <w:sz w:val="20"/>
                <w:szCs w:val="20"/>
                <w:color w:val="auto"/>
              </w:rPr>
            </w:pPr>
            <w:r>
              <w:rPr>
                <w:rFonts w:ascii="Arial" w:cs="Arial" w:eastAsia="Arial" w:hAnsi="Arial"/>
                <w:sz w:val="16"/>
                <w:szCs w:val="16"/>
                <w:color w:val="auto"/>
              </w:rPr>
              <w:t>Class A — $0.2175 per share</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(10,833)</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 $0.2175 per share</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Arial" w:cs="Arial" w:eastAsia="Arial" w:hAnsi="Arial"/>
                <w:sz w:val="16"/>
                <w:szCs w:val="16"/>
                <w:color w:val="auto"/>
              </w:rPr>
              <w:t>Balances at January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329,263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685,758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(43,155)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(72,490)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899,924</w:t>
            </w: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six months ended January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329,969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637,843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850,774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71,051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71,051</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166"/>
        </w:trPr>
        <w:tc>
          <w:tcPr>
            <w:tcW w:w="3760" w:type="dxa"/>
            <w:vAlign w:val="bottom"/>
          </w:tcPr>
          <w:p>
            <w:pPr>
              <w:ind w:left="20"/>
              <w:spacing w:after="0" w:line="166" w:lineRule="exact"/>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(6,223)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(3,046)</w:t>
            </w: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5,384</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Class A — $0.4350 per share</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(21,655)</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 $0.4184 per share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07"/>
        </w:trPr>
        <w:tc>
          <w:tcPr>
            <w:tcW w:w="3760" w:type="dxa"/>
            <w:vAlign w:val="bottom"/>
          </w:tcPr>
          <w:p>
            <w:pPr>
              <w:ind w:left="20"/>
              <w:spacing w:after="0"/>
              <w:rPr>
                <w:sz w:val="20"/>
                <w:szCs w:val="20"/>
                <w:color w:val="auto"/>
              </w:rPr>
            </w:pPr>
            <w:r>
              <w:rPr>
                <w:rFonts w:ascii="Arial" w:cs="Arial" w:eastAsia="Arial" w:hAnsi="Arial"/>
                <w:sz w:val="16"/>
                <w:szCs w:val="16"/>
                <w:color w:val="auto"/>
              </w:rPr>
              <w:t>Balances at January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329,263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685,758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(43,155)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(72,490)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899,924</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NOTE G — Accumulated Other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which includes the settlements of net investment hedges, unrealized gains and losses from cash flow hedges, and the unamortized gain on post-retirement plans, net of their related tax effects.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six months ended January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gain on cash flow</w:t>
            </w: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13,585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14,777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January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2,194</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(54,873)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(51,461)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accumulated other comprehensive loss as of January 31, 2021 compared to July 31, 2020, was primarily due to the depreciation of the U.S. dollar against certain other currencies during the six-month period.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six months ended January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Unrealized gain on</w:t>
            </w:r>
          </w:p>
        </w:tc>
        <w:tc>
          <w:tcPr>
            <w:tcW w:w="15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right"/>
              <w:ind w:right="160"/>
              <w:spacing w:after="0" w:line="162" w:lineRule="exact"/>
              <w:rPr>
                <w:sz w:val="20"/>
                <w:szCs w:val="20"/>
                <w:color w:val="auto"/>
              </w:rPr>
            </w:pPr>
            <w:r>
              <w:rPr>
                <w:rFonts w:ascii="Arial" w:cs="Arial" w:eastAsia="Arial" w:hAnsi="Arial"/>
                <w:sz w:val="16"/>
                <w:szCs w:val="16"/>
                <w:b w:val="1"/>
                <w:bCs w:val="1"/>
                <w:color w:val="auto"/>
                <w:w w:val="93"/>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cash flow hedges</w:t>
            </w: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2019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w w:val="89"/>
              </w:rPr>
              <w:t>707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839"/>
              <w:spacing w:after="0"/>
              <w:rPr>
                <w:sz w:val="20"/>
                <w:szCs w:val="20"/>
                <w:color w:val="auto"/>
              </w:rPr>
            </w:pPr>
            <w:r>
              <w:rPr>
                <w:rFonts w:ascii="Arial" w:cs="Arial" w:eastAsia="Arial" w:hAnsi="Arial"/>
                <w:sz w:val="16"/>
                <w:szCs w:val="16"/>
                <w:color w:val="auto"/>
                <w:w w:val="89"/>
              </w:rPr>
              <w:t>468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6"/>
              </w:rPr>
              <w:t>(365)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January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center"/>
              <w:ind w:left="839"/>
              <w:spacing w:after="0"/>
              <w:rPr>
                <w:sz w:val="20"/>
                <w:szCs w:val="20"/>
                <w:color w:val="auto"/>
              </w:rPr>
            </w:pPr>
            <w:r>
              <w:rPr>
                <w:rFonts w:ascii="Arial" w:cs="Arial" w:eastAsia="Arial" w:hAnsi="Arial"/>
                <w:sz w:val="16"/>
                <w:szCs w:val="16"/>
                <w:color w:val="auto"/>
                <w:w w:val="89"/>
              </w:rPr>
              <w:t>810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(75,674)</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(72,490)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accumulated other comprehensive loss as of January 31, 2020, compared to July 31, 2019, was primarily due to the appreciation of the U.S. dollar against certain other currencies during the six-month period.</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amounts reclassified from accumulated other comprehensive loss during the six months ended January 31, 2021 and 2020, unrealized (losses) gains on cash flow hedges were reclassified to "Cost of goods sold" and net unamortized gains on post-retirement plans were reclassified into "Investment and other income" on the condensed consolidated statements of income.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income tax (expense) benefit on the components of other comprehensive income (loss) for the three and six months ended January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6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4"/>
              </w:rPr>
              <w:t>Income tax (expense) benefit related to items of other comprehensive income</w:t>
            </w: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and other post-retirement benefits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tax adjustments and currency translation</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(1,304)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4"/>
              </w:rPr>
              <w:t>Income tax (expense) benefit related to items of other comprehensive income</w:t>
            </w: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(1,251)</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NOTE H — Revenue Recognition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I, “Segment Information,” for the Company’s disaggregated revenue disclosure.</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$2,531 and $2,559 as of January 31, 2021 and July 31, 2020, respectively. The current portion and non-current portion of contract liabilities are included in “Other current liabilities” and “Other liabilities," respectively, on the condensed consolidated balance sheets. The Company recognized revenue of $294 and $316 during the three months ended January 31, 2021 and 2020, respectively, and $591 and $631 during the six months ended January 31, 2021 and 2020, respectively, that was included in the contract liability balance at the beginning of the respective period from the amortization of extended service warranties. Of the contract liability balance outstanding at January 31, 2021, the Company expects to recognize 22% by the end of fiscal 2021, an additional 35% by the end of fiscal 2022, and the remaining balance thereafter.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I — Segment Information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("IDS"),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net sales by segment and geographic region for the three and six months ended January 31, 2021 and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ID Solutions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287,271</w:t>
            </w: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44,040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45,319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86,622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88,701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44,377</w:t>
            </w:r>
          </w:p>
        </w:tc>
        <w:tc>
          <w:tcPr>
            <w:tcW w:w="0" w:type="dxa"/>
            <w:vAlign w:val="bottom"/>
          </w:tcPr>
          <w:p>
            <w:pPr>
              <w:spacing w:after="0"/>
              <w:rPr>
                <w:sz w:val="1"/>
                <w:szCs w:val="1"/>
                <w:color w:val="auto"/>
              </w:rPr>
            </w:pPr>
          </w:p>
        </w:tc>
      </w:tr>
      <w:tr>
        <w:trPr>
          <w:trHeight w:val="207"/>
        </w:trPr>
        <w:tc>
          <w:tcPr>
            <w:tcW w:w="5200" w:type="dxa"/>
            <w:vAlign w:val="bottom"/>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194,227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205,362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392,419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420,349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Workplace Safety</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20,200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23,636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44,231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47,939</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73,027</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22,297</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71,611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143,263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335,210</w:t>
            </w: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84,205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82,321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168,053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161,728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Asia-Pacific</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66,674</w:t>
            </w:r>
          </w:p>
        </w:tc>
        <w:tc>
          <w:tcPr>
            <w:tcW w:w="0" w:type="dxa"/>
            <w:vAlign w:val="bottom"/>
          </w:tcPr>
          <w:p>
            <w:pPr>
              <w:spacing w:after="0"/>
              <w:rPr>
                <w:sz w:val="1"/>
                <w:szCs w:val="1"/>
                <w:color w:val="auto"/>
              </w:rPr>
            </w:pPr>
          </w:p>
        </w:tc>
      </w:tr>
      <w:tr>
        <w:trPr>
          <w:trHeight w:val="207"/>
        </w:trPr>
        <w:tc>
          <w:tcPr>
            <w:tcW w:w="5200" w:type="dxa"/>
            <w:vAlign w:val="bottom"/>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265,838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276,665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543,065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563,612</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profit for the three and six months ended January 31,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6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210"/>
        </w:trPr>
        <w:tc>
          <w:tcPr>
            <w:tcW w:w="5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color w:val="auto"/>
              </w:rPr>
              <w:t>ID Solutions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39,000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40,655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79,279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83,098</w:t>
            </w: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Workplace Safety</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10,612</w:t>
            </w:r>
          </w:p>
        </w:tc>
      </w:tr>
      <w:tr>
        <w:trPr>
          <w:trHeight w:val="206"/>
        </w:trPr>
        <w:tc>
          <w:tcPr>
            <w:tcW w:w="520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42,463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90,730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93,710</w:t>
            </w:r>
          </w:p>
        </w:tc>
      </w:tr>
      <w:tr>
        <w:trPr>
          <w:trHeight w:val="24"/>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is a reconciliation of segment profit to income before income taxes and losses of unconsolidated affiliate for the three and six months ended January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210"/>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42,463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93,710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Unallocated amounts: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Administrative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(5,051)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(11,575)</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Investment and other income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r>
      <w:tr>
        <w:trPr>
          <w:trHeight w:val="206"/>
        </w:trPr>
        <w:tc>
          <w:tcPr>
            <w:tcW w:w="522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39,397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42,357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81,634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83,927</w:t>
            </w:r>
          </w:p>
        </w:tc>
      </w:tr>
      <w:tr>
        <w:trPr>
          <w:trHeight w:val="24"/>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J — Net Income per Common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computation of basic and diluted net income per share for the Company’s Class A and Class B common stock: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4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6"/>
              </w:rPr>
              <w:t>Six months ended January 31,</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200" w:type="dxa"/>
            <w:vAlign w:val="bottom"/>
          </w:tcPr>
          <w:p>
            <w:pPr>
              <w:ind w:left="360"/>
              <w:spacing w:after="0" w:line="166" w:lineRule="exact"/>
              <w:rPr>
                <w:sz w:val="20"/>
                <w:szCs w:val="20"/>
                <w:color w:val="auto"/>
              </w:rPr>
            </w:pPr>
            <w:r>
              <w:rPr>
                <w:rFonts w:ascii="Arial" w:cs="Arial" w:eastAsia="Arial" w:hAnsi="Arial"/>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w w:val="89"/>
              </w:rPr>
              <w:t>30,860</w:t>
            </w:r>
          </w:p>
        </w:tc>
        <w:tc>
          <w:tcPr>
            <w:tcW w:w="12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64,341</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71,051</w:t>
            </w:r>
          </w:p>
        </w:tc>
        <w:tc>
          <w:tcPr>
            <w:tcW w:w="0" w:type="dxa"/>
            <w:vAlign w:val="bottom"/>
          </w:tcPr>
          <w:p>
            <w:pPr>
              <w:spacing w:after="0"/>
              <w:rPr>
                <w:sz w:val="1"/>
                <w:szCs w:val="1"/>
                <w:color w:val="auto"/>
              </w:rPr>
            </w:pPr>
          </w:p>
        </w:tc>
      </w:tr>
      <w:tr>
        <w:trPr>
          <w:trHeight w:val="209"/>
        </w:trPr>
        <w:tc>
          <w:tcPr>
            <w:tcW w:w="5200" w:type="dxa"/>
            <w:vAlign w:val="bottom"/>
          </w:tcPr>
          <w:p>
            <w:pPr>
              <w:ind w:left="360"/>
              <w:spacing w:after="0"/>
              <w:rPr>
                <w:sz w:val="20"/>
                <w:szCs w:val="20"/>
                <w:color w:val="auto"/>
              </w:rPr>
            </w:pPr>
            <w:r>
              <w:rPr>
                <w:rFonts w:ascii="Arial" w:cs="Arial" w:eastAsia="Arial" w:hAnsi="Arial"/>
                <w:sz w:val="16"/>
                <w:szCs w:val="16"/>
                <w:color w:val="auto"/>
              </w:rPr>
              <w:t>Nonvoting Common Share)</w:t>
            </w:r>
          </w:p>
        </w:tc>
        <w:tc>
          <w:tcPr>
            <w:tcW w:w="8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680"/>
              <w:spacing w:after="0"/>
              <w:rPr>
                <w:sz w:val="20"/>
                <w:szCs w:val="20"/>
                <w:color w:val="auto"/>
              </w:rPr>
            </w:pPr>
            <w:r>
              <w:rPr>
                <w:rFonts w:ascii="Arial" w:cs="Arial" w:eastAsia="Arial" w:hAnsi="Arial"/>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46"/>
        </w:trPr>
        <w:tc>
          <w:tcPr>
            <w:tcW w:w="5200" w:type="dxa"/>
            <w:vAlign w:val="bottom"/>
          </w:tcPr>
          <w:p>
            <w:pPr>
              <w:ind w:left="360"/>
              <w:spacing w:after="0" w:line="146" w:lineRule="exact"/>
              <w:rPr>
                <w:sz w:val="20"/>
                <w:szCs w:val="20"/>
                <w:color w:val="auto"/>
              </w:rPr>
            </w:pPr>
            <w:r>
              <w:rPr>
                <w:rFonts w:ascii="Arial" w:cs="Arial" w:eastAsia="Arial" w:hAnsi="Arial"/>
                <w:sz w:val="16"/>
                <w:szCs w:val="16"/>
                <w:color w:val="auto"/>
                <w:w w:val="99"/>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30,860</w:t>
            </w:r>
          </w:p>
        </w:tc>
        <w:tc>
          <w:tcPr>
            <w:tcW w:w="12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63,529</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70,213</w:t>
            </w:r>
          </w:p>
        </w:tc>
        <w:tc>
          <w:tcPr>
            <w:tcW w:w="0" w:type="dxa"/>
            <w:vAlign w:val="bottom"/>
          </w:tcPr>
          <w:p>
            <w:pPr>
              <w:spacing w:after="0"/>
              <w:rPr>
                <w:sz w:val="1"/>
                <w:szCs w:val="1"/>
                <w:color w:val="auto"/>
              </w:rPr>
            </w:pPr>
          </w:p>
        </w:tc>
      </w:tr>
      <w:tr>
        <w:trPr>
          <w:trHeight w:val="190"/>
        </w:trPr>
        <w:tc>
          <w:tcPr>
            <w:tcW w:w="5200" w:type="dxa"/>
            <w:vAlign w:val="bottom"/>
          </w:tcPr>
          <w:p>
            <w:pPr>
              <w:ind w:left="360"/>
              <w:spacing w:after="0"/>
              <w:rPr>
                <w:sz w:val="20"/>
                <w:szCs w:val="20"/>
                <w:color w:val="auto"/>
              </w:rPr>
            </w:pPr>
            <w:r>
              <w:rPr>
                <w:rFonts w:ascii="Arial" w:cs="Arial" w:eastAsia="Arial" w:hAnsi="Arial"/>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color w:val="auto"/>
                <w:w w:val="97"/>
              </w:rPr>
              <w:t>Denominator for basic income per share for both Class A and Class B</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52,018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53,320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53,232</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6"/>
        </w:trPr>
        <w:tc>
          <w:tcPr>
            <w:tcW w:w="5200" w:type="dxa"/>
            <w:vAlign w:val="bottom"/>
          </w:tcPr>
          <w:p>
            <w:pPr>
              <w:ind w:left="360"/>
              <w:spacing w:after="0"/>
              <w:rPr>
                <w:sz w:val="20"/>
                <w:szCs w:val="20"/>
                <w:color w:val="auto"/>
              </w:rPr>
            </w:pPr>
            <w:r>
              <w:rPr>
                <w:rFonts w:ascii="Arial" w:cs="Arial" w:eastAsia="Arial" w:hAnsi="Arial"/>
                <w:sz w:val="16"/>
                <w:szCs w:val="16"/>
                <w:color w:val="auto"/>
                <w:w w:val="95"/>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52,282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52,288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53,781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680"/>
              <w:spacing w:after="0"/>
              <w:rPr>
                <w:sz w:val="20"/>
                <w:szCs w:val="20"/>
                <w:color w:val="auto"/>
              </w:rPr>
            </w:pPr>
            <w:r>
              <w:rPr>
                <w:rFonts w:ascii="Arial" w:cs="Arial" w:eastAsia="Arial" w:hAnsi="Arial"/>
                <w:sz w:val="16"/>
                <w:szCs w:val="16"/>
                <w:color w:val="auto"/>
              </w:rPr>
              <w:t>Basic</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0"/>
        </w:trPr>
        <w:tc>
          <w:tcPr>
            <w:tcW w:w="5200" w:type="dxa"/>
            <w:vAlign w:val="bottom"/>
          </w:tcPr>
          <w:p>
            <w:pPr>
              <w:ind w:left="680"/>
              <w:spacing w:after="0"/>
              <w:rPr>
                <w:sz w:val="20"/>
                <w:szCs w:val="20"/>
                <w:color w:val="auto"/>
              </w:rPr>
            </w:pPr>
            <w:r>
              <w:rPr>
                <w:rFonts w:ascii="Arial" w:cs="Arial" w:eastAsia="Arial" w:hAnsi="Arial"/>
                <w:sz w:val="16"/>
                <w:szCs w:val="16"/>
                <w:color w:val="auto"/>
              </w:rPr>
              <w:t>Diluted</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Potentially dilutive securities attributable to outstanding stock options and restricted stock units were excluded from the calculation of diluted net income per share where the combined exercise price and average unamortized fair value were greater than the average market price of Brady's Class A Nonvoting Common Stock because the effect would have been anti-dilutive. The amount of anti-dilutive shares was 829,617 and 248,604 for the three months ended January 31, 2021 and 2020, respectively, and 785,181 and 286,161 for the six months ended January 31, 2021 and 2020, respectively.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NOTE K — Fair Value Measurements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financial assets and liabilities that were accounted for at fair value on a recurring basis at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July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31, 2021</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31, 2020</w:t>
            </w:r>
          </w:p>
        </w:tc>
        <w:tc>
          <w:tcPr>
            <w:tcW w:w="1680" w:type="dxa"/>
            <w:vAlign w:val="bottom"/>
          </w:tcPr>
          <w:p>
            <w:pPr>
              <w:ind w:left="100"/>
              <w:spacing w:after="0"/>
              <w:rPr>
                <w:sz w:val="20"/>
                <w:szCs w:val="20"/>
                <w:color w:val="auto"/>
              </w:rPr>
            </w:pPr>
            <w:r>
              <w:rPr>
                <w:rFonts w:ascii="Arial" w:cs="Arial" w:eastAsia="Arial" w:hAnsi="Arial"/>
                <w:sz w:val="16"/>
                <w:szCs w:val="16"/>
                <w:b w:val="1"/>
                <w:bCs w:val="1"/>
                <w:color w:val="auto"/>
              </w:rPr>
              <w:t>Fair Value Hierarchy</w:t>
            </w:r>
          </w:p>
        </w:tc>
      </w:tr>
      <w:tr>
        <w:trPr>
          <w:trHeight w:val="19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Trading securities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19,204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18,606</w:t>
            </w:r>
          </w:p>
        </w:tc>
        <w:tc>
          <w:tcPr>
            <w:tcW w:w="100" w:type="dxa"/>
            <w:vAlign w:val="bottom"/>
          </w:tcPr>
          <w:p>
            <w:pPr>
              <w:spacing w:after="0"/>
              <w:rPr>
                <w:sz w:val="18"/>
                <w:szCs w:val="18"/>
                <w:color w:val="auto"/>
              </w:rPr>
            </w:pPr>
          </w:p>
        </w:tc>
        <w:tc>
          <w:tcPr>
            <w:tcW w:w="1680" w:type="dxa"/>
            <w:vAlign w:val="bottom"/>
          </w:tcPr>
          <w:p>
            <w:pPr>
              <w:ind w:left="1180"/>
              <w:spacing w:after="0"/>
              <w:rPr>
                <w:sz w:val="20"/>
                <w:szCs w:val="20"/>
                <w:color w:val="auto"/>
              </w:rPr>
            </w:pPr>
            <w:r>
              <w:rPr>
                <w:rFonts w:ascii="Arial" w:cs="Arial" w:eastAsia="Arial" w:hAnsi="Arial"/>
                <w:sz w:val="16"/>
                <w:szCs w:val="16"/>
                <w:color w:val="auto"/>
                <w:w w:val="92"/>
              </w:rPr>
              <w:t>Level 1</w:t>
            </w: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ind w:left="1180"/>
              <w:spacing w:after="0"/>
              <w:rPr>
                <w:sz w:val="20"/>
                <w:szCs w:val="20"/>
                <w:color w:val="auto"/>
              </w:rPr>
            </w:pPr>
            <w:r>
              <w:rPr>
                <w:rFonts w:ascii="Arial" w:cs="Arial" w:eastAsia="Arial" w:hAnsi="Arial"/>
                <w:sz w:val="16"/>
                <w:szCs w:val="16"/>
                <w:color w:val="auto"/>
                <w:w w:val="92"/>
              </w:rPr>
              <w:t>Level 2</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ind w:left="1180"/>
              <w:spacing w:after="0"/>
              <w:rPr>
                <w:sz w:val="20"/>
                <w:szCs w:val="20"/>
                <w:color w:val="auto"/>
              </w:rPr>
            </w:pPr>
            <w:r>
              <w:rPr>
                <w:rFonts w:ascii="Arial" w:cs="Arial" w:eastAsia="Arial" w:hAnsi="Arial"/>
                <w:sz w:val="16"/>
                <w:szCs w:val="16"/>
                <w:color w:val="auto"/>
                <w:w w:val="92"/>
              </w:rPr>
              <w:t>Level 2</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which are included in "Other assets"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balance sheets. These investments were classified as Level 1 as the shares of these investments trade with sufficient frequency and volume to enable us to obtain pricing information on an ongoing basis.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L, “Derivatives and Hedging Activities,” for additional information.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cash and cash equivalents, accounts receivable, accounts payable, and other liabilities approximated carrying values due to their short-term nature.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L — Derivatives and Hedging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31, 2021</w:t>
            </w:r>
          </w:p>
        </w:tc>
        <w:tc>
          <w:tcPr>
            <w:tcW w:w="240" w:type="dxa"/>
            <w:vAlign w:val="bottom"/>
          </w:tcPr>
          <w:p>
            <w:pPr>
              <w:spacing w:after="0"/>
              <w:rPr>
                <w:sz w:val="18"/>
                <w:szCs w:val="18"/>
                <w:color w:val="auto"/>
              </w:rPr>
            </w:pPr>
          </w:p>
        </w:tc>
        <w:tc>
          <w:tcPr>
            <w:tcW w:w="1420" w:type="dxa"/>
            <w:vAlign w:val="bottom"/>
          </w:tcPr>
          <w:p>
            <w:pPr>
              <w:jc w:val="right"/>
              <w:ind w:right="299"/>
              <w:spacing w:after="0"/>
              <w:rPr>
                <w:sz w:val="20"/>
                <w:szCs w:val="20"/>
                <w:color w:val="auto"/>
              </w:rPr>
            </w:pPr>
            <w:r>
              <w:rPr>
                <w:rFonts w:ascii="Arial" w:cs="Arial" w:eastAsia="Arial" w:hAnsi="Arial"/>
                <w:sz w:val="16"/>
                <w:szCs w:val="16"/>
                <w:b w:val="1"/>
                <w:bCs w:val="1"/>
                <w:color w:val="auto"/>
              </w:rPr>
              <w:t>July 31, 2020</w:t>
            </w:r>
          </w:p>
        </w:tc>
      </w:tr>
      <w:tr>
        <w:trPr>
          <w:trHeight w:val="21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24,600</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Non-designated hedges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w:t>
            </w:r>
          </w:p>
        </w:tc>
      </w:tr>
      <w:tr>
        <w:trPr>
          <w:trHeight w:val="23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foreign exchange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January 31, 2021 and July 31, 2020, unrealized gains of $1,034 and losses of $385 have been included in OCI,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amount of pre-tax gains and losses related to foreign exchange contracts designated as cash flow hedging instruments: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January 31,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210"/>
        </w:trPr>
        <w:tc>
          <w:tcPr>
            <w:tcW w:w="5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recognized in OCI</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(Losses) gains reclassified from OCI into cost of goods sold</w:t>
            </w:r>
          </w:p>
        </w:tc>
        <w:tc>
          <w:tcPr>
            <w:tcW w:w="980" w:type="dxa"/>
            <w:vAlign w:val="bottom"/>
          </w:tcPr>
          <w:p>
            <w:pPr>
              <w:spacing w:after="0"/>
              <w:rPr>
                <w:sz w:val="18"/>
                <w:szCs w:val="18"/>
                <w:color w:val="auto"/>
              </w:rPr>
            </w:pPr>
          </w:p>
        </w:tc>
        <w:tc>
          <w:tcPr>
            <w:tcW w:w="440" w:type="dxa"/>
            <w:vAlign w:val="bottom"/>
          </w:tcPr>
          <w:p>
            <w:pPr>
              <w:ind w:left="140"/>
              <w:spacing w:after="0"/>
              <w:rPr>
                <w:sz w:val="20"/>
                <w:szCs w:val="20"/>
                <w:color w:val="auto"/>
              </w:rPr>
            </w:pPr>
            <w:r>
              <w:rPr>
                <w:rFonts w:ascii="Arial" w:cs="Arial" w:eastAsia="Arial" w:hAnsi="Arial"/>
                <w:sz w:val="16"/>
                <w:szCs w:val="16"/>
                <w:color w:val="auto"/>
                <w:w w:val="98"/>
              </w:rPr>
              <w:t>(60)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486</w:t>
            </w: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January 31, 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July 31, 2020</w:t>
            </w: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6"/>
              </w:rPr>
              <w:t>Prepaid expenses</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Other current</w:t>
            </w:r>
          </w:p>
        </w:tc>
        <w:tc>
          <w:tcPr>
            <w:tcW w:w="100" w:type="dxa"/>
            <w:vAlign w:val="bottom"/>
          </w:tcPr>
          <w:p>
            <w:pPr>
              <w:spacing w:after="0"/>
              <w:rPr>
                <w:sz w:val="13"/>
                <w:szCs w:val="13"/>
                <w:color w:val="auto"/>
              </w:rPr>
            </w:pPr>
          </w:p>
        </w:tc>
        <w:tc>
          <w:tcPr>
            <w:tcW w:w="144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86"/>
              </w:rPr>
              <w:t>Prepaid expenses</w:t>
            </w:r>
          </w:p>
        </w:tc>
        <w:tc>
          <w:tcPr>
            <w:tcW w:w="180" w:type="dxa"/>
            <w:vAlign w:val="bottom"/>
          </w:tcPr>
          <w:p>
            <w:pPr>
              <w:spacing w:after="0"/>
              <w:rPr>
                <w:sz w:val="13"/>
                <w:szCs w:val="13"/>
                <w:color w:val="auto"/>
              </w:rPr>
            </w:pP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9"/>
              </w:rPr>
              <w:t>Other current</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5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and other current</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2"/>
              </w:rPr>
              <w:t>and other current</w:t>
            </w: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liabilities</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18"/>
                <w:szCs w:val="18"/>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Foreign exchange contracts (cash flow hedges)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1,241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Foreign exchange contracts (non-designated hedges)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derivative instruments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NOTE M — Income Taxes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effective income tax rate for the three and six months ended January 31, 2021, was 20.8% and 20.6%, respectively. The Company expects its ongoing annual effective income tax rate to approximate 20% based on its current global business mix and based on current tax laws and statutory tax rates in effect.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effective income tax rate for the three and six months ended January 31, 2020, was 20.8% and 15.3%, respectively. The effective income tax rate for the six months ended January 31, 2020 was lower than the expected income tax rate due to the favorable settlement of a domestic income tax audit and tax benefits from stock-based compensation.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17, 2021, the Board of Directors declared a quarterly cash dividend to shareholders of the Company’s Class A and Class B Common Stock of $0.22 per share payable on April 30, 2021, to shareholders of record at the close of business on April 9,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safety, identification and healthcare products. The WPS segment provides workplace safety, identification and compliance products, approximately half of which are internally manufactured and half of which are externally sourced.</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the efficiency of our global operations, deliver a high level of customer service, develop and market innovative new products, and to advance our digital capabilities. In our IDS business, our strategy for growth includes an increased focus on certain industries and products, a focus on improving the customer buying experience, and the development of technologically advanced, innovative and proprietary products. In our WPS business, our strategy for growth includes a focus on workplace safety critical industries, innovative new product offerings, compliance expertise, customization expertise, and improving our digital capabilities.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our strategy in fiscal 2021:</w:t>
      </w:r>
    </w:p>
    <w:p>
      <w:pPr>
        <w:spacing w:after="0" w:line="131" w:lineRule="exact"/>
        <w:rPr>
          <w:sz w:val="20"/>
          <w:szCs w:val="20"/>
          <w:color w:val="auto"/>
        </w:rPr>
      </w:pPr>
    </w:p>
    <w:p>
      <w:pPr>
        <w:ind w:left="660" w:right="20" w:hanging="328"/>
        <w:spacing w:after="0" w:line="22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organic growth by enhancing our research and development process and utilizing customer feedback to develop innovative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acquisitions that enhance our strategic position and accelerate sales growth.</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Expanding and enhancing our sales capabilities through an improved digital presence and the use of data-driven marketing automation tools.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on our culture of diversity and inclusion to increase employee engagement and enhance recruitment and retention practices.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the COVID-19 Pandemic on Our Business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Brady Corporation is deemed an essential business under the majority of local government orders. Our products support first responders, healthcare workers, food processing companies, and many other critical industries. During the three and six months ended January 31, 2021, our facilities were operating globally with enhanced safety protocols designed to protect the health and safety of our employees.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taken actions throughout our business to reduce controllable costs, including actions to reduce labor costs, eliminating non-essential travel, and reducing discretionary spend. We believe we have the financial strength to continue to invest in organic sales growth opportunities, inorganic sales opportunities, and research and development ("R&amp;D"), while continuing to drive sustainable efficiencies and automation in our operations and selling, general and administrative ("SG&amp;A") functions. At January 31, 2021, we had cash of $277.6 million, an undrawn credit facility of $200 million, which can be increased up to $400 million at the Company's option and subject to certain conditions, and outstanding letters of credit of $3.6 million, for total available liquidity of approximately $674 million.</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our financial resources, liquidity levels and debt-free status, along with various contingency plans to reduce costs are sufficient to manage the impact of the COVID-19 pandemic, which may result in reduced sales, reduced net income, and reduced cash provided by operating activities. Refer to Risk Factors, included in Part I, Item 1A of our Annual Report on Form 10-K for the year ended July 31, 2020, along with Risks Factors, included in Part II, Item IA of this Quarterly Report on Form 10-Q for the period ended January 31, 2021, for further discussion of the possible impact of the COVID-19 pandemic on our business.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three and six months ended January 31, 2021 and 2020,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600"/>
              <w:spacing w:after="0"/>
              <w:rPr>
                <w:sz w:val="20"/>
                <w:szCs w:val="20"/>
                <w:color w:val="auto"/>
              </w:rPr>
            </w:pPr>
            <w:r>
              <w:rPr>
                <w:rFonts w:ascii="Arial" w:cs="Arial" w:eastAsia="Arial" w:hAnsi="Arial"/>
                <w:sz w:val="16"/>
                <w:szCs w:val="16"/>
                <w:b w:val="1"/>
                <w:bCs w:val="1"/>
                <w:color w:val="auto"/>
                <w:w w:val="92"/>
              </w:rPr>
              <w:t>Three months ended January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2"/>
              </w:rPr>
              <w:t>Six months ended January 31,</w:t>
            </w:r>
          </w:p>
        </w:tc>
        <w:tc>
          <w:tcPr>
            <w:tcW w:w="840" w:type="dxa"/>
            <w:vAlign w:val="bottom"/>
            <w:tcBorders>
              <w:bottom w:val="single" w:sz="8" w:color="auto"/>
            </w:tcBorders>
          </w:tcPr>
          <w:p>
            <w:pPr>
              <w:spacing w:after="0"/>
              <w:rPr>
                <w:sz w:val="18"/>
                <w:szCs w:val="18"/>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265,838</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543,065</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563,612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129,522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264,950</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48.8 %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280,532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49.8 %</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336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9,876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20,079</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21,484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19"/>
        </w:trPr>
        <w:tc>
          <w:tcPr>
            <w:tcW w:w="3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82,234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87,366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165,271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176,913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31.4 %</w:t>
            </w:r>
          </w:p>
        </w:tc>
      </w:tr>
      <w:tr>
        <w:trPr>
          <w:trHeight w:val="207"/>
        </w:trPr>
        <w:tc>
          <w:tcPr>
            <w:tcW w:w="3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92,110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97,883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185,350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198,397</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35.2 %</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37,412</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14.1 %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14.9 %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79,600</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14.7 %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82,135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References in this Form 10-Q to “organic sales” refer to sales calculated in accordance with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sales for the three months ended January 31, 2021, decreased 3.9% to $265.8 million, compared to $276.7 million in the same period of the prior year. The decrease consisted of an organic sales decline of 6.3% and an increase from foreign currency translation of 2.4%. Organic sales declined 6.9% in the IDS segment and declined 4.8% in the WPS segment during the three months ended January 31, 2021, compared to the same period in the prior year. The COVID-19 pandemic had a significant impact on organic sales during the three months ended January 31, 2021.</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sales for the six months ended January 31, 2021, decreased 3.6% to $543.1 million, compared to $563.6 million in the same period of the prior year. The decrease consisted of an organic sales decline of 5.6% and an increase from foreign currency translation of 2.0%. Organic sales declined 7.6% in the IDS segment and grew 0.4% in the WPS segment during the six months ended January 31, 2021, compared to the same period in the prior year. The COVID-19 pandemic had a significant impact on organic sales during the six months ended January 31, 2021, with the impact varying between the IDS and WPS segments.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Gross margin decreased 6.9% to $129.5 million and decreased 5.6% to $265.0 million for the three and six months ended January 31, 2021, respectively, compared to $139.1 million and $280.5 million in the same periods in the prior year. As a percentage of net sales, gross margin decreased to 48.7% and 48.8% for the three and six months ended January 31, 2021, respectively, compared to 50.3% and 49.8% in the same periods in the prior year. The decrease in gross margin during both the three and six-month periods was primarily due to the decline in sales volumes in the IDS segment resulting from the economic slowdown caused by the COVID-19 pandemic as well as product mix in our WPS segment, which was partially mitigated by our ongoing efforts to streamline manufacturing processes and drive sustainable operational efficiencies.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R&amp;D expenses declined 6.1% to $9.9 million and declined 6.5% to $20.1 million for the three and six months ended January 31, 2021, respectively, compared to $10.5 million and $21.5 million in the same periods in the prior year. As a percentage of sales, R&amp;D expenses declined slightly to 3.7% for both the three and six months ended January 31, 2021, compared to 3.8% in the same periods of the prior year. The decrease in R&amp;D spending for both the three and six-month periods was primarily due to a decrease in headcount, improved efficiency, and the timing of expenditures related to ongoing new product development costs compared to the same periods in the prior year. The Company remains committed to investing in new product development to increase sales within our IDS and WPS businesses. Investments in new printers and materials continue to be the primary focus of R&amp;D expenditures.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SG&amp;A expenses include selling and administration costs directly attributed to the IDS and WPS segments, as well as certain other corporate administrative expenses including finance, information technology, human resources, and other administrative expenses. SG&amp;A expenses declined 5.9% to $82.2 million and declined 6.6% to $165.3 million for the three and six months ended January 31, 2021, respectively, compared to $87.4 million and $176.9 million in the same periods in the prior year. SG&amp;A expense as a percentage of net sales was 30.9% and 30.4% for the three and six months ended January 31, 2021, respectively, compared to 31.6% and 31.4% in the same periods in the prior year. The decrease in both SG&amp;A expenses and SG&amp;A expenses as a percentage of net sales for the three and six-month periods was primarily due to ongoing efficiency gains, a reduction in the SG&amp;A cost structure, along with a reduction in discretionary spend including travel for our sales people, which was partially offset by the impact of foreign currency translation.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Operating income decreased 9.3% to $37.4 million and decreased 3.1% to $79.6 million for the three and six months ended January 31, 2021, respectively, compared to $41.2 million and $82.1 million in the same periods in the prior year. The decrease in operating income for the three-month period was primarily due to the decrease in organic sales in both the IDS and WPS businesses and product mix in the WPS segment, which was partially offset by a reduction in the SG&amp;A cost structure in both segments and to a lesser extent foreign currency translation. The decrease in operating income for the six-month period was primarily due to the decrease in organic sales in the IDS segment, which was partially offset by increased profit in the WPS business as well as a reduction in the SG&amp;A cost structure in both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ind w:left="580"/>
              <w:spacing w:after="0"/>
              <w:rPr>
                <w:sz w:val="20"/>
                <w:szCs w:val="20"/>
                <w:color w:val="auto"/>
              </w:rPr>
            </w:pPr>
            <w:r>
              <w:rPr>
                <w:rFonts w:ascii="Arial" w:cs="Arial" w:eastAsia="Arial" w:hAnsi="Arial"/>
                <w:sz w:val="16"/>
                <w:szCs w:val="16"/>
                <w:b w:val="1"/>
                <w:bCs w:val="1"/>
                <w:color w:val="auto"/>
                <w:w w:val="92"/>
              </w:rPr>
              <w:t>Three months ended January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700"/>
              <w:spacing w:after="0"/>
              <w:rPr>
                <w:sz w:val="20"/>
                <w:szCs w:val="20"/>
                <w:color w:val="auto"/>
              </w:rPr>
            </w:pPr>
            <w:r>
              <w:rPr>
                <w:rFonts w:ascii="Arial" w:cs="Arial" w:eastAsia="Arial" w:hAnsi="Arial"/>
                <w:sz w:val="16"/>
                <w:szCs w:val="16"/>
                <w:b w:val="1"/>
                <w:bCs w:val="1"/>
                <w:color w:val="auto"/>
                <w:w w:val="92"/>
              </w:rPr>
              <w:t>Six months ended January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 Sales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0" w:type="dxa"/>
            <w:vAlign w:val="bottom"/>
          </w:tcPr>
          <w:p>
            <w:pPr>
              <w:spacing w:after="0"/>
              <w:rPr>
                <w:sz w:val="1"/>
                <w:szCs w:val="1"/>
                <w:color w:val="auto"/>
              </w:rPr>
            </w:pPr>
          </w:p>
        </w:tc>
      </w:tr>
      <w:tr>
        <w:trPr>
          <w:trHeight w:val="21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37,412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79,600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82,135</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3"/>
        </w:trPr>
        <w:tc>
          <w:tcPr>
            <w:tcW w:w="336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49"/>
        </w:trPr>
        <w:tc>
          <w:tcPr>
            <w:tcW w:w="33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rPr>
              <w:t>Income before income tax and losses of</w:t>
            </w: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39,397</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42,357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81,634</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83,927</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unconsolidated affiliate</w:t>
            </w: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Income before losses of unconsolidated affiliate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64,846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71,051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Investment and other income was $2.0 million and $1.8 million for the three months ended January 31, 2021 and 2020, respectively. The increase in the three-month period was primarily due to an increase in the market value of securities held in deferred compensation plans, which was mostly offset by a decrease in interest income as a result of the decline in interest rates. Investment and other income was $2.2 million and $3.1 million for the six months ended January 31, 2021 and 2020, respectively. The decrease in the six-month period was primarily due to reduced interest income as a result of the decline in interest rates, which was partially offset by an increase in the market value of securities held in deferred compensation plans.</w:t>
      </w:r>
    </w:p>
    <w:p>
      <w:pPr>
        <w:spacing w:after="0" w:line="10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Interest expense decreased to $0.1 million and $0.2 million for the three and six months ended January 31, 2021, respectively, compared to $0.6 million and $1.3 million in the same periods in the prior year. The decrease in interest expense for both the three and six-month periods was due to the repayment of the Company's principal balance under its private placement debt agreement during the fourth quarter of the fiscal year ended July 31, 2020.</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income tax rate was 20.8% for both the three months ended January 31, 2021 and 2020, and the income tax rate was 20.6% and 15.3% for the six months ended January 31, 2021 and 2020, respectively. Refer to Note M, "Income Taxes" for additional information on the Company's income tax rates.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Equity in losses of unconsolidated affiliate of $0.3 million and $0.5 million for the three and six months ended January 31, 2021, respectively, represented the Company's proportionate share of the loss in its equity interest in React Mobile, Inc., an employee safety software and hardware company based in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evaluates short-term segment performance based on segment profit and customer sales. Interest expense, investment and other income, income tax expense, equity in losses of unconsolidated affiliate, and certain corporate administrative expenses are excluded when evaluating segment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six months ended January 31,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322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14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Six months ended January 31,</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ID Solutions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580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4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4"/>
        </w:trPr>
        <w:tc>
          <w:tcPr>
            <w:tcW w:w="4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Workplace Safety</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580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40" w:type="dxa"/>
            <w:vAlign w:val="bottom"/>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4"/>
        </w:trPr>
        <w:tc>
          <w:tcPr>
            <w:tcW w:w="4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580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4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5"/>
        </w:trPr>
        <w:tc>
          <w:tcPr>
            <w:tcW w:w="4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0" w:type="dxa"/>
            <w:vAlign w:val="bottom"/>
          </w:tcPr>
          <w:p>
            <w:pPr>
              <w:spacing w:after="0"/>
              <w:rPr>
                <w:sz w:val="1"/>
                <w:szCs w:val="1"/>
                <w:color w:val="auto"/>
              </w:rPr>
            </w:pPr>
          </w:p>
        </w:tc>
      </w:tr>
      <w:tr>
        <w:trPr>
          <w:trHeight w:val="213"/>
        </w:trPr>
        <w:tc>
          <w:tcPr>
            <w:tcW w:w="5800" w:type="dxa"/>
            <w:vAlign w:val="bottom"/>
            <w:gridSpan w:val="2"/>
          </w:tcPr>
          <w:p>
            <w:pPr>
              <w:ind w:left="360"/>
              <w:spacing w:after="0"/>
              <w:rPr>
                <w:sz w:val="20"/>
                <w:szCs w:val="20"/>
                <w:color w:val="auto"/>
              </w:rPr>
            </w:pPr>
            <w:r>
              <w:rPr>
                <w:rFonts w:ascii="Arial" w:cs="Arial" w:eastAsia="Arial" w:hAnsi="Arial"/>
                <w:sz w:val="16"/>
                <w:szCs w:val="16"/>
                <w:color w:val="auto"/>
              </w:rPr>
              <w:t>Workplace Safety</w:t>
            </w:r>
          </w:p>
        </w:tc>
        <w:tc>
          <w:tcPr>
            <w:tcW w:w="54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34"/>
        </w:trPr>
        <w:tc>
          <w:tcPr>
            <w:tcW w:w="4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IDS net sales decreased 5.4% for the three months ended January 31, 2021, compared to the same period in the prior year, which consisted of an organic sales decline of 6.9% and an increase from foreign currency translation of 1.5%. The economic slowdown caused by the COVID-19 pandemic had an impact on organic sales during the quarter, which resulted in organic sales declines in the safety and facility identification, healthcare identification and wire identification product lines for the three-month period. Organic sales grew in the product identification product line for the three-month period as a result of increased demand for industrial identification products throughout Asia where the impact of the pandemic is moderating, and to a lesser extent in the Americas.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IDS net sales decreased 6.6% for the six months ended January 31, 2021, compared to the same period in the prior year, which consisted of an organic sales decline of 7.6% and an increase from foreign currency translation of 1.0%. Organic sales in the six-month period declined in the safety and facility identification, healthcare identification and wire identification product lines primarily due to reduced demand from the economic slowdown caused by the COVID-19 pandemic, which was slightly offset by organic sales growth in the product identification product line as a result of increased demand for industrial identification products throughout Asia.</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the Americas decreased in the high-single digits for the three and six months ended January 31, 2021, compared to the same periods in the prior year. Organic sales in both periods declined in the safety and facility identification, healthcare identification, and wire identification product lines primarily due to the economic slowdown caused by the COVID-19-pandemic, which was partially offset by organic sales growth in the product identification product line. Organic sales declined in the high-single digits in the United States and were effectively flat in the remainder of the Americas region in both periods.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Europe decreased in the high-single digits for the three and six months ended January 31, 2021, compared to the same periods in the prior year. The organic sales decline in both periods was broad-based throughout Western Europe and businesses based in emerging geographies primarily due to the economic slowdown caused by the COVID-19 pandemic. Organic sales in both periods declined in the safety and facility identification product line, which was partially offset by growth in the wire identification product line. Sales were essentially flat in the product identification product line in the three-month period and declined in the six-month period.</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Asia increased approximately 10% for the three months ended January 31, 2021 and increased in the mid-single digits for the six months ended January 31, 2021, compared to the same periods in the prior year. Organic sales growth in both periods was primarily driven by growth in the product identification product line, and to a lesser extent growth in the wire identification product line, as a result of increased demand for industrial identification products. Sales were essentially flat in the safety and facility identification product line.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Segment profit declined 4.1% to $39.0 million for the three months ended January 31, 2021, compared to $40.7 million in the same period in the prior year. Segment profit declined 4.6% to $79.3 million for the six months ended January 31, 2021, compared to $83.1 million for the same period in the prior year. The decrease in segment profit was primarily due to reduced sales volumes in the Americas and Europe regions, which was partially offset by increased sales volumes in Asia and an overall reduction in the cost structure. As a percentage of net sales, segment profit increased to 20.1% and 20.2% for the three and six months ended January 31, 2021, respectively, from 19.8% in both of the same periods in the prior year. The increase in segment profit as a percentage of sales for both the three and six-month periods was primarily driven by the reduced cost structure throughout the IDS segment and a reduction in discretionary spending in response to the decline in revenue from the impact of the COVID-19 pandemic.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WPS net sales increased 0.4% for the three months ended January 31, 2021, compared to the same period in the prior year, which consisted of an organic sales decline of 4.8% and an increase from foreign currency translation of 5.2%. WPS continues to sell COVID-19 pandemic-related products including personal protective equipment, social distancing signage and floor markings, but the increased demand for these products did not fully replace the decline in core safety and identification product sales. Sales through the catalog channel decreased in the mid-single digits while digital sales increased in the low-single digits in the three-month period.</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WPS net sales increased 5.2% for the six months ended January 31, 2021, compared to the same period in the prior year, which consisted of organic sales growth of 0.4% and an increase from foreign currency translation of 4.8%. Digital sales increased in the high-single digits and sales through the catalog channel decreased in the low-single digits for the six-month period. The WPS business realized increased demand globally during the first quarter for personal protective equipment, social distancing signage, floor markings, and other COVID-19 pandemic-related products.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Organic sales in Europe increased in the low-single digits for the three months ended January 31, 2021, compared to the same period in the prior year. Digital sales increased in the mid-single digits and sales through the catalog channel decreased slightly. Organic sales growth in Europe was led by businesses in France followed by growth in Norway, which was partially offset by a decline in organic sales throughout the remainder of Western Europe.</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Europe increased in the mid-single digits for the six months ended January 31, 2021, compared to the same period in the prior year. Digital sales increased approximately 10%, which was driven by digital marketing campaigns emphasizing personal protective equipment and other COVID-19 pandemic-related products. Sales through the catalog channel increased in the low-single digits. Organic sales growth in Europe was led by businesses in France followed by growth in Norway and the U.K., which was partially offset by a decline in organic sales in the remainder of Western Europe.</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Organic sales in North America decreased in the mid-teens for the three months ended January 31, 2021, compared to the same period in the prior year. Organic sales in North America decreased in the high-single digits for the six months ended January 31, 2021, compared to the same period in the prior year. The declines were driven by one of our businesses in the United States that sells primarily to small companies, which resulted in a significant decline in sales at the beginning of the COVID-19 pandemic and has not yet recovered. Digital sales decreased in the mid-single digits and sales through the catalog channel decreased in the mid-teens in the three months ended January 31, 2021. Digital sales decreased in the low-single digits and sales through the catalog channel decreased in the high-single digits in the six months ended January 31, 2021.</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Organic sales in Australia decreased in the low-single digits for the three months ended January 31, 2021, compared to the same period in the prior year. The business continues to sell COVID-19 pandemic-related products including personal protective equipment, social distancing signage and floor markings, but the increased demand for these products did not replace the decline in core safety and identification product sales. Digital sales increased in the high-single digits over the same period in the prior year, which was driven by digital marketing campaigns emphasizing personal protective equipment along with floor markings and signage related to social distancing and personal hygiene. Sales through the catalog channel decreased in the mid-single digits due to reduced demand in our primary end markets, which include non-residential construction and industrial manufacturing.</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Australia increased in the mid-single digits for the six months ended January 31, 2021, compared to the same period in the prior year. The increase in organic sales in the six-month period was entirely driven by growth in the first quarter primarily resulting from sales of COVID-19 pandemic-related products. Digital sales grew more than 25% for the six months ended January 31, 2021, which was driven by digital marketing campaigns emphasizing personal protective equipment along with floor markings and signage related to social distancing and personal hygiene. Sales through the catalog channel declined slightly.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Segment profit decreased to $3.5 million from $5.5 million and as a percentage of net sales, segment profit decreased to 4.8% from 7.7% for the three months ended January 31, 2021, compared to the same period in the prior year. The decrease in segment profit for the three-month period was due to reduced sales volumes and product mix. Segment profit increased to $11.5 million from $10.6 million and as a percentage of net sales, segment profit increased to 7.6% from 7.4% for the six months ended January 31, 2021, compared to the same period in the prior year. The increase in segment profit for the six-month period was due to the increase in organic sales in Europe and Australia during the first quarter, which was partially offset by a decline in profitability due to product mix.</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cash balances are generated and held in numerous locations throughout the world. At January 31, 2021, approximately 69%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$277.6 million at January 31, 2021, an increase of $59.9 million from July 31, 2020. The significant changes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98,889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53,107</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(16,506)</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(28,828)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(26,049)</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59,945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10,731</w:t>
            </w:r>
          </w:p>
        </w:tc>
      </w:tr>
      <w:tr>
        <w:trPr>
          <w:trHeight w:val="24"/>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cash provided by operating activities was $98.9 million for the six months ended January 31, 2021, compared to $53.1 million in the same period of the prior year. The increase was primarily due to an increase in cash provided by working capital. Inventory levels were reduced which resulted in the majority of the increase in cash provided by operating activities, which was due to a planned reduction in inventory following a period of increased inventory levels to reduce the risk of supply chain disruption resulting from the COVID-19 pandemic. In addition, annual incentive compensation payments were lower in the current six-month period compared to the same period in the prior year, and the timing of payments of accounts payable increased cash provided by working capital. This was partially offset by a decrease in cash provided by accounts receivable due to increased sequential sales during the six months ended January 31, 2021.</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$16.4 million for the six months ended January 31, 2021, compared to $16.5 million in the same period of the prior year. Capital expenditures increased from $13.1 million to $14.5 million in the six-month period, primarily for facility upgrades and manufacturing equipment in the United States and Europe.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$28.8 million during the six months ended January 31, 2021, compared to $26.0 million in the same period of the prior year. The increase in cash used in financing activities was primarily driven by $3.6 million of share repurchases as well as a decrease in cash proceeds from the exercise of stock options, which was partially offset by a decrease in cash payments for employee taxes withheld from stock-based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1, 2019, the Company and certain of its subsidiaries entered into an unsecured $200 million multi-currency revolving loan agreement with a group of five banks that replaced and terminated the Company’s previous loan agreement that had been entered into on September 25, 2015. Under the new revolving loan agreement, the Company has the option to select either a Eurocurrency rate loan that bears interest at the LIBOR rate plus a margin based on the Company's consolidated net leverage ratio or a base interest rate (based upon the higher of the federal funds rate plus 0.5%, the prime rate of the Bank of Montreal plus a margin based on the Company’s consolidated net leverage ratio, or the Eurocurrency base rate at the LIBOR rate plus a margin based on the Company’s consolidated net leverage ratio plus 1%). At the Company's option, and subject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conditions, the available amount under the revolving loan agreement may be increased from $200 million to $400 million. The maximum amount outstanding on the Company's revolving loan agreement during the six months ended January 31, 2021 was $10.6 million. As of January 31, 2021, there were no borrowings outstanding on the credit facility. The Company had letters of credit outstanding under the loan agreement of $3.6 million as of January 31, 2021 and there was $196.4 million available for future borrowing, which can be increased to $396.4 million at the Company's option, subject to certain conditions. The revolving loan agreement has a final maturity date of August 1, 2024, as such, any borrowing would be classified as long-term on the condensed consolidated balance sheets.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revolving loan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ratio). As of January 31, 2021, the Company was in compliance with these financial covenants.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23"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its strategy</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Raw material and other cost increases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 and the failure to identify, integrate, and grow acquired companies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jc w:val="both"/>
        <w:ind w:left="540" w:hanging="330"/>
        <w:spacing w:after="0" w:line="255" w:lineRule="auto"/>
        <w:tabs>
          <w:tab w:leader="none" w:pos="535"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“Risk Factors” section set forth in this report and within Item 1A of Part I of Brady's Form 10-K for the year ended July 31, 2020.</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2020. There has been no material change in this information since July 31, 2020.</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business, results of operations, financial condition, and cash flows are subject to various risks and uncertainties, including those described in Part I, Item 1A, “Risk Factors” of Brady's Annual Report on Form 10-K for the year ended July 31, 2020. Other than as set forth below, there have been no material changes from the risk factors set forth in the 2020 Form 10-K.</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results of operations have been and will in the future be adversely impacted by the COVID-19 pandemic or other pandemics, and the duration and extent to which it will impact our business and financial results remains uncertain.</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global spread of COVID-19 has resulted in significant economic disruption, has negatively impacted our financial results, and significantly increased future uncertainty. The extent to which the COVID-19 pandemic will continue to impact our business, results of operations, and financial condition will depend on numerous evolving factors and future developments, which are highly uncertain and cannot be predicted at this time. Such factors and developments may include the geographic spread, severity and duration of the COVID-19 pandemic, including whether there are periods of increased COVID-19 cases, disruption to our operations resulting from employee illnesses, the development and availability of effective treatment or vaccines, the extent and duration of the impact on the U.S. or global economy, including the pace and extent of recovery when the pandemic subsides, and the actions that have been and may be taken by various governmental authorities in response to the outbreak, including mandatory facility closures of non-essential businesses, stay-at-home orders, or similar restrictions, all of which may continue to effect our customers and customers' demand for our services and products, reduce demand for healthcare services, impact our suppliers or cause disruptions in the global supply chain, and impact our ability to sell and manufacture our products. Certain jurisdictions have begun lifting stay-at-home orders only to impose further restrictions in the wake of increases in new COVID-19 cases. As such, there is considerable uncertainty regarding how current and future health and safety measures implemented in response to the COVID-19 pandemic will impact our business. In addition, the deterioration of macroeconomic conditions may impact the proper functioning of financial and capital markets, foreign currency exchange rates, commodity and energy prices, and interest rates. Even after the COVID-19 pandemic subsides, we may continue to experience adverse impacts to our business and financial results due to any economic recession or depression that has occurred, and due to any major public health crises that may occur in the future.</w:t>
      </w:r>
    </w:p>
    <w:p>
      <w:pPr>
        <w:spacing w:after="0" w:line="1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Although our current accounting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 As a result, our accounting estimates and assumptions may change over time in response to COVID-19. Such changes could result in future impairments of goodwill, intangible assets, long-lived assets, incremental credit losses on accounts receivable, excess and obsolete inventory, or a decrease in the carrying amount of our deferred tax assets. Any of these events could amplify the other risks and uncertainties described in our Annual Report on Form 10-K for the fiscal year ended July 31, 2020 and could have an adverse effect on our business and financial results.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8980" w:type="dxa"/>
            <w:vAlign w:val="bottom"/>
          </w:tcPr>
          <w:p>
            <w:pPr>
              <w:spacing w:after="0"/>
              <w:rPr>
                <w:sz w:val="20"/>
                <w:szCs w:val="20"/>
                <w:color w:val="auto"/>
              </w:rPr>
            </w:pP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898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480"/>
        </w:trPr>
        <w:tc>
          <w:tcPr>
            <w:tcW w:w="2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898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Rule 13a-14(a)/15d-14(a) Certification of J. Michael Nauman</w:t>
              </w:r>
            </w:hyperlink>
          </w:p>
        </w:tc>
      </w:tr>
      <w:tr>
        <w:trPr>
          <w:trHeight w:val="499"/>
        </w:trPr>
        <w:tc>
          <w:tcPr>
            <w:tcW w:w="204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8980" w:type="dxa"/>
            <w:vAlign w:val="bottom"/>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Rule 13a-14(a)/15d-14(a) Certification of Aaron J. Pearce</w:t>
              </w:r>
            </w:hyperlink>
          </w:p>
        </w:tc>
      </w:tr>
      <w:tr>
        <w:trPr>
          <w:trHeight w:val="500"/>
        </w:trPr>
        <w:tc>
          <w:tcPr>
            <w:tcW w:w="2040" w:type="dxa"/>
            <w:vAlign w:val="bottom"/>
          </w:tcPr>
          <w:p>
            <w:pPr>
              <w:ind w:left="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8980" w:type="dxa"/>
            <w:vAlign w:val="bottom"/>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Section 1350 Certification of J. Michael Nauman</w:t>
              </w:r>
            </w:hyperlink>
          </w:p>
        </w:tc>
      </w:tr>
      <w:tr>
        <w:trPr>
          <w:trHeight w:val="499"/>
        </w:trPr>
        <w:tc>
          <w:tcPr>
            <w:tcW w:w="2040" w:type="dxa"/>
            <w:vAlign w:val="bottom"/>
          </w:tcPr>
          <w:p>
            <w:pPr>
              <w:ind w:left="2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898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Section 1350 Certification of Aaron J. Pearce</w:t>
              </w:r>
            </w:hyperlink>
          </w:p>
        </w:tc>
      </w:tr>
      <w:tr>
        <w:trPr>
          <w:trHeight w:val="445"/>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8980" w:type="dxa"/>
            <w:vAlign w:val="bottom"/>
          </w:tcPr>
          <w:p>
            <w:pPr>
              <w:ind w:left="20"/>
              <w:spacing w:after="0"/>
              <w:rPr>
                <w:sz w:val="20"/>
                <w:szCs w:val="20"/>
                <w:color w:val="auto"/>
              </w:rPr>
            </w:pPr>
            <w:r>
              <w:rPr>
                <w:rFonts w:ascii="Arial" w:cs="Arial" w:eastAsia="Arial" w:hAnsi="Arial"/>
                <w:sz w:val="18"/>
                <w:szCs w:val="18"/>
                <w:color w:val="auto"/>
                <w:w w:val="92"/>
              </w:rPr>
              <w:t>XBRL Instance Document (The instance document does not appear in the interactive data file because its XBRL tags are</w:t>
            </w:r>
          </w:p>
        </w:tc>
      </w:tr>
      <w:tr>
        <w:trPr>
          <w:trHeight w:val="230"/>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8980" w:type="dxa"/>
            <w:vAlign w:val="bottom"/>
          </w:tcPr>
          <w:p>
            <w:pPr>
              <w:ind w:left="20"/>
              <w:spacing w:after="0"/>
              <w:rPr>
                <w:sz w:val="20"/>
                <w:szCs w:val="20"/>
                <w:color w:val="auto"/>
              </w:rPr>
            </w:pPr>
            <w:r>
              <w:rPr>
                <w:rFonts w:ascii="Arial" w:cs="Arial" w:eastAsia="Arial" w:hAnsi="Arial"/>
                <w:sz w:val="18"/>
                <w:szCs w:val="18"/>
                <w:color w:val="auto"/>
              </w:rPr>
              <w:t>XBRL Taxonomy Schema Document</w:t>
            </w: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89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89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89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8980" w:type="dxa"/>
            <w:vAlign w:val="bottom"/>
          </w:tcPr>
          <w:p>
            <w:pPr>
              <w:ind w:left="20"/>
              <w:spacing w:after="0"/>
              <w:rPr>
                <w:sz w:val="20"/>
                <w:szCs w:val="20"/>
                <w:color w:val="auto"/>
              </w:rPr>
            </w:pPr>
            <w:r>
              <w:rPr>
                <w:rFonts w:ascii="Arial" w:cs="Arial" w:eastAsia="Arial" w:hAnsi="Arial"/>
                <w:sz w:val="18"/>
                <w:szCs w:val="18"/>
                <w:color w:val="auto"/>
              </w:rPr>
              <w:t>XBRL Taxonomy Presentation Label Linkbase Document</w:t>
            </w:r>
          </w:p>
        </w:tc>
      </w:tr>
      <w:tr>
        <w:trPr>
          <w:trHeight w:val="499"/>
        </w:trPr>
        <w:tc>
          <w:tcPr>
            <w:tcW w:w="204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Cover Page Inline XBRL data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rPr>
              <w:t>SIGNATURES</w:t>
            </w:r>
          </w:p>
        </w:tc>
      </w:tr>
      <w:tr>
        <w:trPr>
          <w:trHeight w:val="257"/>
        </w:trPr>
        <w:tc>
          <w:tcPr>
            <w:tcW w:w="34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BRADY CORPORATION</w:t>
            </w:r>
          </w:p>
        </w:tc>
      </w:tr>
      <w:tr>
        <w:trPr>
          <w:trHeight w:val="499"/>
        </w:trPr>
        <w:tc>
          <w:tcPr>
            <w:tcW w:w="3400" w:type="dxa"/>
            <w:vAlign w:val="bottom"/>
          </w:tcPr>
          <w:p>
            <w:pPr>
              <w:spacing w:after="0"/>
              <w:rPr>
                <w:sz w:val="20"/>
                <w:szCs w:val="20"/>
                <w:color w:val="auto"/>
              </w:rPr>
            </w:pPr>
            <w:r>
              <w:rPr>
                <w:rFonts w:ascii="Arial" w:cs="Arial" w:eastAsia="Arial" w:hAnsi="Arial"/>
                <w:sz w:val="18"/>
                <w:szCs w:val="18"/>
                <w:color w:val="auto"/>
              </w:rPr>
              <w:t>Date: February 18, 2021</w:t>
            </w:r>
          </w:p>
        </w:tc>
        <w:tc>
          <w:tcPr>
            <w:tcW w:w="376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J. MICHAEL NAUMAN</w:t>
            </w:r>
          </w:p>
        </w:tc>
      </w:tr>
      <w:tr>
        <w:trPr>
          <w:trHeight w:val="222"/>
        </w:trPr>
        <w:tc>
          <w:tcPr>
            <w:tcW w:w="34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J. Michael Nauman</w:t>
            </w:r>
          </w:p>
        </w:tc>
      </w:tr>
      <w:tr>
        <w:trPr>
          <w:trHeight w:val="229"/>
        </w:trPr>
        <w:tc>
          <w:tcPr>
            <w:tcW w:w="34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742"/>
        </w:trPr>
        <w:tc>
          <w:tcPr>
            <w:tcW w:w="3400" w:type="dxa"/>
            <w:vAlign w:val="bottom"/>
          </w:tcPr>
          <w:p>
            <w:pPr>
              <w:spacing w:after="0"/>
              <w:rPr>
                <w:sz w:val="20"/>
                <w:szCs w:val="20"/>
                <w:color w:val="auto"/>
              </w:rPr>
            </w:pPr>
            <w:r>
              <w:rPr>
                <w:rFonts w:ascii="Arial" w:cs="Arial" w:eastAsia="Arial" w:hAnsi="Arial"/>
                <w:sz w:val="18"/>
                <w:szCs w:val="18"/>
                <w:color w:val="auto"/>
              </w:rPr>
              <w:t>Date: February 18, 2021</w:t>
            </w:r>
          </w:p>
        </w:tc>
        <w:tc>
          <w:tcPr>
            <w:tcW w:w="376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AARON J. PEARCE</w:t>
            </w:r>
          </w:p>
        </w:tc>
      </w:tr>
      <w:tr>
        <w:trPr>
          <w:trHeight w:val="222"/>
        </w:trPr>
        <w:tc>
          <w:tcPr>
            <w:tcW w:w="34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Aaron J. Pearce</w:t>
            </w:r>
          </w:p>
        </w:tc>
      </w:tr>
      <w:tr>
        <w:trPr>
          <w:trHeight w:val="229"/>
        </w:trPr>
        <w:tc>
          <w:tcPr>
            <w:tcW w:w="34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4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104" w:lineRule="exact"/>
        <w:rPr>
          <w:sz w:val="20"/>
          <w:szCs w:val="20"/>
          <w:color w:val="auto"/>
        </w:rPr>
      </w:pPr>
    </w:p>
    <w:p>
      <w:pPr>
        <w:ind w:left="700" w:hanging="247"/>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18,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18,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3"/>
        <w:spacing w:after="0" w:line="277"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2021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18,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7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3"/>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2021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18,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7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2021-02-18T06:15:52Z</dcterms:created>
  <dcterms:modified xsi:type="dcterms:W3CDTF">2021-02-18T06:15:52Z</dcterms:modified>
</cp:coreProperties>
</file>