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tbl>
      <w:tblPr>
        <w:tblLayout w:type="fixed"/>
        <w:tblInd w:w="1620" w:type="dxa"/>
        <w:tblCellMar>
          <w:top w:w="0" w:type="dxa"/>
          <w:left w:w="0" w:type="dxa"/>
          <w:bottom w:w="0" w:type="dxa"/>
          <w:right w:w="0" w:type="dxa"/>
        </w:tblCellMar>
      </w:tblPr>
      <w:tr>
        <w:trPr>
          <w:trHeight w:val="352"/>
        </w:trPr>
        <w:tc>
          <w:tcPr>
            <w:tcW w:w="2340" w:type="dxa"/>
            <w:vAlign w:val="bottom"/>
          </w:tcPr>
          <w:p>
            <w:pPr>
              <w:spacing w:after="0"/>
              <w:rPr>
                <w:sz w:val="24"/>
                <w:szCs w:val="24"/>
                <w:color w:val="auto"/>
              </w:rPr>
            </w:pPr>
          </w:p>
        </w:tc>
        <w:tc>
          <w:tcPr>
            <w:tcW w:w="5280" w:type="dxa"/>
            <w:vAlign w:val="bottom"/>
            <w:gridSpan w:val="3"/>
          </w:tcPr>
          <w:p>
            <w:pPr>
              <w:jc w:val="center"/>
              <w:ind w:right="1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(Exact name of registrant as specified in its charter)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r>
        <w:trPr>
          <w:trHeight w:val="28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5"/>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280" w:type="dxa"/>
            <w:vAlign w:val="bottom"/>
            <w:gridSpan w:val="3"/>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3"/>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0"/>
                <w:szCs w:val="10"/>
                <w:color w:val="auto"/>
                <w:w w:val="95"/>
              </w:rPr>
              <w:t>(State or other jurisdiction of incorporation or organization)</w:t>
            </w:r>
          </w:p>
        </w:tc>
        <w:tc>
          <w:tcPr>
            <w:tcW w:w="4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72"/>
        </w:trPr>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4"/>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(Address of principal executive offices and Zip Code)</w:t>
            </w:r>
          </w:p>
        </w:tc>
      </w:tr>
      <w:tr>
        <w:trPr>
          <w:trHeight w:val="246"/>
        </w:trPr>
        <w:tc>
          <w:tcPr>
            <w:tcW w:w="2340" w:type="dxa"/>
            <w:vAlign w:val="bottom"/>
          </w:tcPr>
          <w:p>
            <w:pPr>
              <w:spacing w:after="0"/>
              <w:rPr>
                <w:sz w:val="21"/>
                <w:szCs w:val="21"/>
                <w:color w:val="auto"/>
              </w:rPr>
            </w:pPr>
          </w:p>
        </w:tc>
        <w:tc>
          <w:tcPr>
            <w:tcW w:w="2920" w:type="dxa"/>
            <w:vAlign w:val="bottom"/>
            <w:gridSpan w:val="2"/>
          </w:tcPr>
          <w:p>
            <w:pPr>
              <w:jc w:val="center"/>
              <w:ind w:left="352"/>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60" w:type="dxa"/>
            <w:vAlign w:val="bottom"/>
          </w:tcPr>
          <w:p>
            <w:pPr>
              <w:spacing w:after="0"/>
              <w:rPr>
                <w:sz w:val="21"/>
                <w:szCs w:val="21"/>
                <w:color w:val="auto"/>
              </w:rPr>
            </w:pP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0"/>
                <w:szCs w:val="10"/>
                <w:color w:val="auto"/>
                <w:w w:val="94"/>
              </w:rPr>
              <w:t>(Registrant’s Telephone Number)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60"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May 22, 2024, Brady Corporation (the “Company”) issued a press release announcing its fiscal 2024 third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May 22, 2024, the Company hosted a conference call related to its fiscal 2024 third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79"/>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of Brady Corporation, dated May 22, 2024, relating to fiscal 2024 third quarter financial results.</w:t>
            </w:r>
          </w:p>
        </w:tc>
        <w:tc>
          <w:tcPr>
            <w:tcW w:w="4600" w:type="dxa"/>
            <w:vAlign w:val="bottom"/>
            <w:gridSpan w:val="2"/>
          </w:tcPr>
          <w:p>
            <w:pPr>
              <w:spacing w:after="0"/>
              <w:rPr>
                <w:sz w:val="15"/>
                <w:szCs w:val="15"/>
                <w:color w:val="auto"/>
              </w:rPr>
            </w:pPr>
          </w:p>
        </w:tc>
      </w:tr>
      <w:tr>
        <w:trPr>
          <w:trHeight w:val="196"/>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Informational slides provided by Brady Corporation, dated May 22, 2024, relating to fiscal 2024 third quarter financial results.</w:t>
            </w:r>
          </w:p>
        </w:tc>
        <w:tc>
          <w:tcPr>
            <w:tcW w:w="3820" w:type="dxa"/>
            <w:vAlign w:val="bottom"/>
          </w:tcPr>
          <w:p>
            <w:pPr>
              <w:spacing w:after="0"/>
              <w:rPr>
                <w:sz w:val="17"/>
                <w:szCs w:val="17"/>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22, 2024</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Record EPS in its Fiscal 2024 Third Quarter and Raises its Fiscal 2024 EPS Guidance</w:t>
      </w:r>
    </w:p>
    <w:p>
      <w:pPr>
        <w:spacing w:after="0" w:line="186" w:lineRule="exact"/>
        <w:rPr>
          <w:sz w:val="20"/>
          <w:szCs w:val="20"/>
          <w:color w:val="auto"/>
        </w:rPr>
      </w:pPr>
    </w:p>
    <w:p>
      <w:pPr>
        <w:ind w:left="420" w:hanging="212"/>
        <w:spacing w:after="0" w:line="317"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for the quarter increased 1.9 percent compared to the same quarter of the prior year. Organic sales increased 4.5 percent, foreign currency decreased sales by 0.3 percent and divestitures decreased sales by 2.3 percent.</w:t>
      </w:r>
    </w:p>
    <w:p>
      <w:pPr>
        <w:spacing w:after="0" w:line="1" w:lineRule="exact"/>
        <w:rPr>
          <w:rFonts w:ascii="Times New Roman" w:cs="Times New Roman" w:eastAsia="Times New Roman" w:hAnsi="Times New Roman"/>
          <w:sz w:val="13"/>
          <w:szCs w:val="13"/>
          <w:color w:val="auto"/>
        </w:rPr>
      </w:pPr>
    </w:p>
    <w:p>
      <w:pPr>
        <w:ind w:left="420" w:hanging="212"/>
        <w:spacing w:after="0" w:line="317"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increased 9.4 percent to a record high of $1.05 in the third quarter of fiscal 2024 compared to $0.96 in the same quarter of the prior year. Diluted EPS Excluding Certain Items* increased 14.7 percent to a record high of $1.09 in the third quarter of fiscal 2024 compared to $0.95 in the same quarter of the prior year.</w:t>
      </w:r>
    </w:p>
    <w:p>
      <w:pPr>
        <w:spacing w:after="0" w:line="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cash provided by operating activities was $171.1 million in the nine months ended April 30, 2024 compared to $129.9 million in the nine months ended April 30, 2023.</w:t>
      </w:r>
    </w:p>
    <w:p>
      <w:pPr>
        <w:spacing w:after="0" w:line="48" w:lineRule="exact"/>
        <w:rPr>
          <w:rFonts w:ascii="Times New Roman" w:cs="Times New Roman" w:eastAsia="Times New Roman" w:hAnsi="Times New Roman"/>
          <w:sz w:val="13"/>
          <w:szCs w:val="13"/>
          <w:color w:val="auto"/>
        </w:rPr>
      </w:pPr>
    </w:p>
    <w:p>
      <w:pPr>
        <w:ind w:left="420" w:hanging="212"/>
        <w:spacing w:after="0" w:line="353"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Earnings per diluted Class A Common Share guidance was raised for the full year ending July 31, 2024 from the previous range of $3.80 to $3.95 to the new range of $3.93 to $4.00 on a GAAP basis, and was raised from the previous range of $3.95 to $4.10 to the new range of $4.08 to $4.15 on a non-GAAP basis.</w:t>
      </w:r>
    </w:p>
    <w:p>
      <w:pPr>
        <w:spacing w:after="0" w:line="118" w:lineRule="exact"/>
        <w:rPr>
          <w:sz w:val="20"/>
          <w:szCs w:val="20"/>
          <w:color w:val="auto"/>
        </w:rPr>
      </w:pPr>
    </w:p>
    <w:p>
      <w:pPr>
        <w:jc w:val="both"/>
        <w:ind w:right="20"/>
        <w:spacing w:after="0" w:line="353" w:lineRule="auto"/>
        <w:rPr>
          <w:sz w:val="20"/>
          <w:szCs w:val="20"/>
          <w:color w:val="auto"/>
        </w:rPr>
      </w:pPr>
      <w:r>
        <w:rPr>
          <w:rFonts w:ascii="Times New Roman" w:cs="Times New Roman" w:eastAsia="Times New Roman" w:hAnsi="Times New Roman"/>
          <w:sz w:val="13"/>
          <w:szCs w:val="13"/>
          <w:color w:val="auto"/>
        </w:rPr>
        <w:t>MILWAUKEE (May 22, 2024) -- Brady Corporation (NYSE: BRC) (“Brady” or “Company”), a world leader in identification solutions, today reported its financial results for its fiscal 2024 third quarter ended April 30,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April 30, 2024 Financial Results:</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Sales for the quarter ended April 30, 2024 increased 1.9 percent, which consisted of organic sales growth of 4.5 percent, a decrease of 0.3 percent from foreign currency translation and a decrease of 2.3 percent from divestitures. Sales for the quarter ended April 30, 2024 were $343.4 million compared to $337.1 million in the same quarter last year. By region, sales increased 0.9 percent in the Americas &amp; Asia and increased 3.8 percent in Europe &amp; Australia, which consisted of organic sales growth of 4.5 percent in the Americas &amp; Asia and organic sales growth of 4.4 percent in Europe &amp; Australia.</w:t>
      </w:r>
    </w:p>
    <w:p>
      <w:pPr>
        <w:spacing w:after="0" w:line="2"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Income before income taxes increased 2.2 percent to $64.4 million for the quarter ended April 30, 2024, compared to $63.0 million in the same quarter last year. Income Before Income Taxes Excluding Certain Items* for the quarter ended April 30, 2024, which was adjusted for amortization expense in both periods, and removes the $3.8 million pre-tax gain on a divestiture from the same quarter last year, was $66.8 million, an increase of 8.2 percent.</w:t>
      </w:r>
    </w:p>
    <w:p>
      <w:pPr>
        <w:spacing w:after="0" w:line="2" w:lineRule="exact"/>
        <w:rPr>
          <w:sz w:val="20"/>
          <w:szCs w:val="20"/>
          <w:color w:val="auto"/>
        </w:rPr>
      </w:pPr>
    </w:p>
    <w:p>
      <w:pPr>
        <w:jc w:val="both"/>
        <w:ind w:firstLine="432"/>
        <w:spacing w:after="0" w:line="329" w:lineRule="auto"/>
        <w:rPr>
          <w:sz w:val="20"/>
          <w:szCs w:val="20"/>
          <w:color w:val="auto"/>
        </w:rPr>
      </w:pPr>
      <w:r>
        <w:rPr>
          <w:rFonts w:ascii="Times New Roman" w:cs="Times New Roman" w:eastAsia="Times New Roman" w:hAnsi="Times New Roman"/>
          <w:sz w:val="13"/>
          <w:szCs w:val="13"/>
          <w:color w:val="auto"/>
        </w:rPr>
        <w:t>Net income for the quarter ended April 30, 2024 was $50.9 million compared to $48.1 million in the same quarter last year. Earnings per diluted Class A Nonvoting Common Share were $1.05 in the third quarter of fiscal 2024, compared to $0.96 in the same quarter last year. Net Income Excluding Certain Items* for the quarter ended April 30, 2024 was $52.7 million and Diluted EPS Excluding Certain Items* for the quarter ended April 30, 2024 was $1.09. Net Income Excluding Certain Items* for the quarter ended April 30, 2023 was $47.6 million and Diluted EPS Excluding Certain Items* for the quarter ended April 30, 2023 was $0.95.</w:t>
      </w:r>
    </w:p>
    <w:p>
      <w:pPr>
        <w:sectPr>
          <w:pgSz w:w="11900" w:h="16838" w:orient="portrait"/>
          <w:cols w:equalWidth="0" w:num="1">
            <w:col w:w="11300"/>
          </w:cols>
          <w:pgMar w:left="300" w:top="63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Nine-Month Period Ended April 30, 2024 Financial Results:</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Sales for the nine-month period ended April 30, 2024 increased 1.2 percent, which consisted of organic sales growth of 3.0 percent, an increase of 0.6 percent from foreign currency translation and a decrease of 2.4 percent from divestitures. Sales for the nine months ended April 30, 2024 were $998.0 million compared to $985.9 million in the same period last year. By region, sales decreased 0.5 percent in the Americas &amp; Asia and increased 4.7 percent in Europe &amp; Australia, which consisted of organic sales growth of 3.0 percent in the Americas &amp; Asia and organic sales growth of 2.8 percent in Europe &amp; Australia.</w:t>
      </w:r>
    </w:p>
    <w:p>
      <w:pPr>
        <w:spacing w:after="0" w:line="2"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Income before income taxes increased 11.0 percent to $179.6 million for the nine-month period ended April 30, 2024, compared to $161.9 million in the same period last year. Income Before Income Taxes Excluding Certain Items* for the nine months ended April 30, 2024, which was adjusted for amortization expense in both periods and removes the $3.8 million pre-tax gain on a divestiture from the same period last year, was $186.7 million, an increase of 11.5 percent compared to the same period of the prior year.</w:t>
      </w:r>
    </w:p>
    <w:p>
      <w:pPr>
        <w:spacing w:after="0" w:line="2" w:lineRule="exact"/>
        <w:rPr>
          <w:sz w:val="20"/>
          <w:szCs w:val="20"/>
          <w:color w:val="auto"/>
        </w:rPr>
      </w:pPr>
    </w:p>
    <w:p>
      <w:pPr>
        <w:jc w:val="both"/>
        <w:ind w:firstLine="432"/>
        <w:spacing w:after="0" w:line="329" w:lineRule="auto"/>
        <w:rPr>
          <w:sz w:val="20"/>
          <w:szCs w:val="20"/>
          <w:color w:val="auto"/>
        </w:rPr>
      </w:pPr>
      <w:r>
        <w:rPr>
          <w:rFonts w:ascii="Times New Roman" w:cs="Times New Roman" w:eastAsia="Times New Roman" w:hAnsi="Times New Roman"/>
          <w:sz w:val="13"/>
          <w:szCs w:val="13"/>
          <w:color w:val="auto"/>
        </w:rPr>
        <w:t>Net income for the nine-month period ended April 30, 2024 was $141.8 million compared to $125.5 million in the same period last year. Earnings per diluted Class A Nonvoting Common Share were $2.91 for the nine months ended April 30, 2024, compared to $2.51 in the same period last year. Net Income Excluding Certain Items* for the nine months ended April 30, 2024 was $147.2 million and Diluted EPS Excluding Certain Items* for the nine months ended April 30, 2024 was $3.03. Net Income Excluding Certain Items* for the nine months ended April 30, 2023 was $130.3 million, and Diluted EPS Excluding Certain Items* for the nine months ended April 30, 2023 was $2.60.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“This quarter we reported all-time record high EPS and strong organic sales growth. Our ongoing investment in research and development continues to add value for our customers and increase organic sales. This quarter we launched several exciting new products that separate us from our competition and complement our current product offering. We remain focused on innovation and on our consistent priorities, which we believe will continue to drive future growth,” said Brady’s President and Chief Executive Officer, Russell R. Shaller. “Both regions performed extremely well this quarter and we are facilitating an increased pace of innovative new product development, which we believe positions us for future success.”</w:t>
      </w:r>
    </w:p>
    <w:p>
      <w:pPr>
        <w:spacing w:after="0" w:line="2"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“In addition to our organic revenue growth of 4.5 percent and record EPS this quarter, we also used our strong balance sheet and cash generation to return funds to our shareholders in the form of share buybacks and dividends. This quarter, we repurchased a total of 863,365 shares for $50.4 million and we returned another $11.2 million to our shareholders in the form of dividends,” said Brady’s Chief Financial Officer, Ann Thornton. “Our balance sheet provides significant opportunities to invest in both organic opportunities and strategic acquisitions in order to drive long-term shareholder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2024 Guidance:</w:t>
      </w:r>
    </w:p>
    <w:p>
      <w:pPr>
        <w:spacing w:after="0" w:line="51"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The Company raised its GAAP earnings per diluted Class A Nonvoting Common Share guidance for the year ending July 31, 2024 from the previous guidance range of $3.80 to $3.95 per share to the new full year guidance range of $3.93 to $4.00 per share. The Company raised its Diluted EPS Excluding Certain Items* guidance for the year ending July 31, 2024 from the previous range of $3.95 to $4.10 per share to the new full year guidance range of $4.08 to $4.15 per share.</w:t>
      </w:r>
    </w:p>
    <w:p>
      <w:pPr>
        <w:sectPr>
          <w:pgSz w:w="11900" w:h="16838" w:orient="portrait"/>
          <w:cols w:equalWidth="0" w:num="1">
            <w:col w:w="11300"/>
          </w:cols>
          <w:pgMar w:left="300" w:top="825" w:right="299" w:bottom="1440" w:gutter="0" w:footer="0" w:header="0"/>
        </w:sectPr>
      </w:pPr>
    </w:p>
    <w:bookmarkStart w:id="4" w:name="page5"/>
    <w:bookmarkEnd w:id="4"/>
    <w:p>
      <w:pPr>
        <w:jc w:val="both"/>
        <w:ind w:firstLine="432"/>
        <w:spacing w:after="0" w:line="329" w:lineRule="auto"/>
        <w:rPr>
          <w:sz w:val="20"/>
          <w:szCs w:val="20"/>
          <w:color w:val="auto"/>
        </w:rPr>
      </w:pPr>
      <w:r>
        <w:rPr>
          <w:rFonts w:ascii="Times New Roman" w:cs="Times New Roman" w:eastAsia="Times New Roman" w:hAnsi="Times New Roman"/>
          <w:sz w:val="13"/>
          <w:szCs w:val="13"/>
          <w:color w:val="auto"/>
        </w:rPr>
        <w:t>The assumptions included in fiscal 2024 guidance include a full-year income tax rate of approximately 21 percent and depreciation and amortization expense ranging from $30 million to $32 million. Capital expenditures are expected to approximate $75 million, which is inclusive of facility purchase and construction costs of approximately $55 million. Fiscal 2024 guidance is based on foreign currency exchange rates as of April 30, 2024 and assumes continued economic growth. Fiscal 2024 guidance does not include the Company’s pending acquisition of Gravotech Holding, which is expected to close by the end of its fiscal year ending July 31, 2024. Excluding acquisition-related costs, Brady expects the acquisition of Gravotech Holding to be immaterial to earnings per share in fiscal 2024.</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2024 third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 sales were approximately $1.33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299" w:lineRule="exact"/>
        <w:rPr>
          <w:sz w:val="20"/>
          <w:szCs w:val="20"/>
          <w:color w:val="auto"/>
        </w:rPr>
      </w:pPr>
    </w:p>
    <w:p>
      <w:pPr>
        <w:ind w:firstLine="424"/>
        <w:spacing w:after="0" w:line="353" w:lineRule="auto"/>
        <w:tabs>
          <w:tab w:leader="none" w:pos="53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occurrence of any event, change or other circumstances that could give rise to the termination of the offer to acquire Gravotech; the expected timing and likelihood of completion of the proposed transaction with Gravotech, including the timing, receipt and terms and conditions of any required governmental and regulatory approvals of the offer that could reduce anticipated benefits or cause the parties to abandon the transaction; the risk that the proposed offer and its announcement could have an adverse effect on the ability of Brady and Gravotech to retain customers and retain and hire key personnel and maintain relationships with their suppliers and customers and on their operating results and businesses generally;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 liability claims; adverse impacts of</w:t>
      </w:r>
    </w:p>
    <w:p>
      <w:pPr>
        <w:sectPr>
          <w:pgSz w:w="11900" w:h="16838" w:orient="portrait"/>
          <w:cols w:equalWidth="0" w:num="1">
            <w:col w:w="11300"/>
          </w:cols>
          <w:pgMar w:left="300" w:top="665" w:right="29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12"/>
          <w:szCs w:val="12"/>
          <w:color w:val="auto"/>
        </w:rPr>
        <w:t>regional epidemics or global pandemics; foreign currency fluctuations; potential write-offs of goodwill and other intangible assets; changes in tax legislation and tax rates;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3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343,384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337,116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997,991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985,934</w:t>
            </w:r>
          </w:p>
        </w:tc>
      </w:tr>
      <w:tr>
        <w:trPr>
          <w:trHeight w:val="142"/>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166,357</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167,425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487,162</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504,539</w:t>
            </w:r>
          </w:p>
        </w:tc>
      </w:tr>
      <w:tr>
        <w:trPr>
          <w:trHeight w:val="135"/>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177,027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169,691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510,829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481,395</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17,681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50,215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45,025</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95,803</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90,975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283,415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273,202</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113,484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106,690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333,630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318,227</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63,543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63,001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177,199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163,168</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(2,886)</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64,411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63,033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179,633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161,878</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14,981</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37,874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36,399</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50,890</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48,052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141,759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125,479</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48,004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49,653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48,294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49,755</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48,640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50,033</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April 30, 2024</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2023</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160,458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$6,690 and $8,467,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184,420</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153,272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177,078</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12,443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11,790</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521,272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524,820</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194,732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142,149</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588,095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592,646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53,893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62,096</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14,881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29,688</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23,785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22,142</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1,424,096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1,389,257</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79,965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79,855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73,697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71,470</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12,582</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14,726</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64,850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65,828</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253,149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258,036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63,774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49,716</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16,217</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69,519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74,369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401,994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398,338</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43,941,713 and 45,008,724 shares,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351,771</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1,129,739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1,021,870</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stock—7,319,774 and 6,252,763 shares, respectively of Class A nonvoting common stock, at cost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(356,210)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(290,209)</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(106,407)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(93,061)</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1,022,102</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990,919</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1,424,096</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1,389,257</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52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2023</w:t>
            </w:r>
          </w:p>
        </w:tc>
        <w:tc>
          <w:tcPr>
            <w:tcW w:w="52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141,759</w:t>
            </w:r>
          </w:p>
        </w:tc>
        <w:tc>
          <w:tcPr>
            <w:tcW w:w="100" w:type="dxa"/>
            <w:vAlign w:val="bottom"/>
          </w:tcPr>
          <w:p>
            <w:pPr>
              <w:spacing w:after="0"/>
              <w:rPr>
                <w:sz w:val="12"/>
                <w:szCs w:val="12"/>
                <w:color w:val="auto"/>
              </w:rPr>
            </w:pPr>
          </w:p>
        </w:tc>
        <w:tc>
          <w:tcPr>
            <w:tcW w:w="84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125,479</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22,406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24,522</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(3,770)</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(15,915)</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1,744</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9,279</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(1,849)</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(3,429)</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7,347</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(19,704)</w:t>
            </w:r>
          </w:p>
        </w:tc>
      </w:tr>
      <w:tr>
        <w:trPr>
          <w:trHeight w:val="142"/>
        </w:trPr>
        <w:tc>
          <w:tcPr>
            <w:tcW w:w="848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(4,393)</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(3,404)</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171,094</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129,861</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(69,157)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(12,912)</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Sale of business</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(1,174)</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(70,331)</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(4,901)</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(33,890)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(34,202)</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(72,225)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(29,774)</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111,790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102,916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(97,732)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(147,067)</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(88,989)</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(105,935)</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(2,848)</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1,953</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20,978</w:t>
            </w: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151,532</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114,069</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88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160,458</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135,047</w:t>
            </w:r>
          </w:p>
        </w:tc>
      </w:tr>
      <w:tr>
        <w:trPr>
          <w:trHeight w:val="20"/>
        </w:trPr>
        <w:tc>
          <w:tcPr>
            <w:tcW w:w="8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820" w:type="dxa"/>
            <w:vAlign w:val="bottom"/>
            <w:tcBorders>
              <w:bottom w:val="single" w:sz="8" w:color="auto"/>
            </w:tcBorders>
          </w:tcPr>
          <w:p>
            <w:pPr>
              <w:spacing w:after="0"/>
              <w:rPr>
                <w:sz w:val="12"/>
                <w:szCs w:val="12"/>
                <w:color w:val="auto"/>
              </w:rPr>
            </w:pPr>
          </w:p>
        </w:tc>
      </w:tr>
      <w:tr>
        <w:trPr>
          <w:trHeight w:val="151"/>
        </w:trPr>
        <w:tc>
          <w:tcPr>
            <w:tcW w:w="53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0"/>
              </w:rPr>
              <w:t>2023</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224,766</w:t>
            </w:r>
          </w:p>
        </w:tc>
        <w:tc>
          <w:tcPr>
            <w:tcW w:w="100" w:type="dxa"/>
            <w:vAlign w:val="bottom"/>
          </w:tcPr>
          <w:p>
            <w:pPr>
              <w:spacing w:after="0"/>
              <w:rPr>
                <w:sz w:val="12"/>
                <w:szCs w:val="12"/>
                <w:color w:val="auto"/>
              </w:rPr>
            </w:pP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222,813</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658,035</w:t>
            </w:r>
          </w:p>
        </w:tc>
        <w:tc>
          <w:tcPr>
            <w:tcW w:w="80" w:type="dxa"/>
            <w:vAlign w:val="bottom"/>
          </w:tcPr>
          <w:p>
            <w:pPr>
              <w:spacing w:after="0"/>
              <w:rPr>
                <w:sz w:val="12"/>
                <w:szCs w:val="12"/>
                <w:color w:val="auto"/>
              </w:rPr>
            </w:pP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661,375</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118,618</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114,303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339,956</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324,559</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343,384</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337,116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997,991</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985,934</w:t>
            </w:r>
          </w:p>
        </w:tc>
      </w:tr>
      <w:tr>
        <w:trPr>
          <w:trHeight w:val="153"/>
        </w:trPr>
        <w:tc>
          <w:tcPr>
            <w:tcW w:w="5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2.8 %</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0.8 %</w:t>
            </w:r>
          </w:p>
        </w:tc>
      </w:tr>
      <w:tr>
        <w:trPr>
          <w:trHeight w:val="153"/>
        </w:trPr>
        <w:tc>
          <w:tcPr>
            <w:tcW w:w="5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43"/>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49,697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49,192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143,489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130,511</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19,537</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17,099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51,335</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47,316</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69,234</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66,291</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194,824</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177,827</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14.6 %</w:t>
            </w:r>
          </w:p>
        </w:tc>
      </w:tr>
      <w:tr>
        <w:trPr>
          <w:trHeight w:val="151"/>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20.2 %</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19.5 %</w:t>
            </w: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18.0 %</w:t>
            </w:r>
          </w:p>
        </w:tc>
      </w:tr>
      <w:tr>
        <w:trPr>
          <w:trHeight w:val="493"/>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820" w:type="dxa"/>
            <w:vAlign w:val="bottom"/>
            <w:tcBorders>
              <w:bottom w:val="single" w:sz="8" w:color="auto"/>
            </w:tcBorders>
          </w:tcPr>
          <w:p>
            <w:pPr>
              <w:spacing w:after="0"/>
              <w:rPr>
                <w:sz w:val="24"/>
                <w:szCs w:val="24"/>
                <w:color w:val="auto"/>
              </w:rPr>
            </w:pPr>
          </w:p>
        </w:tc>
      </w:tr>
      <w:tr>
        <w:trPr>
          <w:trHeight w:val="151"/>
        </w:trPr>
        <w:tc>
          <w:tcPr>
            <w:tcW w:w="53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0"/>
              </w:rPr>
              <w:t>2023</w:t>
            </w:r>
          </w:p>
        </w:tc>
      </w:tr>
      <w:tr>
        <w:trPr>
          <w:trHeight w:val="13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69,234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66,291</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194,824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177,827</w:t>
            </w:r>
          </w:p>
        </w:tc>
      </w:tr>
      <w:tr>
        <w:trPr>
          <w:trHeight w:val="142"/>
        </w:trPr>
        <w:tc>
          <w:tcPr>
            <w:tcW w:w="538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(5,691)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(7,060)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(17,625)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(18,429)</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3,770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3,770</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1,596</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785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4,718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1,596</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(753)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(2,284)</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(2,886)</w:t>
            </w:r>
          </w:p>
        </w:tc>
      </w:tr>
      <w:tr>
        <w:trPr>
          <w:trHeight w:val="151"/>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64,411</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63,033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179,633</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161,878</w:t>
            </w: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Income Before Income Taxes Excluding Certain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64,411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63,033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179,633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161,878</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9,350</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(3,770)</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Income Before Income Taxes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66,776</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61,724</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186,717</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167,458</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 Expense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37,874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36,399</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2,203</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Income Tax Expense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14,069</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14,119</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39,516</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37,171</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48,052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141,759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125,479</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7,147</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52,707</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47,605</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147,201</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130,287</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5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 (Note that certain amounts will not foot due to rounding):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0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2023</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rPr>
              <w:t>0.96</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center"/>
              <w:ind w:left="706"/>
              <w:spacing w:after="0"/>
              <w:rPr>
                <w:sz w:val="20"/>
                <w:szCs w:val="20"/>
                <w:color w:val="auto"/>
              </w:rPr>
            </w:pPr>
            <w:r>
              <w:rPr>
                <w:rFonts w:ascii="Times New Roman" w:cs="Times New Roman" w:eastAsia="Times New Roman" w:hAnsi="Times New Roman"/>
                <w:sz w:val="11"/>
                <w:szCs w:val="11"/>
                <w:color w:val="auto"/>
              </w:rPr>
              <w:t>2.51</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rPr>
              <w:t>0.04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left="706"/>
              <w:spacing w:after="0"/>
              <w:rPr>
                <w:sz w:val="20"/>
                <w:szCs w:val="20"/>
                <w:color w:val="auto"/>
              </w:rPr>
            </w:pPr>
            <w:r>
              <w:rPr>
                <w:rFonts w:ascii="Times New Roman" w:cs="Times New Roman" w:eastAsia="Times New Roman" w:hAnsi="Times New Roman"/>
                <w:sz w:val="11"/>
                <w:szCs w:val="11"/>
                <w:color w:val="auto"/>
              </w:rPr>
              <w:t>0.14</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7"/>
              </w:rPr>
              <w:t>(0.05)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left="686"/>
              <w:spacing w:after="0"/>
              <w:rPr>
                <w:sz w:val="20"/>
                <w:szCs w:val="20"/>
                <w:color w:val="auto"/>
              </w:rPr>
            </w:pPr>
            <w:r>
              <w:rPr>
                <w:rFonts w:ascii="Times New Roman" w:cs="Times New Roman" w:eastAsia="Times New Roman" w:hAnsi="Times New Roman"/>
                <w:sz w:val="11"/>
                <w:szCs w:val="11"/>
                <w:color w:val="auto"/>
                <w:w w:val="97"/>
              </w:rPr>
              <w:t>(0.05)</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1.09</w:t>
            </w:r>
          </w:p>
        </w:tc>
        <w:tc>
          <w:tcPr>
            <w:tcW w:w="1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rPr>
              <w:t>0.95</w:t>
            </w: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3.03</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center"/>
              <w:ind w:left="706"/>
              <w:spacing w:after="0"/>
              <w:rPr>
                <w:sz w:val="20"/>
                <w:szCs w:val="20"/>
                <w:color w:val="auto"/>
              </w:rPr>
            </w:pPr>
            <w:r>
              <w:rPr>
                <w:rFonts w:ascii="Times New Roman" w:cs="Times New Roman" w:eastAsia="Times New Roman" w:hAnsi="Times New Roman"/>
                <w:sz w:val="11"/>
                <w:szCs w:val="11"/>
                <w:b w:val="1"/>
                <w:bCs w:val="1"/>
                <w:color w:val="auto"/>
              </w:rPr>
              <w:t>2.60</w:t>
            </w: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2024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0.15</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4.08</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4.15</w:t>
            </w:r>
          </w:p>
        </w:tc>
      </w:tr>
    </w:tbl>
    <w:p>
      <w:pPr>
        <w:sectPr>
          <w:pgSz w:w="11900" w:h="16838" w:orient="portrait"/>
          <w:cols w:equalWidth="0" w:num="1">
            <w:col w:w="11300"/>
          </w:cols>
          <w:pgMar w:left="300" w:top="665"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2024-05-22T06:13:45Z</dcterms:created>
  <dcterms:modified xsi:type="dcterms:W3CDTF">2024-05-22T06:13:45Z</dcterms:modified>
</cp:coreProperties>
</file>