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1831975</wp:posOffset>
            </wp:positionH>
            <wp:positionV relativeFrom="paragraph">
              <wp:posOffset>-224155</wp:posOffset>
            </wp:positionV>
            <wp:extent cx="358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186690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700" w:right="420" w:hanging="665"/>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October 31, 2014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420" w:hanging="665"/>
        <w:spacing w:after="0" w:line="256"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1-14959</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-302895</wp:posOffset>
            </wp:positionV>
            <wp:extent cx="3567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167640</wp:posOffset>
            </wp:positionV>
            <wp:extent cx="3542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86"/>
              </w:rPr>
              <w:t>Wisconsin</w:t>
            </w:r>
          </w:p>
        </w:tc>
        <w:tc>
          <w:tcPr>
            <w:tcW w:w="1340" w:type="dxa"/>
            <w:vAlign w:val="bottom"/>
          </w:tcPr>
          <w:p>
            <w:pPr>
              <w:jc w:val="right"/>
              <w:ind w:right="61"/>
              <w:spacing w:after="0"/>
              <w:rPr>
                <w:sz w:val="20"/>
                <w:szCs w:val="20"/>
                <w:color w:val="auto"/>
              </w:rPr>
            </w:pPr>
            <w:r>
              <w:rPr>
                <w:rFonts w:ascii="Arial" w:cs="Arial" w:eastAsia="Arial" w:hAnsi="Arial"/>
                <w:sz w:val="18"/>
                <w:szCs w:val="18"/>
                <w:b w:val="1"/>
                <w:bCs w:val="1"/>
                <w:color w:val="auto"/>
              </w:rPr>
              <w:t>39-0178960</w:t>
            </w:r>
          </w:p>
        </w:tc>
      </w:tr>
      <w:tr>
        <w:trPr>
          <w:trHeight w:val="180"/>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900" w:type="dxa"/>
            <w:vAlign w:val="bottom"/>
          </w:tcPr>
          <w:p>
            <w:pPr>
              <w:jc w:val="center"/>
              <w:ind w:right="2820"/>
              <w:spacing w:after="0"/>
              <w:rPr>
                <w:sz w:val="20"/>
                <w:szCs w:val="20"/>
                <w:color w:val="auto"/>
              </w:rPr>
            </w:pPr>
            <w:r>
              <w:rPr>
                <w:rFonts w:ascii="Arial" w:cs="Arial" w:eastAsia="Arial" w:hAnsi="Arial"/>
                <w:sz w:val="14"/>
                <w:szCs w:val="14"/>
                <w:b w:val="1"/>
                <w:bCs w:val="1"/>
                <w:color w:val="auto"/>
                <w:w w:val="94"/>
              </w:rPr>
              <w:t>incorporation or organization)</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6900" w:type="dxa"/>
            <w:vAlign w:val="bottom"/>
          </w:tcPr>
          <w:p>
            <w:pPr>
              <w:jc w:val="center"/>
              <w:ind w:right="2840"/>
              <w:spacing w:after="0"/>
              <w:rPr>
                <w:sz w:val="20"/>
                <w:szCs w:val="20"/>
                <w:color w:val="auto"/>
              </w:rPr>
            </w:pPr>
            <w:r>
              <w:rPr>
                <w:rFonts w:ascii="Arial" w:cs="Arial" w:eastAsia="Arial" w:hAnsi="Arial"/>
                <w:sz w:val="18"/>
                <w:szCs w:val="18"/>
                <w:b w:val="1"/>
                <w:bCs w:val="1"/>
                <w:color w:val="auto"/>
                <w:w w:val="90"/>
              </w:rPr>
              <w:t>6555 West Good Hope Road, Milwaukee, Wisconsin</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53223</w:t>
            </w:r>
          </w:p>
        </w:tc>
      </w:tr>
      <w:tr>
        <w:trPr>
          <w:trHeight w:val="218"/>
        </w:trPr>
        <w:tc>
          <w:tcPr>
            <w:tcW w:w="6900" w:type="dxa"/>
            <w:vAlign w:val="bottom"/>
          </w:tcPr>
          <w:p>
            <w:pPr>
              <w:jc w:val="center"/>
              <w:ind w:right="28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4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6900" w:type="dxa"/>
            <w:vAlign w:val="bottom"/>
          </w:tcPr>
          <w:p>
            <w:pPr>
              <w:jc w:val="right"/>
              <w:ind w:right="1200"/>
              <w:spacing w:after="0"/>
              <w:rPr>
                <w:sz w:val="20"/>
                <w:szCs w:val="20"/>
                <w:color w:val="auto"/>
              </w:rPr>
            </w:pPr>
            <w:r>
              <w:rPr>
                <w:rFonts w:ascii="Arial" w:cs="Arial" w:eastAsia="Arial" w:hAnsi="Arial"/>
                <w:sz w:val="18"/>
                <w:szCs w:val="18"/>
                <w:b w:val="1"/>
                <w:bCs w:val="1"/>
                <w:color w:val="auto"/>
              </w:rPr>
              <w:t>(414) 358-6600</w:t>
            </w:r>
          </w:p>
        </w:tc>
        <w:tc>
          <w:tcPr>
            <w:tcW w:w="1340" w:type="dxa"/>
            <w:vAlign w:val="bottom"/>
          </w:tcPr>
          <w:p>
            <w:pPr>
              <w:spacing w:after="0"/>
              <w:rPr>
                <w:sz w:val="24"/>
                <w:szCs w:val="24"/>
                <w:color w:val="auto"/>
              </w:rPr>
            </w:pPr>
          </w:p>
        </w:tc>
      </w:tr>
      <w:tr>
        <w:trPr>
          <w:trHeight w:val="191"/>
        </w:trPr>
        <w:tc>
          <w:tcPr>
            <w:tcW w:w="6900" w:type="dxa"/>
            <w:vAlign w:val="bottom"/>
          </w:tcPr>
          <w:p>
            <w:pPr>
              <w:jc w:val="center"/>
              <w:ind w:left="31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179070</wp:posOffset>
            </wp:positionV>
            <wp:extent cx="3542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3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p>
      <w:pPr>
        <w:spacing w:after="0" w:line="1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ectPr>
          <w:pgSz w:w="11900" w:h="16838" w:orient="portrait"/>
          <w:cols w:equalWidth="0" w:num="4">
            <w:col w:w="1320" w:space="560"/>
            <w:col w:w="6120" w:space="720"/>
            <w:col w:w="1660" w:space="720"/>
            <w:col w:w="320"/>
          </w:cols>
          <w:pgMar w:left="240" w:top="229" w:right="239" w:bottom="1440" w:gutter="0" w:footer="0" w:header="0"/>
          <w:type w:val="continuous"/>
        </w:sectPr>
      </w:pP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4">
            <w:col w:w="1260" w:space="620"/>
            <w:col w:w="6120" w:space="720"/>
            <w:col w:w="1660" w:space="720"/>
            <w:col w:w="320"/>
          </w:cols>
          <w:pgMar w:left="240" w:top="229"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31" w:lineRule="exact"/>
        <w:rPr>
          <w:sz w:val="24"/>
          <w:szCs w:val="24"/>
          <w:color w:val="auto"/>
        </w:rPr>
      </w:pPr>
    </w:p>
    <w:p>
      <w:pPr>
        <w:sectPr>
          <w:pgSz w:w="11900" w:h="16838" w:orient="portrait"/>
          <w:cols w:equalWidth="0" w:num="5">
            <w:col w:w="6540" w:space="140"/>
            <w:col w:w="220" w:space="60"/>
            <w:col w:w="140" w:space="140"/>
            <w:col w:w="180" w:space="80"/>
            <w:col w:w="3920"/>
          </w:cols>
          <w:pgMar w:left="240" w:top="229" w:right="239" w:bottom="1440" w:gutter="0" w:footer="0" w:header="0"/>
          <w:type w:val="continuous"/>
        </w:sectPr>
      </w:pPr>
    </w:p>
    <w:p>
      <w:pPr>
        <w:ind w:left="4220"/>
        <w:spacing w:after="0"/>
        <w:rPr>
          <w:sz w:val="20"/>
          <w:szCs w:val="20"/>
          <w:color w:val="auto"/>
        </w:rPr>
      </w:pPr>
      <w:r>
        <w:rPr>
          <w:rFonts w:ascii="Arial" w:cs="Arial" w:eastAsia="Arial" w:hAnsi="Arial"/>
          <w:sz w:val="14"/>
          <w:szCs w:val="14"/>
          <w:color w:val="auto"/>
        </w:rPr>
        <w:t>APPLICABLE ONLY TO CORPORATE ISSUERS</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16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November 28, 2014, there were 47,721,151 outstanding shares of Class A Nonvoting Common Stock and 3,538,628 shares of Class B Voting Common Stock. The Class B Voting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w w:val="93"/>
              </w:rPr>
              <w:t>FORM 10-Q</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gridSpan w:val="4"/>
          </w:tcPr>
          <w:p>
            <w:pPr>
              <w:jc w:val="center"/>
              <w:ind w:right="2900"/>
              <w:spacing w:after="0"/>
              <w:rPr>
                <w:sz w:val="20"/>
                <w:szCs w:val="20"/>
                <w:color w:val="auto"/>
              </w:rPr>
            </w:pPr>
            <w:r>
              <w:rPr>
                <w:rFonts w:ascii="Arial" w:cs="Arial" w:eastAsia="Arial" w:hAnsi="Arial"/>
                <w:sz w:val="18"/>
                <w:szCs w:val="18"/>
                <w:color w:val="auto"/>
                <w:w w:val="96"/>
              </w:rPr>
              <w:t>BRADY CORPORATION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gridSpan w:val="2"/>
          </w:tcPr>
          <w:p>
            <w:pPr>
              <w:jc w:val="center"/>
              <w:ind w:right="3580"/>
              <w:spacing w:after="0"/>
              <w:rPr>
                <w:sz w:val="20"/>
                <w:szCs w:val="20"/>
                <w:color w:val="auto"/>
              </w:rPr>
            </w:pPr>
            <w:r>
              <w:rPr>
                <w:rFonts w:ascii="Arial" w:cs="Arial" w:eastAsia="Arial" w:hAnsi="Arial"/>
                <w:sz w:val="18"/>
                <w:szCs w:val="18"/>
                <w:color w:val="auto"/>
              </w:rPr>
              <w:t>INDEX</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color w:val="auto"/>
              </w:rPr>
              <w:t>Page</w:t>
            </w:r>
          </w:p>
        </w:tc>
      </w:tr>
      <w:tr>
        <w:trPr>
          <w:trHeight w:val="196"/>
        </w:trPr>
        <w:tc>
          <w:tcPr>
            <w:tcW w:w="2460" w:type="dxa"/>
            <w:vAlign w:val="bottom"/>
            <w:tcBorders>
              <w:bottom w:val="single" w:sz="8" w:color="0000FF"/>
            </w:tcBorders>
            <w:gridSpan w:val="8"/>
          </w:tcPr>
          <w:p>
            <w:pPr>
              <w:spacing w:after="0" w:line="170"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7440" w:type="dxa"/>
            <w:vAlign w:val="bottom"/>
            <w:gridSpan w:val="9"/>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20" w:type="dxa"/>
            <w:vAlign w:val="bottom"/>
          </w:tcPr>
          <w:p>
            <w:pPr>
              <w:spacing w:after="0"/>
              <w:rPr>
                <w:sz w:val="17"/>
                <w:szCs w:val="17"/>
                <w:color w:val="auto"/>
              </w:rPr>
            </w:pPr>
          </w:p>
        </w:tc>
      </w:tr>
      <w:tr>
        <w:trPr>
          <w:trHeight w:val="257"/>
        </w:trPr>
        <w:tc>
          <w:tcPr>
            <w:tcW w:w="140" w:type="dxa"/>
            <w:vAlign w:val="bottom"/>
          </w:tcPr>
          <w:p>
            <w:pPr>
              <w:spacing w:after="0"/>
              <w:rPr>
                <w:sz w:val="22"/>
                <w:szCs w:val="22"/>
                <w:color w:val="auto"/>
              </w:rPr>
            </w:pPr>
          </w:p>
        </w:tc>
        <w:tc>
          <w:tcPr>
            <w:tcW w:w="976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sz w:val="20"/>
                <w:szCs w:val="20"/>
                <w:color w:val="auto"/>
              </w:rPr>
            </w:pPr>
            <w:r>
              <w:rPr>
                <w:rFonts w:ascii="Arial" w:cs="Arial" w:eastAsia="Arial" w:hAnsi="Arial"/>
                <w:sz w:val="18"/>
                <w:szCs w:val="18"/>
                <w:color w:val="0000FF"/>
              </w:rPr>
              <w:t>Condensed Consolidated Balance Sheets</w:t>
            </w:r>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Condensed Consolidated Statements of Earnings</w:t>
            </w:r>
          </w:p>
        </w:tc>
        <w:tc>
          <w:tcPr>
            <w:tcW w:w="6040" w:type="dxa"/>
            <w:vAlign w:val="bottom"/>
            <w:gridSpan w:val="6"/>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Condensed Consolidated Statements of Comprehensive Income</w:t>
            </w:r>
          </w:p>
        </w:tc>
        <w:tc>
          <w:tcPr>
            <w:tcW w:w="4960" w:type="dxa"/>
            <w:vAlign w:val="bottom"/>
            <w:gridSpan w:val="3"/>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Cash Flows</w:t>
            </w:r>
          </w:p>
        </w:tc>
        <w:tc>
          <w:tcPr>
            <w:tcW w:w="14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4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Item 2.</w:t>
              </w:r>
            </w:hyperlink>
          </w:p>
        </w:tc>
        <w:tc>
          <w:tcPr>
            <w:tcW w:w="9240" w:type="dxa"/>
            <w:vAlign w:val="bottom"/>
            <w:gridSpan w:val="14"/>
          </w:tcPr>
          <w:p>
            <w:pPr>
              <w:ind w:left="20"/>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Results of Operations and Financial Condition</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Item 3.</w:t>
              </w:r>
            </w:hyperlink>
          </w:p>
        </w:tc>
        <w:tc>
          <w:tcPr>
            <w:tcW w:w="6480" w:type="dxa"/>
            <w:vAlign w:val="bottom"/>
            <w:gridSpan w:val="13"/>
          </w:tcPr>
          <w:p>
            <w:pPr>
              <w:ind w:left="20"/>
              <w:spacing w:after="0"/>
              <w:rPr>
                <w:rFonts w:ascii="Arial" w:cs="Arial" w:eastAsia="Arial" w:hAnsi="Arial"/>
                <w:sz w:val="18"/>
                <w:szCs w:val="18"/>
                <w:color w:val="0000FF"/>
              </w:rPr>
            </w:pPr>
            <w:hyperlink w:anchor="page29">
              <w:r>
                <w:rPr>
                  <w:rFonts w:ascii="Arial" w:cs="Arial" w:eastAsia="Arial" w:hAnsi="Arial"/>
                  <w:sz w:val="18"/>
                  <w:szCs w:val="18"/>
                  <w:color w:val="0000FF"/>
                </w:rPr>
                <w:t>Quantitative and Qualitative Disclosures About Market Risk</w:t>
              </w:r>
            </w:hyperlink>
          </w:p>
        </w:tc>
        <w:tc>
          <w:tcPr>
            <w:tcW w:w="27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Item 4.</w:t>
              </w:r>
            </w:hyperlink>
          </w:p>
        </w:tc>
        <w:tc>
          <w:tcPr>
            <w:tcW w:w="1800" w:type="dxa"/>
            <w:vAlign w:val="bottom"/>
            <w:gridSpan w:val="5"/>
          </w:tcPr>
          <w:p>
            <w:pPr>
              <w:ind w:left="20"/>
              <w:spacing w:after="0"/>
              <w:rPr>
                <w:rFonts w:ascii="Arial" w:cs="Arial" w:eastAsia="Arial" w:hAnsi="Arial"/>
                <w:sz w:val="18"/>
                <w:szCs w:val="18"/>
                <w:color w:val="0000FF"/>
                <w:w w:val="88"/>
              </w:rPr>
            </w:pPr>
            <w:hyperlink w:anchor="page30">
              <w:r>
                <w:rPr>
                  <w:rFonts w:ascii="Arial" w:cs="Arial" w:eastAsia="Arial" w:hAnsi="Arial"/>
                  <w:sz w:val="18"/>
                  <w:szCs w:val="18"/>
                  <w:color w:val="0000FF"/>
                  <w:w w:val="88"/>
                </w:rPr>
                <w:t>Controls and Procedures</w:t>
              </w:r>
            </w:hyperlink>
          </w:p>
        </w:tc>
        <w:tc>
          <w:tcPr>
            <w:tcW w:w="2580" w:type="dxa"/>
            <w:vAlign w:val="bottom"/>
            <w:gridSpan w:val="7"/>
          </w:tcPr>
          <w:p>
            <w:pPr>
              <w:spacing w:after="0"/>
              <w:rPr>
                <w:sz w:val="21"/>
                <w:szCs w:val="21"/>
                <w:color w:val="auto"/>
              </w:rPr>
            </w:pPr>
          </w:p>
        </w:tc>
        <w:tc>
          <w:tcPr>
            <w:tcW w:w="486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00" w:type="dxa"/>
            <w:vAlign w:val="bottom"/>
            <w:gridSpan w:val="6"/>
          </w:tcPr>
          <w:p>
            <w:pPr>
              <w:spacing w:after="0"/>
              <w:rPr>
                <w:rFonts w:ascii="Arial" w:cs="Arial" w:eastAsia="Arial" w:hAnsi="Arial"/>
                <w:sz w:val="18"/>
                <w:szCs w:val="18"/>
                <w:color w:val="0000FF"/>
                <w:w w:val="92"/>
              </w:rPr>
            </w:pPr>
            <w:hyperlink w:anchor="page30">
              <w:r>
                <w:rPr>
                  <w:rFonts w:ascii="Arial" w:cs="Arial" w:eastAsia="Arial" w:hAnsi="Arial"/>
                  <w:sz w:val="18"/>
                  <w:szCs w:val="18"/>
                  <w:color w:val="0000FF"/>
                  <w:w w:val="92"/>
                </w:rPr>
                <w:t>PART II. Other Information</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r>
      <w:tr>
        <w:trPr>
          <w:trHeight w:val="20"/>
        </w:trPr>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Item 6.</w:t>
              </w:r>
            </w:hyperlink>
          </w:p>
        </w:tc>
        <w:tc>
          <w:tcPr>
            <w:tcW w:w="1340" w:type="dxa"/>
            <w:vAlign w:val="bottom"/>
            <w:gridSpan w:val="3"/>
          </w:tcPr>
          <w:p>
            <w:pPr>
              <w:ind w:left="20"/>
              <w:spacing w:after="0"/>
              <w:rPr>
                <w:rFonts w:ascii="Arial" w:cs="Arial" w:eastAsia="Arial" w:hAnsi="Arial"/>
                <w:sz w:val="18"/>
                <w:szCs w:val="18"/>
                <w:color w:val="0000FF"/>
              </w:rPr>
            </w:pPr>
            <w:hyperlink w:anchor="page31">
              <w:r>
                <w:rPr>
                  <w:rFonts w:ascii="Arial" w:cs="Arial" w:eastAsia="Arial" w:hAnsi="Arial"/>
                  <w:sz w:val="18"/>
                  <w:szCs w:val="18"/>
                  <w:color w:val="0000FF"/>
                </w:rPr>
                <w:t>Exhibits</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2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14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Signatures</w:t>
              </w:r>
            </w:hyperlink>
          </w:p>
        </w:tc>
        <w:tc>
          <w:tcPr>
            <w:tcW w:w="8620" w:type="dxa"/>
            <w:vAlign w:val="bottom"/>
            <w:gridSpan w:val="1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507"/>
        </w:trPr>
        <w:tc>
          <w:tcPr>
            <w:tcW w:w="1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260" w:type="dxa"/>
            <w:vAlign w:val="bottom"/>
            <w:gridSpan w:val="12"/>
          </w:tcPr>
          <w:p>
            <w:pPr>
              <w:jc w:val="center"/>
              <w:ind w:left="3230"/>
              <w:spacing w:after="0"/>
              <w:rPr>
                <w:sz w:val="20"/>
                <w:szCs w:val="20"/>
                <w:color w:val="auto"/>
              </w:rPr>
            </w:pPr>
            <w:r>
              <w:rPr>
                <w:rFonts w:ascii="Arial" w:cs="Arial" w:eastAsia="Arial" w:hAnsi="Arial"/>
                <w:sz w:val="18"/>
                <w:szCs w:val="18"/>
                <w:color w:val="auto"/>
                <w:w w:val="99"/>
              </w:rPr>
              <w:t>2</w:t>
            </w:r>
          </w:p>
        </w:tc>
        <w:tc>
          <w:tcPr>
            <w:tcW w:w="2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120" w:type="dxa"/>
            <w:vAlign w:val="bottom"/>
            <w:gridSpan w:val="2"/>
          </w:tcPr>
          <w:p>
            <w:pPr>
              <w:spacing w:after="0"/>
              <w:rPr>
                <w:sz w:val="20"/>
                <w:szCs w:val="20"/>
                <w:color w:val="auto"/>
              </w:rPr>
            </w:pPr>
            <w:r>
              <w:rPr>
                <w:rFonts w:ascii="Arial" w:cs="Arial" w:eastAsia="Arial" w:hAnsi="Arial"/>
                <w:sz w:val="16"/>
                <w:szCs w:val="16"/>
                <w:color w:val="auto"/>
              </w:rPr>
              <w:t>ITEM 1. FINANCIAL STATEMENTS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October 31, 2014</w:t>
            </w:r>
          </w:p>
        </w:tc>
        <w:tc>
          <w:tcPr>
            <w:tcW w:w="220" w:type="dxa"/>
            <w:vAlign w:val="bottom"/>
          </w:tcPr>
          <w:p>
            <w:pPr>
              <w:spacing w:after="0"/>
              <w:rPr>
                <w:sz w:val="24"/>
                <w:szCs w:val="24"/>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2014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shd w:val="clear" w:color="auto" w:fill="CCEEFF"/>
          </w:tcPr>
          <w:p>
            <w:pPr>
              <w:jc w:val="center"/>
              <w:ind w:right="939"/>
              <w:spacing w:after="0"/>
              <w:rPr>
                <w:sz w:val="20"/>
                <w:szCs w:val="20"/>
                <w:color w:val="auto"/>
              </w:rPr>
            </w:pPr>
            <w:r>
              <w:rPr>
                <w:rFonts w:ascii="Arial" w:cs="Arial" w:eastAsia="Arial" w:hAnsi="Arial"/>
                <w:sz w:val="16"/>
                <w:szCs w:val="16"/>
                <w:b w:val="1"/>
                <w:bCs w:val="1"/>
                <w:color w:val="auto"/>
                <w:w w:val="93"/>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116,474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81,834</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receivable—net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174,926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177,648</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Finished products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74,428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73,096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Work-in-process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17,689</w:t>
            </w: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Raw materials and supplies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24,109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22,490</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117,808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113,275</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Assets held for sale</w:t>
            </w:r>
          </w:p>
        </w:tc>
        <w:tc>
          <w:tcPr>
            <w:tcW w:w="16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49,542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41,543</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452,683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463,842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501,794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515,004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86,651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91,014</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23,094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27,320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22,314</w:t>
            </w: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Cost: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Land</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7,710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7,875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Buildings and improvements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106,636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101,866</w:t>
            </w:r>
          </w:p>
        </w:tc>
        <w:tc>
          <w:tcPr>
            <w:tcW w:w="0" w:type="dxa"/>
            <w:vAlign w:val="bottom"/>
          </w:tcPr>
          <w:p>
            <w:pPr>
              <w:spacing w:after="0"/>
              <w:rPr>
                <w:sz w:val="1"/>
                <w:szCs w:val="1"/>
                <w:color w:val="auto"/>
              </w:rPr>
            </w:pPr>
          </w:p>
        </w:tc>
      </w:tr>
      <w:tr>
        <w:trPr>
          <w:trHeight w:val="23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Machinery and equipment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292,183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288,409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Construction in progress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416,860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410,650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280,277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276,479</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Property, plant and equipment—net</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136,583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134,171</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1,222,438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1,253,665</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bottom w:val="single" w:sz="8" w:color="CCEEFF"/>
            </w:tcBorders>
            <w:vMerge w:val="restart"/>
          </w:tcPr>
          <w:p>
            <w:pPr>
              <w:spacing w:after="0" w:line="20" w:lineRule="exact"/>
              <w:rPr>
                <w:sz w:val="1"/>
                <w:szCs w:val="1"/>
                <w:color w:val="auto"/>
              </w:rPr>
            </w:pPr>
          </w:p>
        </w:tc>
        <w:tc>
          <w:tcPr>
            <w:tcW w:w="7100" w:type="dxa"/>
            <w:vAlign w:val="bottom"/>
            <w:tcBorders>
              <w:top w:val="single" w:sz="8" w:color="CCEEFF"/>
              <w:bottom w:val="single" w:sz="8" w:color="CCEEFF"/>
            </w:tcBorders>
            <w:vMerge w:val="restart"/>
          </w:tcPr>
          <w:p>
            <w:pPr>
              <w:jc w:val="center"/>
              <w:ind w:right="939"/>
              <w:spacing w:after="0"/>
              <w:rPr>
                <w:sz w:val="20"/>
                <w:szCs w:val="20"/>
                <w:color w:val="auto"/>
              </w:rPr>
            </w:pPr>
            <w:r>
              <w:rPr>
                <w:rFonts w:ascii="Arial" w:cs="Arial" w:eastAsia="Arial" w:hAnsi="Arial"/>
                <w:sz w:val="16"/>
                <w:szCs w:val="16"/>
                <w:b w:val="1"/>
                <w:bCs w:val="1"/>
                <w:color w:val="auto"/>
              </w:rPr>
              <w:t>LIABILITIES AND STOCKHOLDERS’ INVESTMENT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20" w:type="dxa"/>
            <w:vAlign w:val="bottom"/>
            <w:vMerge w:val="continue"/>
          </w:tcPr>
          <w:p>
            <w:pPr>
              <w:spacing w:after="0"/>
              <w:rPr>
                <w:sz w:val="15"/>
                <w:szCs w:val="15"/>
                <w:color w:val="auto"/>
              </w:rPr>
            </w:pPr>
          </w:p>
        </w:tc>
        <w:tc>
          <w:tcPr>
            <w:tcW w:w="7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020" w:type="dxa"/>
            <w:vAlign w:val="bottom"/>
          </w:tcPr>
          <w:p>
            <w:pPr>
              <w:spacing w:after="0"/>
              <w:rPr>
                <w:sz w:val="6"/>
                <w:szCs w:val="6"/>
                <w:color w:val="auto"/>
              </w:rPr>
            </w:pPr>
          </w:p>
        </w:tc>
        <w:tc>
          <w:tcPr>
            <w:tcW w:w="7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Notes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94,708</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61,422</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84,199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88,099</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Wages and amounts withheld from employees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33,596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38,064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Liabilities held for sale</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10,640</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Taxes, other than income taxes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7,890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7,994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46,362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35,319</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Current maturities on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42,514</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current liabilities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318,496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291,945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Long-term obligations, less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153,476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159,296</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69,472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69,348</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541,444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520,589</w:t>
            </w:r>
          </w:p>
        </w:tc>
        <w:tc>
          <w:tcPr>
            <w:tcW w:w="0" w:type="dxa"/>
            <w:vAlign w:val="bottom"/>
          </w:tcPr>
          <w:p>
            <w:pPr>
              <w:spacing w:after="0"/>
              <w:rPr>
                <w:sz w:val="1"/>
                <w:szCs w:val="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Stockholders’ investment:</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Class A nonvoting common stock—Issued 51,261,487 and 51,261,487 shares, respectively and outstanding</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47,714,986 and 47,704,196 shares, 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Class B voting common stock—Issued and outstanding, 3,538,628 shares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311,811</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Earnings retained in the business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455,450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452,057</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Treasury stock—3,546,501 and 3,477,291 shares, respectively of Class A nonvoting common stock, at cost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(93,337)</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8,565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64,156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(2,159)</w:t>
            </w:r>
          </w:p>
        </w:tc>
        <w:tc>
          <w:tcPr>
            <w:tcW w:w="0" w:type="dxa"/>
            <w:vAlign w:val="bottom"/>
          </w:tcPr>
          <w:p>
            <w:pPr>
              <w:spacing w:after="0"/>
              <w:rPr>
                <w:sz w:val="1"/>
                <w:szCs w:val="1"/>
                <w:color w:val="auto"/>
              </w:rPr>
            </w:pP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stockholders’ investment</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680,994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733,076</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1,222,438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1,253,665</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4" w:right="239" w:bottom="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3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58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58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858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EARNINGS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580" w:type="dxa"/>
            <w:vAlign w:val="bottom"/>
            <w:gridSpan w:val="2"/>
          </w:tcPr>
          <w:p>
            <w:pPr>
              <w:spacing w:after="0"/>
              <w:rPr>
                <w:sz w:val="20"/>
                <w:szCs w:val="20"/>
                <w:color w:val="auto"/>
              </w:rPr>
            </w:pPr>
            <w:r>
              <w:rPr>
                <w:rFonts w:ascii="Arial" w:cs="Arial" w:eastAsia="Arial" w:hAnsi="Arial"/>
                <w:sz w:val="16"/>
                <w:szCs w:val="16"/>
                <w:color w:val="auto"/>
              </w:rPr>
              <w:t>(Dollars in Thousands, Except Per Share Amounts)</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10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3"/>
              </w:rPr>
              <w:t>Three months ended October 31,</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7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0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310,240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307,530</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Cost of products sold</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160,079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149,683</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150,161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157,847</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8,587</w:t>
            </w:r>
          </w:p>
        </w:tc>
        <w:tc>
          <w:tcPr>
            <w:tcW w:w="0" w:type="dxa"/>
            <w:vAlign w:val="bottom"/>
          </w:tcPr>
          <w:p>
            <w:pPr>
              <w:spacing w:after="0"/>
              <w:rPr>
                <w:sz w:val="1"/>
                <w:szCs w:val="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109,279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112,733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Restructuring charges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6,840</w:t>
            </w:r>
          </w:p>
        </w:tc>
        <w:tc>
          <w:tcPr>
            <w:tcW w:w="0" w:type="dxa"/>
            <w:vAlign w:val="bottom"/>
          </w:tcPr>
          <w:p>
            <w:pPr>
              <w:spacing w:after="0"/>
              <w:rPr>
                <w:sz w:val="1"/>
                <w:szCs w:val="1"/>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123,188</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128,160</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29,687</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income and (expense):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Investment and other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(2,891)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(3,720)</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24,405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26,729</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8,906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8,595</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15,499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18,134</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(Loss) earnings from discontinued operations, net of income taxes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5,794</w:t>
            </w:r>
          </w:p>
        </w:tc>
        <w:tc>
          <w:tcPr>
            <w:tcW w:w="0" w:type="dxa"/>
            <w:vAlign w:val="bottom"/>
          </w:tcPr>
          <w:p>
            <w:pPr>
              <w:spacing w:after="0"/>
              <w:rPr>
                <w:sz w:val="1"/>
                <w:szCs w:val="1"/>
                <w:color w:val="auto"/>
              </w:rPr>
            </w:pPr>
          </w:p>
        </w:tc>
      </w:tr>
      <w:tr>
        <w:trPr>
          <w:trHeight w:val="33"/>
        </w:trPr>
        <w:tc>
          <w:tcPr>
            <w:tcW w:w="102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13,584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23,928</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40"/>
              <w:spacing w:after="0"/>
              <w:rPr>
                <w:sz w:val="20"/>
                <w:szCs w:val="20"/>
                <w:color w:val="auto"/>
              </w:rPr>
            </w:pPr>
            <w:r>
              <w:rPr>
                <w:rFonts w:ascii="Arial" w:cs="Arial" w:eastAsia="Arial" w:hAnsi="Arial"/>
                <w:sz w:val="16"/>
                <w:szCs w:val="16"/>
                <w:color w:val="auto"/>
              </w:rPr>
              <w:t>Earnings from continuing operations per Class A Nonvoting Common Share:</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per Class B Voting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0.29</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(Loss) earnings from discontinued operations per Class A Nonvoting Common Share: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(Loss) earnings from discontinued operations per Class B Voting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0.195</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Dividends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0.178</w:t>
            </w:r>
          </w:p>
        </w:tc>
        <w:tc>
          <w:tcPr>
            <w:tcW w:w="0" w:type="dxa"/>
            <w:vAlign w:val="bottom"/>
          </w:tcPr>
          <w:p>
            <w:pPr>
              <w:spacing w:after="0"/>
              <w:rPr>
                <w:sz w:val="1"/>
                <w:szCs w:val="1"/>
                <w:color w:val="auto"/>
              </w:rPr>
            </w:pP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 (in thousands):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52,071</w:t>
            </w:r>
          </w:p>
        </w:tc>
        <w:tc>
          <w:tcPr>
            <w:tcW w:w="0" w:type="dxa"/>
            <w:vAlign w:val="bottom"/>
          </w:tcPr>
          <w:p>
            <w:pPr>
              <w:spacing w:after="0"/>
              <w:rPr>
                <w:sz w:val="1"/>
                <w:szCs w:val="1"/>
                <w:color w:val="auto"/>
              </w:rPr>
            </w:pPr>
          </w:p>
        </w:tc>
      </w:tr>
      <w:tr>
        <w:trPr>
          <w:trHeight w:val="23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51,313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52,419</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14"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1320"/>
        <w:spacing w:after="0" w:line="275" w:lineRule="auto"/>
        <w:rPr>
          <w:sz w:val="20"/>
          <w:szCs w:val="20"/>
          <w:color w:val="auto"/>
        </w:rPr>
      </w:pPr>
      <w:r>
        <w:rPr>
          <w:rFonts w:ascii="Arial" w:cs="Arial" w:eastAsia="Arial" w:hAnsi="Arial"/>
          <w:sz w:val="16"/>
          <w:szCs w:val="16"/>
          <w:b w:val="1"/>
          <w:bCs w:val="1"/>
          <w:color w:val="auto"/>
        </w:rPr>
        <w:t xml:space="preserve">CONDENSED CONSOLIDATED STATEMENTS OF COMPREHENSIVE (LOSS) INCOME </w:t>
      </w:r>
      <w:r>
        <w:rPr>
          <w:rFonts w:ascii="Arial" w:cs="Arial" w:eastAsia="Arial" w:hAnsi="Arial"/>
          <w:sz w:val="16"/>
          <w:szCs w:val="16"/>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801370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earnings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(loss) gain recognized in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Reclassification adjustment for gains included in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investment hedge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Long-term intercompany loan translation adjustments: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loss recognized in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Reclassification adjustment for gains included in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flow hedges:</w:t>
      </w:r>
    </w:p>
    <w:p>
      <w:pPr>
        <w:spacing w:after="0" w:line="86" w:lineRule="exact"/>
        <w:rPr>
          <w:sz w:val="20"/>
          <w:szCs w:val="20"/>
          <w:color w:val="auto"/>
        </w:rPr>
      </w:pPr>
    </w:p>
    <w:p>
      <w:pPr>
        <w:ind w:left="720" w:right="2620"/>
        <w:spacing w:after="0" w:line="470" w:lineRule="auto"/>
        <w:rPr>
          <w:sz w:val="20"/>
          <w:szCs w:val="20"/>
          <w:color w:val="auto"/>
        </w:rPr>
      </w:pPr>
      <w:r>
        <w:rPr>
          <w:rFonts w:ascii="Arial" w:cs="Arial" w:eastAsia="Arial" w:hAnsi="Arial"/>
          <w:sz w:val="14"/>
          <w:szCs w:val="14"/>
          <w:color w:val="auto"/>
        </w:rPr>
        <w:t>Net gain (loss) recognized in other comprehensive income Reclassification adjustment for losses (gains) included in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Pension and other post-retirement benefits: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Actuarial gain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Prior service credit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(loss) income,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 (expense) benefit related to items of other 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Three months ended October 31,</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wp:posOffset>
            </wp:positionV>
            <wp:extent cx="18097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Pr>
          <w:p>
            <w:pPr>
              <w:spacing w:after="0"/>
              <w:rPr>
                <w:sz w:val="18"/>
                <w:szCs w:val="18"/>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13,584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23,928</w:t>
            </w:r>
          </w:p>
        </w:tc>
      </w:tr>
      <w:tr>
        <w:trPr>
          <w:trHeight w:val="810"/>
        </w:trPr>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(24,303)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16,535</w:t>
            </w:r>
          </w:p>
        </w:tc>
      </w:tr>
      <w:tr>
        <w:trPr>
          <w:trHeight w:val="270"/>
        </w:trPr>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(34,697)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16,535</w:t>
            </w:r>
          </w:p>
        </w:tc>
      </w:tr>
      <w:tr>
        <w:trPr>
          <w:trHeight w:val="567"/>
        </w:trPr>
        <w:tc>
          <w:tcPr>
            <w:tcW w:w="320" w:type="dxa"/>
            <w:vAlign w:val="bottom"/>
          </w:tcPr>
          <w:p>
            <w:pPr>
              <w:spacing w:after="0"/>
              <w:rPr>
                <w:sz w:val="24"/>
                <w:szCs w:val="24"/>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8,151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(4,713)</w:t>
            </w:r>
          </w:p>
        </w:tc>
      </w:tr>
      <w:tr>
        <w:trPr>
          <w:trHeight w:val="540"/>
        </w:trPr>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70"/>
        </w:trPr>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540"/>
        </w:trPr>
        <w:tc>
          <w:tcPr>
            <w:tcW w:w="320" w:type="dxa"/>
            <w:vAlign w:val="bottom"/>
          </w:tcPr>
          <w:p>
            <w:pPr>
              <w:spacing w:after="0"/>
              <w:rPr>
                <w:sz w:val="24"/>
                <w:szCs w:val="24"/>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w:t>
            </w:r>
          </w:p>
        </w:tc>
      </w:tr>
    </w:tbl>
    <w:p>
      <w:pPr>
        <w:spacing w:after="0" w:line="334" w:lineRule="exact"/>
        <w:rPr>
          <w:sz w:val="20"/>
          <w:szCs w:val="20"/>
          <w:color w:val="auto"/>
        </w:rPr>
      </w:pPr>
    </w:p>
    <w:p>
      <w:pPr>
        <w:ind w:left="2520" w:hanging="1557"/>
        <w:spacing w:after="0"/>
        <w:tabs>
          <w:tab w:leader="none" w:pos="2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(66)</w:t>
      </w:r>
    </w:p>
    <w:p>
      <w:pPr>
        <w:spacing w:after="0" w:line="86" w:lineRule="exact"/>
        <w:rPr>
          <w:sz w:val="20"/>
          <w:szCs w:val="20"/>
          <w:color w:val="auto"/>
        </w:rPr>
      </w:pPr>
    </w:p>
    <w:p>
      <w:pPr>
        <w:ind w:left="2520" w:hanging="1476"/>
        <w:spacing w:after="0"/>
        <w:tabs>
          <w:tab w:leader="none" w:pos="2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8097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6" w:lineRule="exact"/>
        <w:rPr>
          <w:sz w:val="20"/>
          <w:szCs w:val="20"/>
          <w:color w:val="auto"/>
        </w:rPr>
      </w:pPr>
    </w:p>
    <w:p>
      <w:pPr>
        <w:ind w:left="2440" w:hanging="1477"/>
        <w:spacing w:after="0"/>
        <w:tabs>
          <w:tab w:leader="none" w:pos="2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(117)</w:t>
      </w:r>
    </w:p>
    <w:p>
      <w:pPr>
        <w:spacing w:after="0" w:line="383" w:lineRule="exact"/>
        <w:rPr>
          <w:sz w:val="20"/>
          <w:szCs w:val="20"/>
          <w:color w:val="auto"/>
        </w:rPr>
      </w:pPr>
    </w:p>
    <w:p>
      <w:pPr>
        <w:ind w:left="760"/>
        <w:spacing w:after="0"/>
        <w:tabs>
          <w:tab w:leader="none" w:pos="2280" w:val="left"/>
        </w:tabs>
        <w:rPr>
          <w:sz w:val="20"/>
          <w:szCs w:val="20"/>
          <w:color w:val="auto"/>
        </w:rPr>
      </w:pPr>
      <w:r>
        <w:rPr>
          <w:rFonts w:ascii="Arial" w:cs="Arial" w:eastAsia="Arial" w:hAnsi="Arial"/>
          <w:sz w:val="16"/>
          <w:szCs w:val="16"/>
          <w:color w:val="auto"/>
        </w:rPr>
        <w:t>(52,265)</w:t>
      </w:r>
      <w:r>
        <w:rPr>
          <w:sz w:val="20"/>
          <w:szCs w:val="20"/>
          <w:color w:val="auto"/>
        </w:rPr>
        <w:tab/>
      </w:r>
      <w:r>
        <w:rPr>
          <w:rFonts w:ascii="Arial" w:cs="Arial" w:eastAsia="Arial" w:hAnsi="Arial"/>
          <w:sz w:val="16"/>
          <w:szCs w:val="16"/>
          <w:color w:val="auto"/>
        </w:rPr>
        <w:t>11,600</w:t>
      </w:r>
    </w:p>
    <w:p>
      <w:pPr>
        <w:spacing w:after="0" w:line="86" w:lineRule="exact"/>
        <w:rPr>
          <w:sz w:val="20"/>
          <w:szCs w:val="20"/>
          <w:color w:val="auto"/>
        </w:rPr>
      </w:pPr>
    </w:p>
    <w:p>
      <w:pPr>
        <w:ind w:left="840"/>
        <w:spacing w:after="0"/>
        <w:tabs>
          <w:tab w:leader="none" w:pos="2340" w:val="left"/>
        </w:tabs>
        <w:rPr>
          <w:sz w:val="20"/>
          <w:szCs w:val="20"/>
          <w:color w:val="auto"/>
        </w:rPr>
      </w:pPr>
      <w:r>
        <w:rPr>
          <w:rFonts w:ascii="Arial" w:cs="Arial" w:eastAsia="Arial" w:hAnsi="Arial"/>
          <w:sz w:val="16"/>
          <w:szCs w:val="16"/>
          <w:color w:val="auto"/>
        </w:rPr>
        <w:t>(3,326)</w:t>
      </w:r>
      <w:r>
        <w:rPr>
          <w:sz w:val="20"/>
          <w:szCs w:val="20"/>
          <w:color w:val="auto"/>
        </w:rPr>
        <w:tab/>
      </w:r>
      <w:r>
        <w:rPr>
          <w:rFonts w:ascii="Arial" w:cs="Arial" w:eastAsia="Arial" w:hAnsi="Arial"/>
          <w:sz w:val="16"/>
          <w:szCs w:val="16"/>
          <w:color w:val="auto"/>
        </w:rPr>
        <w:t>2,642</w:t>
      </w:r>
    </w:p>
    <w:p>
      <w:pPr>
        <w:spacing w:after="0" w:line="35" w:lineRule="exact"/>
        <w:rPr>
          <w:sz w:val="20"/>
          <w:szCs w:val="20"/>
          <w:color w:val="auto"/>
        </w:rPr>
      </w:pPr>
    </w:p>
    <w:p>
      <w:pPr>
        <w:sectPr>
          <w:pgSz w:w="11900" w:h="16838" w:orient="portrait"/>
          <w:cols w:equalWidth="0" w:num="2">
            <w:col w:w="7860" w:space="720"/>
            <w:col w:w="2840"/>
          </w:cols>
          <w:pgMar w:left="240" w:top="121" w:right="239" w:bottom="1440" w:gutter="0" w:footer="0" w:header="0"/>
        </w:sectPr>
      </w:pPr>
    </w:p>
    <w:tbl>
      <w:tblPr>
        <w:tblLayout w:type="fixed"/>
        <w:tblInd w:w="0" w:type="dxa"/>
        <w:tblCellMar>
          <w:top w:w="0" w:type="dxa"/>
          <w:left w:w="0" w:type="dxa"/>
          <w:bottom w:w="0" w:type="dxa"/>
          <w:right w:w="0" w:type="dxa"/>
        </w:tblCellMar>
      </w:tblP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comprehensive (loss) income, net of tax</w:t>
            </w: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(55,591)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14,242</w:t>
            </w: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income</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38,170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2740"/>
        <w:spacing w:after="0" w:line="257" w:lineRule="auto"/>
        <w:rPr>
          <w:sz w:val="20"/>
          <w:szCs w:val="20"/>
          <w:color w:val="auto"/>
        </w:rPr>
      </w:pPr>
      <w:r>
        <w:rPr>
          <w:rFonts w:ascii="Arial" w:cs="Arial" w:eastAsia="Arial" w:hAnsi="Arial"/>
          <w:sz w:val="16"/>
          <w:szCs w:val="16"/>
          <w:b w:val="1"/>
          <w:bCs w:val="1"/>
          <w:color w:val="auto"/>
        </w:rPr>
        <w:t xml:space="preserve">CONDENSED CONSOLIDATED STATEMENTS OF CASH FLOWS </w:t>
      </w:r>
      <w:r>
        <w:rPr>
          <w:rFonts w:ascii="Arial" w:cs="Arial" w:eastAsia="Arial" w:hAnsi="Arial"/>
          <w:sz w:val="16"/>
          <w:szCs w:val="16"/>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596265</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activities: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Non-cash portion of stock-based compensation expense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Non-cash portion of 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Loss on sale of business, net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Changes in operating assets and liabilities (net of effects of business acquisitions/divestitures):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Investing activities: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Sale of business, net of cash retained</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Payment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from issuance of common stock</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from borrowing on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Repayment of borrowing on notes payable</w:t>
      </w:r>
    </w:p>
    <w:p>
      <w:pPr>
        <w:spacing w:after="0" w:line="86" w:lineRule="exact"/>
        <w:rPr>
          <w:sz w:val="20"/>
          <w:szCs w:val="20"/>
          <w:color w:val="auto"/>
        </w:rPr>
      </w:pPr>
    </w:p>
    <w:p>
      <w:pPr>
        <w:jc w:val="right"/>
        <w:ind w:right="760"/>
        <w:spacing w:after="0"/>
        <w:rPr>
          <w:sz w:val="20"/>
          <w:szCs w:val="20"/>
          <w:color w:val="auto"/>
        </w:rPr>
      </w:pPr>
      <w:r>
        <w:rPr>
          <w:rFonts w:ascii="Arial" w:cs="Arial" w:eastAsia="Arial" w:hAnsi="Arial"/>
          <w:sz w:val="16"/>
          <w:szCs w:val="16"/>
          <w:color w:val="auto"/>
        </w:rPr>
        <w:t>Income tax on the exercise of stock options and deferred compensation distributions,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increase (decrease) in cash and cash equivalents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Three months ended October 31,</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19551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01"/>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13,584</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23,928</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10,123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10,878</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1,319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2,600</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2,346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(2,421)</w:t>
            </w:r>
          </w:p>
        </w:tc>
      </w:tr>
      <w:tr>
        <w:trPr>
          <w:trHeight w:val="540"/>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(3,916)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(18,551)</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(12,461)</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(2,999)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(5,372)</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2,897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25,903</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1,705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1,089</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18,604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25,593</w:t>
            </w:r>
          </w:p>
        </w:tc>
      </w:tr>
      <w:tr>
        <w:trPr>
          <w:trHeight w:val="82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(11,451)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(9,086)</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8,771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(9,156)</w:t>
            </w: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80"/>
        <w:spacing w:after="0"/>
        <w:tabs>
          <w:tab w:leader="none" w:pos="2460" w:val="left"/>
        </w:tabs>
        <w:rPr>
          <w:sz w:val="20"/>
          <w:szCs w:val="20"/>
          <w:color w:val="auto"/>
        </w:rPr>
      </w:pPr>
      <w:r>
        <w:rPr>
          <w:rFonts w:ascii="Arial" w:cs="Arial" w:eastAsia="Arial" w:hAnsi="Arial"/>
          <w:sz w:val="16"/>
          <w:szCs w:val="16"/>
          <w:color w:val="auto"/>
        </w:rPr>
        <w:t>(10,191)</w:t>
      </w:r>
      <w:r>
        <w:rPr>
          <w:sz w:val="20"/>
          <w:szCs w:val="20"/>
          <w:color w:val="auto"/>
        </w:rPr>
        <w:tab/>
      </w:r>
      <w:r>
        <w:rPr>
          <w:rFonts w:ascii="Arial" w:cs="Arial" w:eastAsia="Arial" w:hAnsi="Arial"/>
          <w:sz w:val="16"/>
          <w:szCs w:val="16"/>
          <w:color w:val="auto"/>
        </w:rPr>
        <w:t>(10,149)</w:t>
      </w:r>
    </w:p>
    <w:p>
      <w:pPr>
        <w:spacing w:after="0" w:line="86" w:lineRule="exact"/>
        <w:rPr>
          <w:sz w:val="20"/>
          <w:szCs w:val="20"/>
          <w:color w:val="auto"/>
        </w:rPr>
      </w:pPr>
    </w:p>
    <w:p>
      <w:pPr>
        <w:ind w:left="2600" w:hanging="1384"/>
        <w:spacing w:after="0"/>
        <w:tabs>
          <w:tab w:leader="none" w:pos="2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5,209</w:t>
      </w:r>
    </w:p>
    <w:p>
      <w:pPr>
        <w:spacing w:after="0" w:line="86"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6"/>
          <w:szCs w:val="16"/>
          <w:color w:val="auto"/>
        </w:rPr>
        <w:t>41,000—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500" w:type="dxa"/>
            <w:vAlign w:val="bottom"/>
          </w:tcPr>
          <w:p>
            <w:pPr>
              <w:jc w:val="right"/>
              <w:spacing w:after="0"/>
              <w:rPr>
                <w:sz w:val="20"/>
                <w:szCs w:val="20"/>
                <w:color w:val="auto"/>
              </w:rPr>
            </w:pPr>
            <w:r>
              <w:rPr>
                <w:rFonts w:ascii="Arial" w:cs="Arial" w:eastAsia="Arial" w:hAnsi="Arial"/>
                <w:sz w:val="16"/>
                <w:szCs w:val="16"/>
                <w:color w:val="auto"/>
              </w:rPr>
              <w:t>(7,714)</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(24,000)</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(1,296)</w:t>
            </w: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(719)</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21,890</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(29,659)</w:t>
            </w:r>
          </w:p>
        </w:tc>
      </w:tr>
      <w:tr>
        <w:trPr>
          <w:trHeight w:val="554"/>
        </w:trPr>
        <w:tc>
          <w:tcPr>
            <w:tcW w:w="1500" w:type="dxa"/>
            <w:vAlign w:val="bottom"/>
          </w:tcPr>
          <w:p>
            <w:pPr>
              <w:jc w:val="right"/>
              <w:spacing w:after="0"/>
              <w:rPr>
                <w:sz w:val="20"/>
                <w:szCs w:val="20"/>
                <w:color w:val="auto"/>
              </w:rPr>
            </w:pPr>
            <w:r>
              <w:rPr>
                <w:rFonts w:ascii="Arial" w:cs="Arial" w:eastAsia="Arial" w:hAnsi="Arial"/>
                <w:sz w:val="16"/>
                <w:szCs w:val="16"/>
                <w:color w:val="auto"/>
              </w:rPr>
              <w:t>(3,766)</w:t>
            </w:r>
          </w:p>
        </w:tc>
        <w:tc>
          <w:tcPr>
            <w:tcW w:w="120" w:type="dxa"/>
            <w:vAlign w:val="bottom"/>
          </w:tcPr>
          <w:p>
            <w:pPr>
              <w:spacing w:after="0"/>
              <w:rPr>
                <w:sz w:val="24"/>
                <w:szCs w:val="24"/>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4,033</w:t>
            </w:r>
          </w:p>
        </w:tc>
      </w:tr>
      <w:tr>
        <w:trPr>
          <w:trHeight w:val="554"/>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34,640</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(9,189)</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81,834</w:t>
            </w: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91,058</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21" w:right="239" w:bottom="1440" w:gutter="0" w:footer="0" w:header="0"/>
        </w:sectPr>
      </w:pPr>
    </w:p>
    <w:p>
      <w:pPr>
        <w:spacing w:after="0" w:line="101" w:lineRule="exact"/>
        <w:rPr>
          <w:sz w:val="20"/>
          <w:szCs w:val="20"/>
          <w:color w:val="auto"/>
        </w:rPr>
      </w:pPr>
    </w:p>
    <w:p>
      <w:pPr>
        <w:ind w:left="40"/>
        <w:spacing w:after="0"/>
        <w:tabs>
          <w:tab w:leader="none" w:pos="8340" w:val="left"/>
          <w:tab w:leader="none" w:pos="9180" w:val="left"/>
          <w:tab w:leader="none" w:pos="9960" w:val="left"/>
          <w:tab w:leader="none" w:pos="10840" w:val="left"/>
        </w:tabs>
        <w:rPr>
          <w:sz w:val="20"/>
          <w:szCs w:val="20"/>
          <w:color w:val="auto"/>
        </w:rPr>
      </w:pPr>
      <w:r>
        <w:rPr>
          <w:rFonts w:ascii="Arial" w:cs="Arial" w:eastAsia="Arial" w:hAnsi="Arial"/>
          <w:sz w:val="16"/>
          <w:szCs w:val="16"/>
          <w:color w:val="auto"/>
        </w:rPr>
        <w:t>Cash and cash equivalents, end of period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116,474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81,869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paid during the period for:</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Income taxes, net of refunds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38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3,032</w:t>
            </w:r>
          </w:p>
        </w:tc>
        <w:tc>
          <w:tcPr>
            <w:tcW w:w="6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4,151</w:t>
            </w:r>
          </w:p>
        </w:tc>
      </w:tr>
      <w:tr>
        <w:trPr>
          <w:trHeight w:val="270"/>
        </w:trPr>
        <w:tc>
          <w:tcPr>
            <w:tcW w:w="540" w:type="dxa"/>
            <w:vAlign w:val="bottom"/>
          </w:tcPr>
          <w:p>
            <w:pPr>
              <w:spacing w:after="0"/>
              <w:rPr>
                <w:sz w:val="23"/>
                <w:szCs w:val="23"/>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7,323</w:t>
            </w:r>
          </w:p>
        </w:tc>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10,006</w:t>
            </w:r>
          </w:p>
        </w:tc>
      </w:tr>
    </w:tbl>
    <w:p>
      <w:pPr>
        <w:spacing w:after="0" w:line="573" w:lineRule="exact"/>
        <w:rPr>
          <w:sz w:val="20"/>
          <w:szCs w:val="20"/>
          <w:color w:val="auto"/>
        </w:rPr>
      </w:pPr>
    </w:p>
    <w:p>
      <w:pPr>
        <w:sectPr>
          <w:pgSz w:w="11900" w:h="16838" w:orient="portrait"/>
          <w:cols w:equalWidth="0" w:num="2">
            <w:col w:w="7640" w:space="720"/>
            <w:col w:w="3060"/>
          </w:cols>
          <w:pgMar w:left="240" w:top="121" w:right="239" w:bottom="1440" w:gutter="0" w:footer="0" w:header="0"/>
          <w:type w:val="continuous"/>
        </w:sectPr>
      </w:pPr>
    </w:p>
    <w:p>
      <w:pPr>
        <w:spacing w:after="0" w:line="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October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October 31, 2014 and July 31, 2014, its results of operations and comprehensive (loss) income for the three months ended October 31, 2014 and 2013, and cash flows for the three months ended October 31, 2014 and 2013. The consolidated balance sheet as of July 31, 2014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2014.</w:t>
      </w:r>
    </w:p>
    <w:p>
      <w:pPr>
        <w:spacing w:after="0" w:line="13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entered into an agreement with LTI Flexible Products, Inc. (d/b/a Boyd Corporation) on February 24, 2014, for the sale of the Die-Cut business. The first phase of this divestiture closed on May 1, 2014 and included the Die-Cut businesses in Korea, Thailand and Malaysia, and the Balkhausen business in Europe. The remainder of the Die-Cut business was located in China and was divested on August 1, 2014. The assets and liabilities were reclassified in accordance with the authoritative literature on assets held for sale in the consolidated balance sheet as of July 31, 2014. The results of operations of the Company's Die-Cut business have been reported as discontinued operations within the condensed consolidated statements of earnings for all periods presented. In accordance with the authoritative literature, the Company has elected to not separately disclose the cash flows or other comprehensive income related to discontinued operations. Refer to Note K, "Discontinued Operations" for further discussion regarding the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Other Intangible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carrying amount of goodwill for the three months ended October 31, 2014,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IDS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ind w:left="260"/>
              <w:spacing w:after="0"/>
              <w:rPr>
                <w:sz w:val="20"/>
                <w:szCs w:val="20"/>
                <w:color w:val="auto"/>
              </w:rPr>
            </w:pPr>
            <w:r>
              <w:rPr>
                <w:rFonts w:ascii="Arial" w:cs="Arial" w:eastAsia="Arial" w:hAnsi="Arial"/>
                <w:sz w:val="16"/>
                <w:szCs w:val="16"/>
                <w:b w:val="1"/>
                <w:bCs w:val="1"/>
                <w:color w:val="auto"/>
              </w:rPr>
              <w:t>WPS</w:t>
            </w:r>
          </w:p>
        </w:tc>
        <w:tc>
          <w:tcPr>
            <w:tcW w:w="34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2014</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412,289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102,715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515,004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Translation adjustments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(8,205)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(5,005)</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(13,210)</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October 31, 2014</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404,084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501,794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Goodwill at October 31, 2014 included $118,637 and $172,280 of accumulated impairment losses within the IDS and WPS segments, respectively, for a total of $290,917. There were no impairment charges recorded during the three months ended October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non-compete agreements and other intangible assets with finite lives being amortized in accordance with the accounting guidance for other intangible assets. The Company also has unamortized indefinite-lived trademarks that are classified as other intangible assets. The net book value of these assets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October 31, 2014</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July 31, 2014</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2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Patents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11,708</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(10,257)</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1,451</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11,656</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(10,160)</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1,496</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 and other</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15,002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(11,071)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3,931</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15,366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4,660</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380"/>
              <w:spacing w:after="0"/>
              <w:rPr>
                <w:sz w:val="20"/>
                <w:szCs w:val="20"/>
                <w:color w:val="auto"/>
              </w:rPr>
            </w:pPr>
            <w:r>
              <w:rPr>
                <w:rFonts w:ascii="Arial" w:cs="Arial" w:eastAsia="Arial" w:hAnsi="Arial"/>
                <w:sz w:val="14"/>
                <w:szCs w:val="14"/>
                <w:color w:val="auto"/>
              </w:rPr>
              <w:t>Customer relationships</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143,903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(92,472)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51,431</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168,525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(114,363)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54,162</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4"/>
              </w:rPr>
              <w:t>Non-compete agreements and</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9,841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10,089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w w:val="93"/>
              </w:rPr>
              <w:t>Unamortized other intangible assets: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Trademarks</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29,694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29,694</w:t>
            </w:r>
          </w:p>
        </w:tc>
        <w:tc>
          <w:tcPr>
            <w:tcW w:w="1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30,229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30,229</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color w:val="auto"/>
              </w:rPr>
              <w:t>Total</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210,148</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(123,497)</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86,651</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235,865</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(144,851)</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91,014</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gross carrying amount of goodwill and other intangible assets in the condensed consolidated balance sheets at October 31, 2014 differs from the value assigned to them in the original allocation of purchase price due to impairments and the effect of currency fluctuations between the date of acquisition and October 31, 2014.</w:t>
      </w:r>
    </w:p>
    <w:p>
      <w:pPr>
        <w:spacing w:after="0" w:line="12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Amortization expense on intangible assets was $3,369 and $5,077 for the three months ended October 31, 2014 and 2013, respectively. The amortization over each of the next five fiscal years is projected to be $12,212, $10,051, $7,616, $6,771 and $6,451 for the fiscal years ending July 31, 2015, 2016, 2017, 2018 and 2019,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NOTE C — Other Comprehensive Income</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Other comprehensive income consists of foreign currency translation adjustments, unrealized gains and losses from cash flow hedges and net investment hedges, and the unamortized gain on post-retirement plans, net of their related tax effects.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income, net of tax, for the three months ended October 31, 2014:</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Foreign</w:t>
            </w:r>
          </w:p>
        </w:tc>
        <w:tc>
          <w:tcPr>
            <w:tcW w:w="12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5"/>
              </w:rPr>
              <w:t>Accumulated</w:t>
            </w:r>
          </w:p>
        </w:tc>
      </w:tr>
      <w:tr>
        <w:trPr>
          <w:trHeight w:val="203"/>
        </w:trPr>
        <w:tc>
          <w:tcPr>
            <w:tcW w:w="4420" w:type="dxa"/>
            <w:vAlign w:val="bottom"/>
          </w:tcPr>
          <w:p>
            <w:pPr>
              <w:spacing w:after="0"/>
              <w:rPr>
                <w:sz w:val="17"/>
                <w:szCs w:val="17"/>
                <w:color w:val="auto"/>
              </w:rPr>
            </w:pPr>
          </w:p>
        </w:tc>
        <w:tc>
          <w:tcPr>
            <w:tcW w:w="1220" w:type="dxa"/>
            <w:vAlign w:val="bottom"/>
            <w:gridSpan w:val="3"/>
          </w:tcPr>
          <w:p>
            <w:pPr>
              <w:ind w:left="40"/>
              <w:spacing w:after="0"/>
              <w:rPr>
                <w:sz w:val="20"/>
                <w:szCs w:val="20"/>
                <w:color w:val="auto"/>
              </w:rPr>
            </w:pPr>
            <w:r>
              <w:rPr>
                <w:rFonts w:ascii="Arial" w:cs="Arial" w:eastAsia="Arial" w:hAnsi="Arial"/>
                <w:sz w:val="16"/>
                <w:szCs w:val="16"/>
                <w:color w:val="auto"/>
              </w:rPr>
              <w:t>Unrealized gain</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Unamortized</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currency</w:t>
            </w:r>
          </w:p>
        </w:tc>
        <w:tc>
          <w:tcPr>
            <w:tcW w:w="12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87"/>
              </w:rPr>
              <w:t>other</w:t>
            </w:r>
          </w:p>
        </w:tc>
      </w:tr>
      <w:tr>
        <w:trPr>
          <w:trHeight w:val="203"/>
        </w:trPr>
        <w:tc>
          <w:tcPr>
            <w:tcW w:w="4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on cash flow</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gain on post-</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translation</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0"/>
              </w:rPr>
              <w:t>comprehensive</w:t>
            </w:r>
          </w:p>
        </w:tc>
      </w:tr>
      <w:tr>
        <w:trPr>
          <w:trHeight w:val="206"/>
        </w:trPr>
        <w:tc>
          <w:tcPr>
            <w:tcW w:w="4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87"/>
              </w:rPr>
              <w:t>hedges</w:t>
            </w:r>
          </w:p>
        </w:tc>
        <w:tc>
          <w:tcPr>
            <w:tcW w:w="1240" w:type="dxa"/>
            <w:vAlign w:val="bottom"/>
            <w:gridSpan w:val="3"/>
          </w:tcPr>
          <w:p>
            <w:pPr>
              <w:ind w:left="40"/>
              <w:spacing w:after="0"/>
              <w:rPr>
                <w:sz w:val="20"/>
                <w:szCs w:val="20"/>
                <w:color w:val="auto"/>
              </w:rPr>
            </w:pPr>
            <w:r>
              <w:rPr>
                <w:rFonts w:ascii="Arial" w:cs="Arial" w:eastAsia="Arial" w:hAnsi="Arial"/>
                <w:sz w:val="16"/>
                <w:szCs w:val="16"/>
                <w:color w:val="auto"/>
              </w:rPr>
              <w:t>retirement plans</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88"/>
              </w:rPr>
              <w:t>adjustments</w:t>
            </w:r>
          </w:p>
        </w:tc>
        <w:tc>
          <w:tcPr>
            <w:tcW w:w="12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2"/>
              </w:rPr>
              <w:t>income</w:t>
            </w:r>
          </w:p>
        </w:tc>
      </w:tr>
      <w:tr>
        <w:trPr>
          <w:trHeight w:val="33"/>
        </w:trPr>
        <w:tc>
          <w:tcPr>
            <w:tcW w:w="4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2014</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64,156</w:t>
            </w:r>
          </w:p>
        </w:tc>
      </w:tr>
      <w:tr>
        <w:trPr>
          <w:trHeight w:val="237"/>
        </w:trPr>
        <w:tc>
          <w:tcPr>
            <w:tcW w:w="442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(21,030)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(20,612)</w:t>
            </w:r>
          </w:p>
        </w:tc>
      </w:tr>
      <w:tr>
        <w:trPr>
          <w:trHeight w:val="33"/>
        </w:trPr>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0"/>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9"/>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(34,697)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(34,979)</w:t>
            </w:r>
          </w:p>
        </w:tc>
      </w:tr>
      <w:tr>
        <w:trPr>
          <w:trHeight w:val="244"/>
        </w:trPr>
        <w:tc>
          <w:tcPr>
            <w:tcW w:w="4420" w:type="dxa"/>
            <w:vAlign w:val="bottom"/>
          </w:tcPr>
          <w:p>
            <w:pPr>
              <w:ind w:left="40"/>
              <w:spacing w:after="0"/>
              <w:rPr>
                <w:sz w:val="20"/>
                <w:szCs w:val="20"/>
                <w:color w:val="auto"/>
              </w:rPr>
            </w:pPr>
            <w:r>
              <w:rPr>
                <w:rFonts w:ascii="Arial" w:cs="Arial" w:eastAsia="Arial" w:hAnsi="Arial"/>
                <w:sz w:val="16"/>
                <w:szCs w:val="16"/>
                <w:color w:val="auto"/>
              </w:rPr>
              <w:t>Ending balance, October 31, 2014</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4,559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3,587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8,565</w:t>
            </w:r>
          </w:p>
        </w:tc>
      </w:tr>
      <w:tr>
        <w:trPr>
          <w:trHeight w:val="20"/>
        </w:trPr>
        <w:tc>
          <w:tcPr>
            <w:tcW w:w="4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decrease in accumulated other comprehensive income ("AOCI") as of October 31, 2014 compared to July 31, 2014 was primarily due to the accumulated foreign currency translation gains in the China Die-Cut businesses, which were reclassified into net earnings upon the completion of the second phase of the Die-Cut divestiture during the three months ended October 31, 2014. The appreciation of the U.S. dollar against other currencies also contributed to the decrease in AOCI during the quarter. The foreign currency translation adjustments column in the table above includes the impact of foreign currency translation, foreign currency translation on intercompany notes, and the settlements of net investment hedges, net of tax. Of the total $34,979 in amounts reclassified from accumulated other comprehensive income, the $34,697 gain was reclassified to the net loss on the sale of the Die-Cut business, the $13 loss on cash flow hedges was reclassified into cost of products sold, and the $295 gain on post-retirement plans was reclassified into SG&amp;A on the condensed consolidated statement of earnings for the three months ended October 31, 2014.</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changes in accumulated other comprehensive income by component, net of tax, for the three months ended October 31, 2013 were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Foreign</w:t>
            </w:r>
          </w:p>
        </w:tc>
        <w:tc>
          <w:tcPr>
            <w:tcW w:w="12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5"/>
              </w:rPr>
              <w:t>Accumulated</w:t>
            </w:r>
          </w:p>
        </w:tc>
      </w:tr>
      <w:tr>
        <w:trPr>
          <w:trHeight w:val="203"/>
        </w:trPr>
        <w:tc>
          <w:tcPr>
            <w:tcW w:w="4420" w:type="dxa"/>
            <w:vAlign w:val="bottom"/>
          </w:tcPr>
          <w:p>
            <w:pPr>
              <w:spacing w:after="0"/>
              <w:rPr>
                <w:sz w:val="17"/>
                <w:szCs w:val="17"/>
                <w:color w:val="auto"/>
              </w:rPr>
            </w:pPr>
          </w:p>
        </w:tc>
        <w:tc>
          <w:tcPr>
            <w:tcW w:w="1240" w:type="dxa"/>
            <w:vAlign w:val="bottom"/>
            <w:gridSpan w:val="3"/>
          </w:tcPr>
          <w:p>
            <w:pPr>
              <w:ind w:left="40"/>
              <w:spacing w:after="0"/>
              <w:rPr>
                <w:sz w:val="20"/>
                <w:szCs w:val="20"/>
                <w:color w:val="auto"/>
              </w:rPr>
            </w:pPr>
            <w:r>
              <w:rPr>
                <w:rFonts w:ascii="Arial" w:cs="Arial" w:eastAsia="Arial" w:hAnsi="Arial"/>
                <w:sz w:val="16"/>
                <w:szCs w:val="16"/>
                <w:color w:val="auto"/>
              </w:rPr>
              <w:t>Unrealized gain</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Unamortized</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currency</w:t>
            </w:r>
          </w:p>
        </w:tc>
        <w:tc>
          <w:tcPr>
            <w:tcW w:w="12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87"/>
              </w:rPr>
              <w:t>other</w:t>
            </w:r>
          </w:p>
        </w:tc>
      </w:tr>
      <w:tr>
        <w:trPr>
          <w:trHeight w:val="203"/>
        </w:trPr>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on cash flow</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gain on post-</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translation</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0"/>
              </w:rPr>
              <w:t>comprehensive</w:t>
            </w:r>
          </w:p>
        </w:tc>
      </w:tr>
      <w:tr>
        <w:trPr>
          <w:trHeight w:val="206"/>
        </w:trPr>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83"/>
              </w:rPr>
              <w:t>hedges</w:t>
            </w:r>
          </w:p>
        </w:tc>
        <w:tc>
          <w:tcPr>
            <w:tcW w:w="1240" w:type="dxa"/>
            <w:vAlign w:val="bottom"/>
            <w:gridSpan w:val="3"/>
          </w:tcPr>
          <w:p>
            <w:pPr>
              <w:ind w:left="40"/>
              <w:spacing w:after="0"/>
              <w:rPr>
                <w:sz w:val="20"/>
                <w:szCs w:val="20"/>
                <w:color w:val="auto"/>
              </w:rPr>
            </w:pPr>
            <w:r>
              <w:rPr>
                <w:rFonts w:ascii="Arial" w:cs="Arial" w:eastAsia="Arial" w:hAnsi="Arial"/>
                <w:sz w:val="16"/>
                <w:szCs w:val="16"/>
                <w:color w:val="auto"/>
              </w:rPr>
              <w:t>retirement plans</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adjustments</w:t>
            </w:r>
          </w:p>
        </w:tc>
        <w:tc>
          <w:tcPr>
            <w:tcW w:w="12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2"/>
              </w:rPr>
              <w:t>income</w:t>
            </w:r>
          </w:p>
        </w:tc>
      </w:tr>
      <w:tr>
        <w:trPr>
          <w:trHeight w:val="33"/>
        </w:trPr>
        <w:tc>
          <w:tcPr>
            <w:tcW w:w="4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2013</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56,063</w:t>
            </w:r>
          </w:p>
        </w:tc>
      </w:tr>
      <w:tr>
        <w:trPr>
          <w:trHeight w:val="237"/>
        </w:trPr>
        <w:tc>
          <w:tcPr>
            <w:tcW w:w="442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14,273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14,241</w:t>
            </w:r>
          </w:p>
        </w:tc>
      </w:tr>
      <w:tr>
        <w:trPr>
          <w:trHeight w:val="33"/>
        </w:trPr>
        <w:tc>
          <w:tcPr>
            <w:tcW w:w="4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0"/>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reclassified from accumulated other comprehensive</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9"/>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44"/>
        </w:trPr>
        <w:tc>
          <w:tcPr>
            <w:tcW w:w="4420" w:type="dxa"/>
            <w:vAlign w:val="bottom"/>
          </w:tcPr>
          <w:p>
            <w:pPr>
              <w:ind w:left="40"/>
              <w:spacing w:after="0"/>
              <w:rPr>
                <w:sz w:val="20"/>
                <w:szCs w:val="20"/>
                <w:color w:val="auto"/>
              </w:rPr>
            </w:pPr>
            <w:r>
              <w:rPr>
                <w:rFonts w:ascii="Arial" w:cs="Arial" w:eastAsia="Arial" w:hAnsi="Arial"/>
                <w:sz w:val="16"/>
                <w:szCs w:val="16"/>
                <w:color w:val="auto"/>
              </w:rPr>
              <w:t>Ending balance, October 31, 2013</w:t>
            </w: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68,384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70,132</w:t>
            </w:r>
          </w:p>
        </w:tc>
      </w:tr>
      <w:tr>
        <w:trPr>
          <w:trHeight w:val="20"/>
        </w:trPr>
        <w:tc>
          <w:tcPr>
            <w:tcW w:w="4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increase in accumulated other comprehensive income for the three months ended October 31, 2013 compared to July 31, 2013 was primarily due to the appreciation of the U.S. dollar against other currencies. Of the total $172 in amounts reclassified from accumulated other comprehensive income, the $55 gain on cash flow hedges was reclassified into cost of products sold and the $117 gain on post-retirement plans was reclassified into SG&amp;A on the condensed consolidated statement of earnings for the three months ended October 31, 2013.</w:t>
      </w:r>
    </w:p>
    <w:p>
      <w:pPr>
        <w:spacing w:after="0" w:line="13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illustrates the income tax (expense) benefit on the components of other comprehensive income for the three months ended October 31, 2014 and 2013:</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0"/>
              </w:rPr>
              <w:t>Three months ended October 31,</w:t>
            </w:r>
          </w:p>
        </w:tc>
      </w:tr>
      <w:tr>
        <w:trPr>
          <w:trHeight w:val="33"/>
        </w:trPr>
        <w:tc>
          <w:tcPr>
            <w:tcW w:w="6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6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2013</w:t>
            </w:r>
          </w:p>
        </w:tc>
      </w:tr>
      <w:tr>
        <w:trPr>
          <w:trHeight w:val="33"/>
        </w:trPr>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 related to items of 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6720" w:type="dxa"/>
            <w:vAlign w:val="bottom"/>
          </w:tcPr>
          <w:p>
            <w:pPr>
              <w:ind w:left="280"/>
              <w:spacing w:after="0"/>
              <w:rPr>
                <w:sz w:val="20"/>
                <w:szCs w:val="20"/>
                <w:color w:val="auto"/>
              </w:rPr>
            </w:pPr>
            <w:r>
              <w:rPr>
                <w:rFonts w:ascii="Arial" w:cs="Arial" w:eastAsia="Arial" w:hAnsi="Arial"/>
                <w:sz w:val="16"/>
                <w:szCs w:val="16"/>
                <w:color w:val="auto"/>
              </w:rPr>
              <w:t>Net investment hedge translation adjustments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(3,179)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1,314</w:t>
            </w:r>
          </w:p>
        </w:tc>
      </w:tr>
      <w:tr>
        <w:trPr>
          <w:trHeight w:val="33"/>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intercompany loan settlements</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1,403</w:t>
            </w:r>
          </w:p>
        </w:tc>
      </w:tr>
      <w:tr>
        <w:trPr>
          <w:trHeight w:val="237"/>
        </w:trPr>
        <w:tc>
          <w:tcPr>
            <w:tcW w:w="6720" w:type="dxa"/>
            <w:vAlign w:val="bottom"/>
          </w:tcPr>
          <w:p>
            <w:pPr>
              <w:ind w:left="280"/>
              <w:spacing w:after="0"/>
              <w:rPr>
                <w:sz w:val="20"/>
                <w:szCs w:val="20"/>
                <w:color w:val="auto"/>
              </w:rPr>
            </w:pPr>
            <w:r>
              <w:rPr>
                <w:rFonts w:ascii="Arial" w:cs="Arial" w:eastAsia="Arial" w:hAnsi="Arial"/>
                <w:sz w:val="16"/>
                <w:szCs w:val="16"/>
                <w:color w:val="auto"/>
              </w:rPr>
              <w:t>Cash flow hedges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tax adjustments and currency translation</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44"/>
        </w:trPr>
        <w:tc>
          <w:tcPr>
            <w:tcW w:w="6720" w:type="dxa"/>
            <w:vAlign w:val="bottom"/>
          </w:tcPr>
          <w:p>
            <w:pPr>
              <w:ind w:left="40"/>
              <w:spacing w:after="0"/>
              <w:rPr>
                <w:sz w:val="20"/>
                <w:szCs w:val="20"/>
                <w:color w:val="auto"/>
              </w:rPr>
            </w:pPr>
            <w:r>
              <w:rPr>
                <w:rFonts w:ascii="Arial" w:cs="Arial" w:eastAsia="Arial" w:hAnsi="Arial"/>
                <w:sz w:val="16"/>
                <w:szCs w:val="16"/>
                <w:color w:val="auto"/>
              </w:rPr>
              <w:t>Income tax (expense) benefit related to items of other comprehensive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(3,326)</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2,642</w:t>
            </w:r>
          </w:p>
        </w:tc>
      </w:tr>
      <w:tr>
        <w:trPr>
          <w:trHeight w:val="20"/>
        </w:trPr>
        <w:tc>
          <w:tcPr>
            <w:tcW w:w="6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D — Net Earnings per Common Share</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5"/>
          </w:tcPr>
          <w:p>
            <w:pPr>
              <w:jc w:val="right"/>
              <w:ind w:right="319"/>
              <w:spacing w:after="0"/>
              <w:rPr>
                <w:sz w:val="20"/>
                <w:szCs w:val="20"/>
                <w:color w:val="auto"/>
              </w:rPr>
            </w:pPr>
            <w:r>
              <w:rPr>
                <w:rFonts w:ascii="Arial" w:cs="Arial" w:eastAsia="Arial" w:hAnsi="Arial"/>
                <w:sz w:val="16"/>
                <w:szCs w:val="16"/>
                <w:b w:val="1"/>
                <w:bCs w:val="1"/>
                <w:color w:val="auto"/>
              </w:rPr>
              <w:t>Three months ended October 31,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 (in thousands)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Earnings from continuing operations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15,499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18,134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Restricted stock dividends</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Numerator for basic and diluted earnings from continuing operations per Class A Nonvoting Common Share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15,499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18,089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Less: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Preferential dividends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Preferential dividends on dilutive stock options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Numerator for basic and diluted earnings from continuing operations per Class B Voting Common Share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14,704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17,270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Denominator: (in thousands)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Denominator for basic earnings from continuing operations per share for both Class A and Class B</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51,251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52,071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Plus: Effect of dilutive stock options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Denominator for diluted earnings from continuing operations per share for both Class A and Class B</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51,313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52,419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Earnings from continuing operations per Class A Nonvoting Common Share:</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per Class B Voting Common Share: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0.29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(Loss) earnings from discontinued operations per Class A Nonvoting Common Share: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from discontinued operations per Class B Voting Common Share: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earnings per Class A Nonvoting Common Share: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Class B Voting Common Share: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33"/>
        </w:trPr>
        <w:tc>
          <w:tcPr>
            <w:tcW w:w="8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Options to purchase approximately 3,897,000 and 2,505,000 shares of Class A Nonvoting Common Stock for the three months ended October 31, 2014 and 2013, respectively, were not included in the computation of diluted net earnings or loss per share because the option exercise price was greater than the average market price of the common shares and, therefore, the effect would have been anti-dilutive.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E — Segment Information</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is organized and managed on a global basis within two business platforms: Identification Solutions and Workplace Safety, which are the reportable segments.</w:t>
      </w:r>
    </w:p>
    <w:p>
      <w:pPr>
        <w:spacing w:after="0" w:line="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Segment profit or loss does not include certain administrative costs, such as the cost of finance, information technology, human resources, legal, and executive leadership, which are managed as global functions. Restructuring charges, impairment charges, equity compensation costs, interest expense, investment and other income (expense) and income taxes are also excluded when evaluating segment performance.</w:t>
      </w:r>
    </w:p>
    <w:p>
      <w:pPr>
        <w:spacing w:after="0" w:line="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Each business platform has a President that reports directly to the Company's chief operating decision maker, its Chief Executive Officer. Each platform has its own distinct operations, is managed locally by its own management team, maintains its own financial reports and is evaluated based on global segment profit. The Company has determined that these business platforms comprise its operating and reportable segments based on the information used by the Chief Executive Officer to allocate resources and assess performance.</w:t>
      </w:r>
    </w:p>
    <w:p>
      <w:pPr>
        <w:spacing w:after="0" w:line="5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segment results have been adjusted to reflect continuing operations in all periods presented. The following is a summary of segment information for the three months ended October 31, 2014 and 2013: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4"/>
          </w:tcPr>
          <w:p>
            <w:pPr>
              <w:jc w:val="right"/>
              <w:spacing w:after="0"/>
              <w:rPr>
                <w:sz w:val="20"/>
                <w:szCs w:val="20"/>
                <w:color w:val="auto"/>
              </w:rPr>
            </w:pPr>
            <w:r>
              <w:rPr>
                <w:rFonts w:ascii="Arial" w:cs="Arial" w:eastAsia="Arial" w:hAnsi="Arial"/>
                <w:sz w:val="16"/>
                <w:szCs w:val="16"/>
                <w:b w:val="1"/>
                <w:bCs w:val="1"/>
                <w:color w:val="auto"/>
                <w:w w:val="90"/>
              </w:rPr>
              <w:t>Three months ended October 31,</w:t>
            </w:r>
          </w:p>
        </w:tc>
      </w:tr>
      <w:tr>
        <w:trPr>
          <w:trHeight w:val="33"/>
        </w:trPr>
        <w:tc>
          <w:tcPr>
            <w:tcW w:w="6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6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2013</w:t>
            </w:r>
          </w:p>
        </w:tc>
      </w:tr>
      <w:tr>
        <w:trPr>
          <w:trHeight w:val="33"/>
        </w:trPr>
        <w:tc>
          <w:tcPr>
            <w:tcW w:w="6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6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to External Customers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60"/>
        </w:trPr>
        <w:tc>
          <w:tcPr>
            <w:tcW w:w="6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37"/>
        </w:trPr>
        <w:tc>
          <w:tcPr>
            <w:tcW w:w="678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212,097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209,546</w:t>
            </w:r>
          </w:p>
        </w:tc>
      </w:tr>
      <w:tr>
        <w:trPr>
          <w:trHeight w:val="33"/>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98,143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97,984</w:t>
            </w:r>
          </w:p>
        </w:tc>
      </w:tr>
      <w:tr>
        <w:trPr>
          <w:trHeight w:val="217"/>
        </w:trPr>
        <w:tc>
          <w:tcPr>
            <w:tcW w:w="678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310,240</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307,530</w:t>
            </w:r>
          </w:p>
        </w:tc>
      </w:tr>
      <w:tr>
        <w:trPr>
          <w:trHeight w:val="73"/>
        </w:trPr>
        <w:tc>
          <w:tcPr>
            <w:tcW w:w="678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177"/>
        </w:trPr>
        <w:tc>
          <w:tcPr>
            <w:tcW w:w="678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Segment Profit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74"/>
        </w:trPr>
        <w:tc>
          <w:tcPr>
            <w:tcW w:w="6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237"/>
        </w:trPr>
        <w:tc>
          <w:tcPr>
            <w:tcW w:w="678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43,467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50,967</w:t>
            </w:r>
          </w:p>
        </w:tc>
      </w:tr>
      <w:tr>
        <w:trPr>
          <w:trHeight w:val="33"/>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15,539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18,374</w:t>
            </w:r>
          </w:p>
        </w:tc>
      </w:tr>
      <w:tr>
        <w:trPr>
          <w:trHeight w:val="217"/>
        </w:trPr>
        <w:tc>
          <w:tcPr>
            <w:tcW w:w="678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59,006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69,341</w:t>
            </w:r>
          </w:p>
        </w:tc>
      </w:tr>
      <w:tr>
        <w:trPr>
          <w:trHeight w:val="33"/>
        </w:trPr>
        <w:tc>
          <w:tcPr>
            <w:tcW w:w="6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is a reconciliation of segment profit to earnings from continuing operations before income taxes for the three months ended October 31, 2014 and 2013: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2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6"/>
              </w:rPr>
              <w:t>Three months ended October 31,</w:t>
            </w:r>
          </w:p>
        </w:tc>
      </w:tr>
      <w:tr>
        <w:trPr>
          <w:trHeight w:val="33"/>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59,006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69,341</w:t>
            </w: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(32,814)</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(6,840)</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and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762</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(2,891)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(3,720)</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26,729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F – Stock-Based Compensation</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 awards ("RSUs"), or restricted and unrestricted shares of Class A Nonvoting Common Stock to employees and non-employee directors.</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options issued under the plan have an exercise price equal to the fair market value of the underlying stock at the date of grant and generally vest over a three-year service period, with one-third becoming exercisable one year after the grant date and one-third additional in each of the succeeding two years. Options issued under the plan, referred to herein as “service-based” stock options, generally expire 10 years from the date of grant.</w:t>
      </w:r>
    </w:p>
    <w:p>
      <w:pPr>
        <w:spacing w:after="0" w:line="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Restricted shares and RSUs issued under the plan have an issuance price equal to the fair market value of the underlying stock at the date of grant. The RSUs granted under the plan generally vest over a three-year service period, with one-third becoming exercisable one year after the grant date and one-third additional in each of the succeeding two years. The Company also grants restricted shares and RSUs to certain executives and key management employees that vest upon meeting certain financial performance conditions.</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October 31, 2014, the Company has reserved 4,620,662 shares of Class A Nonvoting Common Stock for outstanding stock options, RSUs, and restricted and unrestricted shares and 3,325,301 shares of Class A Nonvoting Common Stock remain for future issuance of stock options, RSUs, and restricted and unrestricted shares under the active plan. The Company uses treasury stock or will issue new Class A Nonvoting Common Stock to deliver shares under the plan.</w:t>
      </w:r>
    </w:p>
    <w:p>
      <w:pPr>
        <w:spacing w:after="0" w:line="133" w:lineRule="exact"/>
        <w:rPr>
          <w:sz w:val="20"/>
          <w:szCs w:val="20"/>
          <w:color w:val="auto"/>
        </w:rPr>
      </w:pPr>
    </w:p>
    <w:p>
      <w:pPr>
        <w:jc w:val="both"/>
        <w:ind w:right="20" w:firstLine="432"/>
        <w:spacing w:after="0" w:line="302" w:lineRule="auto"/>
        <w:rPr>
          <w:sz w:val="20"/>
          <w:szCs w:val="20"/>
          <w:color w:val="auto"/>
        </w:rPr>
      </w:pPr>
      <w:r>
        <w:rPr>
          <w:rFonts w:ascii="Arial" w:cs="Arial" w:eastAsia="Arial" w:hAnsi="Arial"/>
          <w:sz w:val="16"/>
          <w:szCs w:val="16"/>
          <w:color w:val="auto"/>
        </w:rPr>
        <w:t>The Company recognizes the compensation cost of all share-based awards at the time it is deemed probable the award will vest. This cost is recognized on a straight-line basis over the vesting period of the award. If it is determined that it is unlikely the award will vest, the expense recognized to date for the award is reversed in the period in which this is evident and the remaining expense is not recorded. Total stock-based compensation expense recognized by the Company during the three months ended October 31, 2014 and 2013, was $1,319 ($818 net of taxes) and $2,600 ($1,586 net of taxes), respectively.</w:t>
      </w:r>
    </w:p>
    <w:p>
      <w:pPr>
        <w:spacing w:after="0" w:line="10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October 31, 2014, total unrecognized compensation cost related to stock-based compensation awards was $11,425 pre-tax, net of estimated forfeitures, which the Company expects to recognize over a weighted-average period of 2.7 years.</w:t>
      </w:r>
    </w:p>
    <w:p>
      <w:pPr>
        <w:spacing w:after="0" w:line="116"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has estimated the fair value of its service-based option awards granted during the three months ended October 31, 2014 and 2013, using the Black-Scholes option valuation model. The weighted-average assumptions used in the Black-Scholes valuation model are reflected in the following table: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58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 October 31,</w:t>
            </w:r>
          </w:p>
        </w:tc>
      </w:tr>
      <w:tr>
        <w:trPr>
          <w:trHeight w:val="33"/>
        </w:trPr>
        <w:tc>
          <w:tcPr>
            <w:tcW w:w="7360" w:type="dxa"/>
            <w:vAlign w:val="bottom"/>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7360" w:type="dxa"/>
            <w:vAlign w:val="bottom"/>
            <w:gridSpan w:val="2"/>
          </w:tcPr>
          <w:p>
            <w:pPr>
              <w:ind w:left="40"/>
              <w:spacing w:after="0"/>
              <w:rPr>
                <w:sz w:val="20"/>
                <w:szCs w:val="20"/>
                <w:color w:val="auto"/>
              </w:rPr>
            </w:pPr>
            <w:r>
              <w:rPr>
                <w:rFonts w:ascii="Arial" w:cs="Arial" w:eastAsia="Arial" w:hAnsi="Arial"/>
                <w:sz w:val="16"/>
                <w:szCs w:val="16"/>
                <w:b w:val="1"/>
                <w:bCs w:val="1"/>
                <w:color w:val="auto"/>
              </w:rPr>
              <w:t>Black-Scholes Option Valuation Assumptions</w:t>
            </w:r>
          </w:p>
        </w:tc>
        <w:tc>
          <w:tcPr>
            <w:tcW w:w="480" w:type="dxa"/>
            <w:vAlign w:val="bottom"/>
          </w:tcPr>
          <w:p>
            <w:pPr>
              <w:spacing w:after="0"/>
              <w:rPr>
                <w:sz w:val="20"/>
                <w:szCs w:val="20"/>
                <w:color w:val="auto"/>
              </w:rPr>
            </w:pPr>
          </w:p>
        </w:tc>
        <w:tc>
          <w:tcPr>
            <w:tcW w:w="15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2013</w:t>
            </w:r>
          </w:p>
        </w:tc>
      </w:tr>
      <w:tr>
        <w:trPr>
          <w:trHeight w:val="33"/>
        </w:trPr>
        <w:tc>
          <w:tcPr>
            <w:tcW w:w="7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4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5.92</w:t>
            </w:r>
          </w:p>
        </w:tc>
      </w:tr>
      <w:tr>
        <w:trPr>
          <w:trHeight w:val="237"/>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30.27%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37.41%</w:t>
            </w:r>
          </w:p>
        </w:tc>
      </w:tr>
      <w:tr>
        <w:trPr>
          <w:trHeight w:val="33"/>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37"/>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33"/>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market value of underlying stock at grant date</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31.07</w:t>
            </w:r>
          </w:p>
        </w:tc>
      </w:tr>
      <w:tr>
        <w:trPr>
          <w:trHeight w:val="237"/>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Weighted-average exercise price</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22.66</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31.07</w:t>
            </w:r>
          </w:p>
        </w:tc>
      </w:tr>
      <w:tr>
        <w:trPr>
          <w:trHeight w:val="33"/>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7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 granted during the period</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9.18</w:t>
            </w:r>
          </w:p>
        </w:tc>
      </w:tr>
      <w:tr>
        <w:trPr>
          <w:trHeight w:val="33"/>
        </w:trPr>
        <w:tc>
          <w:tcPr>
            <w:tcW w:w="7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18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Company granted 612,427 service-based stock options during the three months ended October 31, 2014, with a weighted average exercise price of $22.66 and a weighted average fair value of $6.10.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summary of stock option activity under the Company’s share-based compensation plans for the three months ended October 31, 2014 is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Exercise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0"/>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Options</w:t>
            </w:r>
          </w:p>
        </w:tc>
        <w:tc>
          <w:tcPr>
            <w:tcW w:w="1380" w:type="dxa"/>
            <w:vAlign w:val="bottom"/>
          </w:tcPr>
          <w:p>
            <w:pPr>
              <w:jc w:val="right"/>
              <w:ind w:right="3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Term</w:t>
            </w:r>
          </w:p>
        </w:tc>
        <w:tc>
          <w:tcPr>
            <w:tcW w:w="220" w:type="dxa"/>
            <w:vAlign w:val="bottom"/>
          </w:tcPr>
          <w:p>
            <w:pPr>
              <w:spacing w:after="0"/>
              <w:rPr>
                <w:sz w:val="18"/>
                <w:szCs w:val="18"/>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4,204,260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380" w:type="dxa"/>
            <w:vAlign w:val="bottom"/>
          </w:tcPr>
          <w:p>
            <w:pPr>
              <w:jc w:val="right"/>
              <w:spacing w:after="0"/>
              <w:rPr>
                <w:sz w:val="20"/>
                <w:szCs w:val="20"/>
                <w:color w:val="auto"/>
              </w:rPr>
            </w:pPr>
            <w:r>
              <w:rPr>
                <w:rFonts w:ascii="Arial" w:cs="Arial" w:eastAsia="Arial" w:hAnsi="Arial"/>
                <w:sz w:val="16"/>
                <w:szCs w:val="16"/>
                <w:color w:val="auto"/>
              </w:rPr>
              <w:t>612,427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22.66</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Forfeited or 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(469,845)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29.81</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October 31, 2014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4,343,342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1,175,785</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color w:val="auto"/>
              </w:rPr>
              <w:t>Exercisable at October 31, 2014</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gridSpan w:val="2"/>
            <w:vMerge w:val="continue"/>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3,339,992</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30.94</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584,528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There were 3,339,992 and 3,466,777 options exercisable with a weighted average exercise price of $30.94 and $30.93 at October 31, 2014 and 2013, respectively. The cash received from the exercise of options during the three months ended October 31, 2014 and 2013 was $91 and $5,209, respectively. The tax benefit on options exercised during the three months ended October 31, 2014 and 2013 was $3 and $472, respectively.</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total intrinsic value of options exercised during the three months ended October 31, 2014 and 2013, based upon the average market price at the time of exercise during the period, was $7 and $1,211, respectively. The total fair value of stock options vested during the three months ended October 31, 2014 and 2013, was $3,684 and $8,383, respectively.</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granted 224,398 service-based RSUs during the three months ended October 31, 2014, with a weighted average grant price and fair value of $23.45.</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RSU and restricted share activity under the Company's share-based compensation plans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2014:</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c>
          <w:tcPr>
            <w:tcW w:w="0" w:type="dxa"/>
            <w:vAlign w:val="bottom"/>
          </w:tcPr>
          <w:p>
            <w:pPr>
              <w:spacing w:after="0"/>
              <w:rPr>
                <w:sz w:val="1"/>
                <w:szCs w:val="1"/>
                <w:color w:val="auto"/>
              </w:rPr>
            </w:pPr>
          </w:p>
        </w:tc>
      </w:tr>
      <w:tr>
        <w:trPr>
          <w:trHeight w:val="210"/>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Service-Based RSUs and Restricted Shares</w:t>
            </w:r>
          </w:p>
        </w:tc>
        <w:tc>
          <w:tcPr>
            <w:tcW w:w="118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33"/>
        </w:trPr>
        <w:tc>
          <w:tcPr>
            <w:tcW w:w="6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104,857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31.02</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180" w:type="dxa"/>
            <w:vAlign w:val="bottom"/>
          </w:tcPr>
          <w:p>
            <w:pPr>
              <w:jc w:val="right"/>
              <w:spacing w:after="0"/>
              <w:rPr>
                <w:sz w:val="20"/>
                <w:szCs w:val="20"/>
                <w:color w:val="auto"/>
              </w:rPr>
            </w:pPr>
            <w:r>
              <w:rPr>
                <w:rFonts w:ascii="Arial" w:cs="Arial" w:eastAsia="Arial" w:hAnsi="Arial"/>
                <w:sz w:val="16"/>
                <w:szCs w:val="16"/>
                <w:color w:val="auto"/>
              </w:rPr>
              <w:t>224,398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23.45</w:t>
            </w:r>
          </w:p>
        </w:tc>
        <w:tc>
          <w:tcPr>
            <w:tcW w:w="0" w:type="dxa"/>
            <w:vAlign w:val="bottom"/>
          </w:tcPr>
          <w:p>
            <w:pPr>
              <w:spacing w:after="0"/>
              <w:rPr>
                <w:sz w:val="1"/>
                <w:szCs w:val="1"/>
                <w:color w:val="auto"/>
              </w:rPr>
            </w:pPr>
          </w:p>
        </w:tc>
      </w:tr>
      <w:tr>
        <w:trPr>
          <w:trHeight w:val="33"/>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30.86</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1180" w:type="dxa"/>
            <w:vAlign w:val="bottom"/>
          </w:tcPr>
          <w:p>
            <w:pPr>
              <w:jc w:val="right"/>
              <w:spacing w:after="0"/>
              <w:rPr>
                <w:sz w:val="20"/>
                <w:szCs w:val="20"/>
                <w:color w:val="auto"/>
              </w:rPr>
            </w:pPr>
            <w:r>
              <w:rPr>
                <w:rFonts w:ascii="Arial" w:cs="Arial" w:eastAsia="Arial" w:hAnsi="Arial"/>
                <w:sz w:val="16"/>
                <w:szCs w:val="16"/>
                <w:color w:val="auto"/>
              </w:rPr>
              <w:t>(19,477)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31.28</w:t>
            </w:r>
          </w:p>
        </w:tc>
        <w:tc>
          <w:tcPr>
            <w:tcW w:w="0" w:type="dxa"/>
            <w:vAlign w:val="bottom"/>
          </w:tcPr>
          <w:p>
            <w:pPr>
              <w:spacing w:after="0"/>
              <w:rPr>
                <w:sz w:val="1"/>
                <w:szCs w:val="1"/>
                <w:color w:val="auto"/>
              </w:rPr>
            </w:pPr>
          </w:p>
        </w:tc>
      </w:tr>
      <w:tr>
        <w:trPr>
          <w:trHeight w:val="33"/>
        </w:trPr>
        <w:tc>
          <w:tcPr>
            <w:tcW w:w="6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October 31, 2014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277,320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24.90</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line="20" w:lineRule="exact"/>
              <w:rPr>
                <w:sz w:val="1"/>
                <w:szCs w:val="1"/>
                <w:color w:val="auto"/>
              </w:rPr>
            </w:pPr>
          </w:p>
        </w:tc>
      </w:tr>
      <w:tr>
        <w:trPr>
          <w:trHeight w:val="486"/>
        </w:trPr>
        <w:tc>
          <w:tcPr>
            <w:tcW w:w="6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Grant Date</w:t>
            </w:r>
          </w:p>
        </w:tc>
        <w:tc>
          <w:tcPr>
            <w:tcW w:w="0" w:type="dxa"/>
            <w:vAlign w:val="bottom"/>
          </w:tcPr>
          <w:p>
            <w:pPr>
              <w:spacing w:after="0"/>
              <w:rPr>
                <w:sz w:val="1"/>
                <w:szCs w:val="1"/>
                <w:color w:val="auto"/>
              </w:rPr>
            </w:pPr>
          </w:p>
        </w:tc>
      </w:tr>
      <w:tr>
        <w:trPr>
          <w:trHeight w:val="210"/>
        </w:trPr>
        <w:tc>
          <w:tcPr>
            <w:tcW w:w="6760" w:type="dxa"/>
            <w:vAlign w:val="bottom"/>
            <w:gridSpan w:val="2"/>
          </w:tcPr>
          <w:p>
            <w:pPr>
              <w:ind w:left="40"/>
              <w:spacing w:after="0"/>
              <w:rPr>
                <w:sz w:val="20"/>
                <w:szCs w:val="20"/>
                <w:color w:val="auto"/>
              </w:rPr>
            </w:pPr>
            <w:r>
              <w:rPr>
                <w:rFonts w:ascii="Arial" w:cs="Arial" w:eastAsia="Arial" w:hAnsi="Arial"/>
                <w:sz w:val="16"/>
                <w:szCs w:val="16"/>
                <w:b w:val="1"/>
                <w:bCs w:val="1"/>
                <w:color w:val="auto"/>
              </w:rPr>
              <w:t>Performance-Based RSUs and Restricted Shares</w:t>
            </w:r>
          </w:p>
        </w:tc>
        <w:tc>
          <w:tcPr>
            <w:tcW w:w="118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33"/>
        </w:trPr>
        <w:tc>
          <w:tcPr>
            <w:tcW w:w="6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July 31, 2014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New grants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6"/>
                <w:szCs w:val="16"/>
                <w:color w:val="auto"/>
              </w:rPr>
              <w:t>Forfeited</w:t>
            </w:r>
          </w:p>
        </w:tc>
        <w:tc>
          <w:tcPr>
            <w:tcW w:w="1180" w:type="dxa"/>
            <w:vAlign w:val="bottom"/>
          </w:tcPr>
          <w:p>
            <w:pPr>
              <w:jc w:val="right"/>
              <w:spacing w:after="0"/>
              <w:rPr>
                <w:sz w:val="20"/>
                <w:szCs w:val="20"/>
                <w:color w:val="auto"/>
              </w:rPr>
            </w:pPr>
            <w:r>
              <w:rPr>
                <w:rFonts w:ascii="Arial" w:cs="Arial" w:eastAsia="Arial" w:hAnsi="Arial"/>
                <w:sz w:val="16"/>
                <w:szCs w:val="16"/>
                <w:color w:val="auto"/>
              </w:rPr>
              <w:t>(80,000)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33"/>
        </w:trPr>
        <w:tc>
          <w:tcPr>
            <w:tcW w:w="6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October 31, 2014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G — Fair Value Measurements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accordance with fair value accounting guidance, the Company’s assets and liabilities measured at fair market value are classified in one of the following categories:</w:t>
      </w:r>
    </w:p>
    <w:p>
      <w:pPr>
        <w:spacing w:after="0" w:line="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Assets or liabilities for which fair value is based on (unadjusted) quoted prices in active markets for identical instruments that are accessible as of the reporting date.</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Assets or liabilities for which fair value is based on other significant pricing inputs that are either directly or indirectly observable.</w:t>
      </w:r>
    </w:p>
    <w:p>
      <w:pPr>
        <w:spacing w:after="0" w:line="1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significant unobservable pricing inputs to the extent little or no market data is available, which result in the use of management's own assumptions.</w:t>
      </w:r>
    </w:p>
    <w:p>
      <w:pPr>
        <w:spacing w:after="0" w:line="11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following tables set forth by level within the fair value hierarchy our financial assets and liabilities that were accounted for at fair value on a recurring basis at October 31, 2014 and July 31, 2014, according to the valuation techniques the Company used to determine their fair values.</w:t>
      </w:r>
    </w:p>
    <w:p>
      <w:pPr>
        <w:spacing w:after="0" w:line="93"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Inputs</w:t>
      </w:r>
    </w:p>
    <w:p>
      <w:pPr>
        <w:spacing w:after="0" w:line="26"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33020</wp:posOffset>
            </wp:positionV>
            <wp:extent cx="19812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Quoted Prices in</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Active Markets for</w:t>
            </w:r>
          </w:p>
        </w:tc>
        <w:tc>
          <w:tcPr>
            <w:tcW w:w="10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Significant Other</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Identical</w:t>
            </w:r>
          </w:p>
        </w:tc>
        <w:tc>
          <w:tcPr>
            <w:tcW w:w="1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Observable Inputs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Assets (Level 1)</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(Level 2)</w:t>
            </w:r>
          </w:p>
        </w:tc>
        <w:tc>
          <w:tcPr>
            <w:tcW w:w="220" w:type="dxa"/>
            <w:vAlign w:val="bottom"/>
          </w:tcPr>
          <w:p>
            <w:pPr>
              <w:spacing w:after="0"/>
              <w:rPr>
                <w:sz w:val="18"/>
                <w:szCs w:val="18"/>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Fair Values</w:t>
            </w:r>
          </w:p>
        </w:tc>
        <w:tc>
          <w:tcPr>
            <w:tcW w:w="120" w:type="dxa"/>
            <w:vAlign w:val="bottom"/>
          </w:tcPr>
          <w:p>
            <w:pPr>
              <w:spacing w:after="0"/>
              <w:rPr>
                <w:sz w:val="18"/>
                <w:szCs w:val="18"/>
                <w:color w:val="auto"/>
              </w:rPr>
            </w:pPr>
          </w:p>
        </w:tc>
        <w:tc>
          <w:tcPr>
            <w:tcW w:w="3520" w:type="dxa"/>
            <w:vAlign w:val="bottom"/>
          </w:tcPr>
          <w:p>
            <w:pPr>
              <w:ind w:left="760"/>
              <w:spacing w:after="0"/>
              <w:rPr>
                <w:sz w:val="20"/>
                <w:szCs w:val="20"/>
                <w:color w:val="auto"/>
              </w:rPr>
            </w:pPr>
            <w:r>
              <w:rPr>
                <w:rFonts w:ascii="Arial" w:cs="Arial" w:eastAsia="Arial" w:hAnsi="Arial"/>
                <w:sz w:val="16"/>
                <w:szCs w:val="16"/>
                <w:b w:val="1"/>
                <w:bCs w:val="1"/>
                <w:color w:val="auto"/>
              </w:rPr>
              <w:t>Balance Sheet Classifications</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04"/>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October 31, 2014</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r>
      <w:tr>
        <w:trPr>
          <w:trHeight w:val="60"/>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15,471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15,471</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15,471</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16,140</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177"/>
        </w:trPr>
        <w:tc>
          <w:tcPr>
            <w:tcW w:w="31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July 31, 2014</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r>
      <w:tr>
        <w:trPr>
          <w:trHeight w:val="74"/>
        </w:trPr>
        <w:tc>
          <w:tcPr>
            <w:tcW w:w="3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15,962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15,962</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15,962</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16,128</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90" w:lineRule="exact"/>
        <w:rPr>
          <w:sz w:val="20"/>
          <w:szCs w:val="20"/>
          <w:color w:val="auto"/>
        </w:rPr>
      </w:pPr>
    </w:p>
    <w:p>
      <w:pPr>
        <w:jc w:val="both"/>
        <w:ind w:firstLine="216"/>
        <w:spacing w:after="0" w:line="308" w:lineRule="auto"/>
        <w:rPr>
          <w:sz w:val="20"/>
          <w:szCs w:val="20"/>
          <w:color w:val="auto"/>
        </w:rPr>
      </w:pPr>
      <w:r>
        <w:rPr>
          <w:rFonts w:ascii="Arial" w:cs="Arial" w:eastAsia="Arial" w:hAnsi="Arial"/>
          <w:sz w:val="17"/>
          <w:szCs w:val="17"/>
          <w:i w:val="1"/>
          <w:iCs w:val="1"/>
          <w:color w:val="auto"/>
        </w:rPr>
        <w:t xml:space="preserve">Trading securities: </w:t>
      </w:r>
      <w:r>
        <w:rPr>
          <w:rFonts w:ascii="Arial" w:cs="Arial" w:eastAsia="Arial" w:hAnsi="Arial"/>
          <w:sz w:val="17"/>
          <w:szCs w:val="17"/>
          <w:color w:val="auto"/>
        </w:rPr>
        <w:t>The Company’s deferred compensation investments consist of investments in mutual funds. These investments were classified as Level</w:t>
      </w:r>
      <w:r>
        <w:rPr>
          <w:rFonts w:ascii="Arial" w:cs="Arial" w:eastAsia="Arial" w:hAnsi="Arial"/>
          <w:sz w:val="17"/>
          <w:szCs w:val="17"/>
          <w:i w:val="1"/>
          <w:iCs w:val="1"/>
          <w:color w:val="auto"/>
        </w:rPr>
        <w:t xml:space="preserve"> </w:t>
      </w:r>
      <w:r>
        <w:rPr>
          <w:rFonts w:ascii="Arial" w:cs="Arial" w:eastAsia="Arial" w:hAnsi="Arial"/>
          <w:sz w:val="17"/>
          <w:szCs w:val="17"/>
          <w:color w:val="auto"/>
        </w:rPr>
        <w:t>1 as the shares of these investments trade with sufficient frequency and volume to enable us to obtain pricing information on an ongoing basis.</w:t>
      </w:r>
    </w:p>
    <w:p>
      <w:pPr>
        <w:spacing w:after="0" w:line="9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using external models that use observable inputs, such as interest rates, yield curves and foreign exchange rates. See Note I, “Derivatives and Hedging Activities,” for additional information.</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three months ended October 31, 2014 and 2013. In addition, the Company had no significant measurements of assets or liabilities at fair value on a nonrecurring basis subsequent to their initial recognition during the three months ended October 31, 2014.</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fiscal 2014, goodwill with a carrying amount of $193,689 in the PeopleID reporting unit was written down to its estimated implied fair value of $93,277, resulting in a non-cash impairment charge of $100,412. In order to arrive at the implied fair value of goodwill, the Company calculated the fair value of all of the assets and liabilities of the reporting unit as if it had been acquired in a business combination. After assigning fair value to the assets and liabilities of the reporting unit, the result was the implied fair value of goodwill of $93,277, which represented a Level 3 asset measured at fair value on a nonrecurring basis subsequent to its original recognition.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PeopleID reporting unit had intangible assets consisting of tradenames and customer relationships, which were valued using the income approach as part of the goodwill impairment valuation described above. The valuation was based upon current sales projections and profitability for each asset group, and the relief from royalty method was applied. As a result of the analysis, a definite-lived customer relationship with a carrying amount of $88,803 was written down to its estimated fair value of $44,600. In addition, indefinite-lived tradenames and other definite-lived customer relationships with a carrying amount of $5,384 were written down to their estimated fair value of $1,448. These represented Level 3 assets measured at fair value on a nonrecurring basis subsequent to their original recognition, which resulted in a total non-cash impairment charge of $48,139 within the IDS segment.</w:t>
      </w:r>
    </w:p>
    <w:p>
      <w:pPr>
        <w:spacing w:after="0" w:line="27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financial instruments, other than those presented in the disclosures above, include cash and cash equivalents, accounts receivable, notes payable, accounts payable, accrued liabilities and short-term and long-term debt. The fair values of cash and cash equivalents, accounts receivable, notes payable, accounts payable, and accrued liabilities approximated carrying values because of the short-term nature of these instruments.</w:t>
      </w:r>
    </w:p>
    <w:p>
      <w:pPr>
        <w:spacing w:after="0" w:line="9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estimated fair value of the Company’s short-term and long-term debt obligations, excluding notes payable, based on the quoted market prices for similar issues and on the current rates offered for debt of similar maturities was $210,152 and $216,280 at October 31, 2014 and July 31, 2014, respectively, as compared to the carrying value of $195,990 and $201,810 at October 31, 2014 and July 31, 2014,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NOTE H — Restructuring</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fiscal 2014, the Company announced a restructuring plan to consolidate facilities in the Americas, Europe and Asia to enhance customer service, improve efficiency of operations and reduce operating expenses. Facility consolidation activities extended into fiscal 2015.</w:t>
      </w:r>
    </w:p>
    <w:p>
      <w:pPr>
        <w:spacing w:after="0" w:line="19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connection with this plan, the Company incurred restructuring charges of $4,278 during the three months ended October 31, 2014, which consisted of $2,588 of employee separation costs, $200 of fixed asset write-offs, $948 of facility closure related costs, and $542 of contract termination costs. Of the $4,278 of restructuring charges recorded during the quarter, $2,386 was incurred within IDS and $1,892 within WPS.</w:t>
      </w:r>
    </w:p>
    <w:p>
      <w:pPr>
        <w:spacing w:after="0" w:line="19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incurred restructuring charges of $6,840 during the three months ended October 31, 2013. These restructuring charges consisted of $6,492 of employee separation costs, which included $883 of separation costs related to the former CEO, and $348 of other facility closure related costs. Of the $6,840 of restructuring charges recorded during the quarter, $3,977 was incurred within IDS and $2,863 within WPS.</w:t>
      </w:r>
    </w:p>
    <w:p>
      <w:pPr>
        <w:spacing w:after="0" w:line="27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charges for employee separation costs consisted of severance pay, outplacement services, medical and other benefits. The costs related to these restructuring activities were recorded on the condensed consolidated statements of earnings as restructuring charges. The Company expects the majority of the remaining cash payments to be made during the next twelve months.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Company’s restructuring liability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Employee</w:t>
            </w:r>
          </w:p>
        </w:tc>
        <w:tc>
          <w:tcPr>
            <w:tcW w:w="11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Asset Write-</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Related</w:t>
            </w:r>
          </w:p>
        </w:tc>
        <w:tc>
          <w:tcPr>
            <w:tcW w:w="240" w:type="dxa"/>
            <w:vAlign w:val="bottom"/>
          </w:tcPr>
          <w:p>
            <w:pPr>
              <w:spacing w:after="0"/>
              <w:rPr>
                <w:sz w:val="18"/>
                <w:szCs w:val="18"/>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offs</w:t>
            </w:r>
          </w:p>
        </w:tc>
        <w:tc>
          <w:tcPr>
            <w:tcW w:w="22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8"/>
                <w:szCs w:val="18"/>
                <w:color w:val="auto"/>
              </w:rPr>
            </w:pPr>
          </w:p>
        </w:tc>
        <w:tc>
          <w:tcPr>
            <w:tcW w:w="800" w:type="dxa"/>
            <w:vAlign w:val="bottom"/>
          </w:tcPr>
          <w:p>
            <w:pPr>
              <w:jc w:val="right"/>
              <w:ind w:right="2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July 31, 2014</w:t>
            </w:r>
          </w:p>
        </w:tc>
        <w:tc>
          <w:tcPr>
            <w:tcW w:w="2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6"/>
                <w:szCs w:val="16"/>
                <w:color w:val="auto"/>
              </w:rPr>
              <w:t>Restructuring charges in continuing operations</w:t>
            </w: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2,588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4,278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 in discontinued operations</w:t>
            </w:r>
          </w:p>
        </w:tc>
        <w:tc>
          <w:tcPr>
            <w:tcW w:w="2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6"/>
                <w:szCs w:val="16"/>
                <w:color w:val="auto"/>
              </w:rPr>
              <w:t>Non-cash write-offs</w:t>
            </w: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payments</w:t>
            </w:r>
          </w:p>
        </w:tc>
        <w:tc>
          <w:tcPr>
            <w:tcW w:w="23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6"/>
                <w:szCs w:val="16"/>
                <w:color w:val="auto"/>
              </w:rPr>
              <w:t>Ending balance, October 31, 2014</w:t>
            </w:r>
          </w:p>
        </w:tc>
        <w:tc>
          <w:tcPr>
            <w:tcW w:w="23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3,836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380" w:type="dxa"/>
            <w:vAlign w:val="bottom"/>
            <w:vMerge w:val="restart"/>
          </w:tcPr>
          <w:p>
            <w:pPr>
              <w:jc w:val="right"/>
              <w:ind w:right="1070"/>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3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NOTE I — Derivatives and Hedging Activities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October 31, 2014 and July 31, 2014, the notional amount of outstanding forward exchange contracts was $67,000 and $104,000, respectively.</w:t>
      </w:r>
    </w:p>
    <w:p>
      <w:pPr>
        <w:spacing w:after="0" w:line="13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hedges a portion of known exposure using forward exchange contracts. Main exposures are related to transactions denominated in the British Pound, the Euro, Canadian Dollar, Australian Dollar, Malaysian Ringgit and Singapore Dollar. Generally, these risk management transactions will involve the use of foreign currency derivatives to minimize the impact of currency movements on non-functional currency transactions.</w:t>
      </w:r>
    </w:p>
    <w:p>
      <w:pPr>
        <w:spacing w:after="0" w:line="1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7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OCI and reclassified into earnings in the same period or periods during which the hedged transaction affects earnings. As of October 31, 2014 and 2013, unrealized gains of $601 and unrealized losses of $15 have been included in OCI, respectively. Balances are reclassified from OCI to earnings during the next twelve months when the hedged transactions impact earnings. For the three months ended October 31, 2014 and 2013, the Company reclassified losses of $21 and gains of $90 from OCI into earnings, respectively. At October 31, 2014, the U.S. dollar equivalent of these outstanding forward foreign exchange contracts totaled $16,643, including contracts to sell Euros, Canadian Dollars, Australian Dollars, British Pounds and U.S. Dollars.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Hedges</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has also designated intercompany and third party foreign currency denominated debt instruments as net investment hedges. At October 31, 2014, the Company designated £25,036 of intercompany loans as net investment hedges to hedge portions of its net investment in British foreign operations. On May 13, 2010, the Company completed the private placement of €75 million aggregate principal amount of senior unsecured notes to accredited institutional investors. This Euro-denominated debt obligation was designated as a net investment hedge to selectively hedge portions of its net investment in European operations. The Company’s foreign denominated debt obligations are valued under a market approach using publicized spot prices.</w:t>
      </w:r>
    </w:p>
    <w:p>
      <w:pPr>
        <w:spacing w:after="0" w:line="10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Additionally, the Company utilizes forward foreign exchange currency contracts designated as hedge instruments to hedge portions of the Company’s net investments in foreign operations. The net gains or losses attributable to changes in spot exchange rates are recorded in OCI. Recognition in earnings of amounts previously recorded in cumulative translation is limited to circumstances such as complete or substantially complete liquidation of the net investment in the hedged foreign operation. At October 31, 2014 and July 31, 2014, the U.S dollar equivalent of these outstanding forward foreign exchange contracts totaled $4,700 and $5,300, respectively. As of October 31, 2014 and 2013, the Company recognized OCI losses of $295 and $244, respectively, on its outstanding net investment hedges.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three months ended October 31, 2014 and 2013, the Company recognized losses of $841 and gains of $1,447 respectively, in “Investment and other income” on the condensed consolidated statements of earnings related to non-designated hedges.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shd w:val="clear" w:color="auto" w:fill="CCEEFF"/>
          </w:tcPr>
          <w:p>
            <w:pPr>
              <w:spacing w:after="0"/>
              <w:rPr>
                <w:sz w:val="22"/>
                <w:szCs w:val="22"/>
                <w:color w:val="auto"/>
              </w:rPr>
            </w:pPr>
          </w:p>
        </w:tc>
        <w:tc>
          <w:tcPr>
            <w:tcW w:w="2300" w:type="dxa"/>
            <w:vAlign w:val="bottom"/>
            <w:tcBorders>
              <w:bottom w:val="single" w:sz="8" w:color="auto"/>
            </w:tcBorders>
            <w:gridSpan w:val="4"/>
            <w:shd w:val="clear" w:color="auto" w:fill="CCEEFF"/>
          </w:tcPr>
          <w:p>
            <w:pPr>
              <w:ind w:left="620"/>
              <w:spacing w:after="0"/>
              <w:rPr>
                <w:sz w:val="20"/>
                <w:szCs w:val="20"/>
                <w:color w:val="auto"/>
              </w:rPr>
            </w:pPr>
            <w:r>
              <w:rPr>
                <w:rFonts w:ascii="Arial" w:cs="Arial" w:eastAsia="Arial" w:hAnsi="Arial"/>
                <w:sz w:val="14"/>
                <w:szCs w:val="14"/>
                <w:b w:val="1"/>
                <w:bCs w:val="1"/>
                <w:color w:val="auto"/>
              </w:rPr>
              <w:t>October 31, 2014</w:t>
            </w:r>
          </w:p>
        </w:tc>
        <w:tc>
          <w:tcPr>
            <w:tcW w:w="120" w:type="dxa"/>
            <w:vAlign w:val="bottom"/>
            <w:shd w:val="clear" w:color="auto" w:fill="CCEEFF"/>
          </w:tcPr>
          <w:p>
            <w:pPr>
              <w:spacing w:after="0"/>
              <w:rPr>
                <w:sz w:val="22"/>
                <w:szCs w:val="22"/>
                <w:color w:val="auto"/>
              </w:rPr>
            </w:pPr>
          </w:p>
        </w:tc>
        <w:tc>
          <w:tcPr>
            <w:tcW w:w="1620" w:type="dxa"/>
            <w:vAlign w:val="bottom"/>
            <w:tcBorders>
              <w:bottom w:val="single" w:sz="8" w:color="auto"/>
            </w:tcBorders>
            <w:gridSpan w:val="3"/>
            <w:shd w:val="clear" w:color="auto" w:fill="CCEEFF"/>
          </w:tcPr>
          <w:p>
            <w:pPr>
              <w:ind w:left="760"/>
              <w:spacing w:after="0"/>
              <w:rPr>
                <w:sz w:val="20"/>
                <w:szCs w:val="20"/>
                <w:color w:val="auto"/>
              </w:rPr>
            </w:pPr>
            <w:r>
              <w:rPr>
                <w:rFonts w:ascii="Arial" w:cs="Arial" w:eastAsia="Arial" w:hAnsi="Arial"/>
                <w:sz w:val="14"/>
                <w:szCs w:val="14"/>
                <w:b w:val="1"/>
                <w:bCs w:val="1"/>
                <w:color w:val="auto"/>
                <w:w w:val="97"/>
              </w:rPr>
              <w:t>July 31, 2014</w:t>
            </w:r>
          </w:p>
        </w:tc>
        <w:tc>
          <w:tcPr>
            <w:tcW w:w="7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60" w:type="dxa"/>
            <w:vAlign w:val="bottom"/>
            <w:tcBorders>
              <w:bottom w:val="single" w:sz="8" w:color="auto"/>
            </w:tcBorders>
            <w:gridSpan w:val="4"/>
            <w:shd w:val="clear" w:color="auto" w:fill="CCEEFF"/>
          </w:tcPr>
          <w:p>
            <w:pPr>
              <w:ind w:left="600"/>
              <w:spacing w:after="0"/>
              <w:rPr>
                <w:sz w:val="20"/>
                <w:szCs w:val="20"/>
                <w:color w:val="auto"/>
              </w:rPr>
            </w:pPr>
            <w:r>
              <w:rPr>
                <w:rFonts w:ascii="Arial" w:cs="Arial" w:eastAsia="Arial" w:hAnsi="Arial"/>
                <w:sz w:val="14"/>
                <w:szCs w:val="14"/>
                <w:b w:val="1"/>
                <w:bCs w:val="1"/>
                <w:color w:val="auto"/>
              </w:rPr>
              <w:t>October 31, 2014</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gridSpan w:val="3"/>
            <w:shd w:val="clear" w:color="auto" w:fill="CCEEFF"/>
          </w:tcPr>
          <w:p>
            <w:pPr>
              <w:ind w:left="720"/>
              <w:spacing w:after="0"/>
              <w:rPr>
                <w:sz w:val="20"/>
                <w:szCs w:val="20"/>
                <w:color w:val="auto"/>
              </w:rPr>
            </w:pPr>
            <w:r>
              <w:rPr>
                <w:rFonts w:ascii="Arial" w:cs="Arial" w:eastAsia="Arial" w:hAnsi="Arial"/>
                <w:sz w:val="14"/>
                <w:szCs w:val="14"/>
                <w:b w:val="1"/>
                <w:bCs w:val="1"/>
                <w:color w:val="auto"/>
                <w:w w:val="97"/>
              </w:rPr>
              <w:t>July 31, 2014</w:t>
            </w:r>
          </w:p>
        </w:tc>
        <w:tc>
          <w:tcPr>
            <w:tcW w:w="6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960" w:type="dxa"/>
            <w:vAlign w:val="bottom"/>
          </w:tcPr>
          <w:p>
            <w:pPr>
              <w:spacing w:after="0"/>
              <w:rPr>
                <w:sz w:val="13"/>
                <w:szCs w:val="13"/>
                <w:color w:val="auto"/>
              </w:rPr>
            </w:pPr>
          </w:p>
        </w:tc>
        <w:tc>
          <w:tcPr>
            <w:tcW w:w="138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Balance</w:t>
            </w:r>
          </w:p>
        </w:tc>
        <w:tc>
          <w:tcPr>
            <w:tcW w:w="240" w:type="dxa"/>
            <w:vAlign w:val="bottom"/>
          </w:tcPr>
          <w:p>
            <w:pPr>
              <w:spacing w:after="0"/>
              <w:rPr>
                <w:sz w:val="13"/>
                <w:szCs w:val="13"/>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3"/>
                <w:szCs w:val="13"/>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3"/>
                <w:szCs w:val="13"/>
                <w:color w:val="auto"/>
              </w:rPr>
            </w:pPr>
          </w:p>
        </w:tc>
        <w:tc>
          <w:tcPr>
            <w:tcW w:w="6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Sheet</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Sheet</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180" w:type="dxa"/>
            <w:vAlign w:val="bottom"/>
          </w:tcPr>
          <w:p>
            <w:pPr>
              <w:spacing w:after="0"/>
              <w:rPr>
                <w:sz w:val="16"/>
                <w:szCs w:val="16"/>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9"/>
        </w:trPr>
        <w:tc>
          <w:tcPr>
            <w:tcW w:w="19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6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544</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1960" w:type="dxa"/>
            <w:vAlign w:val="bottom"/>
          </w:tcPr>
          <w:p>
            <w:pPr>
              <w:ind w:left="40"/>
              <w:spacing w:after="0"/>
              <w:rPr>
                <w:sz w:val="20"/>
                <w:szCs w:val="20"/>
                <w:color w:val="auto"/>
              </w:rPr>
            </w:pPr>
            <w:r>
              <w:rPr>
                <w:rFonts w:ascii="Arial" w:cs="Arial" w:eastAsia="Arial" w:hAnsi="Arial"/>
                <w:sz w:val="14"/>
                <w:szCs w:val="14"/>
                <w:color w:val="auto"/>
              </w:rPr>
              <w:t>Net investment hedges</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7"/>
        </w:trPr>
        <w:tc>
          <w:tcPr>
            <w:tcW w:w="1960" w:type="dxa"/>
            <w:vAlign w:val="bottom"/>
          </w:tcPr>
          <w:p>
            <w:pPr>
              <w:ind w:left="380"/>
              <w:spacing w:after="0" w:line="137" w:lineRule="exact"/>
              <w:rPr>
                <w:sz w:val="20"/>
                <w:szCs w:val="20"/>
                <w:color w:val="auto"/>
              </w:rPr>
            </w:pPr>
            <w:r>
              <w:rPr>
                <w:rFonts w:ascii="Arial" w:cs="Arial" w:eastAsia="Arial" w:hAnsi="Arial"/>
                <w:sz w:val="14"/>
                <w:szCs w:val="14"/>
                <w:color w:val="auto"/>
              </w:rPr>
              <w:t>Foreign currency</w:t>
            </w:r>
          </w:p>
        </w:tc>
        <w:tc>
          <w:tcPr>
            <w:tcW w:w="138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Prepaid expenses</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40"/>
              <w:spacing w:after="0" w:line="137" w:lineRule="exact"/>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Long term</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Long term</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Arial" w:cs="Arial" w:eastAsia="Arial" w:hAnsi="Arial"/>
                <w:sz w:val="14"/>
                <w:szCs w:val="14"/>
                <w:color w:val="auto"/>
              </w:rPr>
              <w:t>denominated debt</w:t>
            </w:r>
          </w:p>
        </w:tc>
        <w:tc>
          <w:tcPr>
            <w:tcW w:w="1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obligations, less</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current maturities</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94,590</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current maturities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100,410</w:t>
            </w: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Total derivatives designated as</w:t>
            </w:r>
          </w:p>
        </w:tc>
        <w:tc>
          <w:tcPr>
            <w:tcW w:w="1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568</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94,590</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100,424</w:t>
            </w:r>
          </w:p>
        </w:tc>
        <w:tc>
          <w:tcPr>
            <w:tcW w:w="0" w:type="dxa"/>
            <w:vAlign w:val="bottom"/>
          </w:tcPr>
          <w:p>
            <w:pPr>
              <w:spacing w:after="0"/>
              <w:rPr>
                <w:sz w:val="1"/>
                <w:szCs w:val="1"/>
                <w:color w:val="auto"/>
              </w:rPr>
            </w:pPr>
          </w:p>
        </w:tc>
      </w:tr>
      <w:tr>
        <w:trPr>
          <w:trHeight w:val="18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hedging instruments</w:t>
            </w:r>
          </w:p>
        </w:tc>
        <w:tc>
          <w:tcPr>
            <w:tcW w:w="1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ind w:left="40"/>
              <w:spacing w:after="0" w:line="147" w:lineRule="exact"/>
              <w:rPr>
                <w:sz w:val="20"/>
                <w:szCs w:val="20"/>
                <w:color w:val="auto"/>
              </w:rPr>
            </w:pPr>
            <w:r>
              <w:rPr>
                <w:rFonts w:ascii="Arial" w:cs="Arial" w:eastAsia="Arial" w:hAnsi="Arial"/>
                <w:sz w:val="14"/>
                <w:szCs w:val="14"/>
                <w:b w:val="1"/>
                <w:bCs w:val="1"/>
                <w:color w:val="auto"/>
                <w:w w:val="96"/>
              </w:rPr>
              <w:t>Derivatives not designated as</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96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exchange</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and other current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37"/>
        </w:trPr>
        <w:tc>
          <w:tcPr>
            <w:tcW w:w="1960" w:type="dxa"/>
            <w:vAlign w:val="bottom"/>
          </w:tcPr>
          <w:p>
            <w:pPr>
              <w:ind w:left="40"/>
              <w:spacing w:after="0" w:line="137" w:lineRule="exact"/>
              <w:rPr>
                <w:sz w:val="20"/>
                <w:szCs w:val="20"/>
                <w:color w:val="auto"/>
              </w:rPr>
            </w:pPr>
            <w:r>
              <w:rPr>
                <w:rFonts w:ascii="Arial" w:cs="Arial" w:eastAsia="Arial" w:hAnsi="Arial"/>
                <w:sz w:val="14"/>
                <w:szCs w:val="14"/>
                <w:color w:val="auto"/>
                <w:w w:val="96"/>
              </w:rPr>
              <w:t>Total derivatives not designated</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86"/>
        </w:trPr>
        <w:tc>
          <w:tcPr>
            <w:tcW w:w="1960" w:type="dxa"/>
            <w:vAlign w:val="bottom"/>
          </w:tcPr>
          <w:p>
            <w:pPr>
              <w:ind w:left="40"/>
              <w:spacing w:after="0"/>
              <w:rPr>
                <w:sz w:val="20"/>
                <w:szCs w:val="20"/>
                <w:color w:val="auto"/>
              </w:rPr>
            </w:pPr>
            <w:r>
              <w:rPr>
                <w:rFonts w:ascii="Arial" w:cs="Arial" w:eastAsia="Arial" w:hAnsi="Arial"/>
                <w:sz w:val="14"/>
                <w:szCs w:val="14"/>
                <w:color w:val="auto"/>
              </w:rPr>
              <w:t>as hedging instruments</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K — Discontinued Operations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entered into an agreement with LTI Flexible Products, Inc. (d/b/a Boyd Corporation) on February 24, 2014, for the sale of the Die-Cut business. The first phase of this divestiture closed on May 1, 2014 and included the Die-Cut businesses in Korea, Thailand and Malaysia, and the Balkhausen business in Europe. The remainder of the Die-Cut business was located in China and it was divested on August 1, 2014. The operating results have been reported as discontinued operations for the three month comparative periods ended October 31, 2014 and 2013.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operating results of discontinued operations for the three months ended October 31, 2014 and 2013: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0"/>
              </w:rPr>
              <w:t>Three months ended October 31,</w:t>
            </w:r>
          </w:p>
        </w:tc>
      </w:tr>
      <w:tr>
        <w:trPr>
          <w:trHeight w:val="33"/>
        </w:trPr>
        <w:tc>
          <w:tcPr>
            <w:tcW w:w="6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6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2013</w:t>
            </w:r>
          </w:p>
        </w:tc>
      </w:tr>
      <w:tr>
        <w:trPr>
          <w:trHeight w:val="33"/>
        </w:trPr>
        <w:tc>
          <w:tcPr>
            <w:tcW w:w="6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65,857</w:t>
            </w:r>
          </w:p>
        </w:tc>
      </w:tr>
      <w:tr>
        <w:trPr>
          <w:trHeight w:val="237"/>
        </w:trPr>
        <w:tc>
          <w:tcPr>
            <w:tcW w:w="6720" w:type="dxa"/>
            <w:vAlign w:val="bottom"/>
          </w:tcPr>
          <w:p>
            <w:pPr>
              <w:ind w:left="40"/>
              <w:spacing w:after="0"/>
              <w:rPr>
                <w:sz w:val="20"/>
                <w:szCs w:val="20"/>
                <w:color w:val="auto"/>
              </w:rPr>
            </w:pPr>
            <w:r>
              <w:rPr>
                <w:rFonts w:ascii="Arial" w:cs="Arial" w:eastAsia="Arial" w:hAnsi="Arial"/>
                <w:sz w:val="16"/>
                <w:szCs w:val="16"/>
                <w:color w:val="auto"/>
              </w:rPr>
              <w:t>(Loss) earnings from operations of discontinued businesses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8,329</w:t>
            </w:r>
          </w:p>
        </w:tc>
      </w:tr>
      <w:tr>
        <w:trPr>
          <w:trHeight w:val="33"/>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(2,535)</w:t>
            </w:r>
          </w:p>
        </w:tc>
      </w:tr>
      <w:tr>
        <w:trPr>
          <w:trHeight w:val="237"/>
        </w:trPr>
        <w:tc>
          <w:tcPr>
            <w:tcW w:w="6720" w:type="dxa"/>
            <w:vAlign w:val="bottom"/>
          </w:tcPr>
          <w:p>
            <w:pPr>
              <w:ind w:left="40"/>
              <w:spacing w:after="0"/>
              <w:rPr>
                <w:sz w:val="20"/>
                <w:szCs w:val="20"/>
                <w:color w:val="auto"/>
              </w:rPr>
            </w:pPr>
            <w:r>
              <w:rPr>
                <w:rFonts w:ascii="Arial" w:cs="Arial" w:eastAsia="Arial" w:hAnsi="Arial"/>
                <w:sz w:val="16"/>
                <w:szCs w:val="16"/>
                <w:color w:val="auto"/>
              </w:rPr>
              <w:t>Loss on sale of discontinued operations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on sale of 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6720" w:type="dxa"/>
            <w:vAlign w:val="bottom"/>
          </w:tcPr>
          <w:p>
            <w:pPr>
              <w:ind w:left="40"/>
              <w:spacing w:after="0"/>
              <w:rPr>
                <w:sz w:val="20"/>
                <w:szCs w:val="20"/>
                <w:color w:val="auto"/>
              </w:rPr>
            </w:pPr>
            <w:r>
              <w:rPr>
                <w:rFonts w:ascii="Arial" w:cs="Arial" w:eastAsia="Arial" w:hAnsi="Arial"/>
                <w:sz w:val="16"/>
                <w:szCs w:val="16"/>
                <w:color w:val="auto"/>
              </w:rPr>
              <w:t>(Loss) earnings from discontinued operations, net of income tax</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5,794</w:t>
            </w:r>
          </w:p>
        </w:tc>
      </w:tr>
      <w:tr>
        <w:trPr>
          <w:trHeight w:val="20"/>
        </w:trPr>
        <w:tc>
          <w:tcPr>
            <w:tcW w:w="6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assets or liabilities held for sale as of October 31, 2014. In accordance with authoritative literature, accumulated other comprehensive income of $34,697 was reclassified to the statement of earnings upon the closing of the second phase of the Die-Cut divestiture during the three months ended October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NOTE L - Notes Payable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July 31, 2014, the Company had an outstanding balance of $42,000 on its revolving loan agreement. During the three months ended October 31, 2014, the Company drew an additional $41,000 in order to fund general corporate needs. As of October 31, 2014, the outstanding balance on the credit facility was $83,000, which was also the maximum amount outstanding during the three months ended October 31, 2014. The Company also had letters of credit outstanding under the loan agreement of $3,500 as of October 31, 2014 and there was $213,500 available for future borrowing, which can be increased to $363,500 at the Company's option, subject to certain conditions. The Company intends to repay the remainder of the borrowing within 12 months of the quarter ended October 31, 2014. As such, the borrowing is classified as "Notes payable" within current liabilities on the condensed consolidated balance sheets.</w:t>
      </w:r>
    </w:p>
    <w:p>
      <w:pPr>
        <w:spacing w:after="0" w:line="13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February 2013, the Company entered into an unsecured $26,200 multi-currency line of credit in China, which was amended in November 2013 to $24,200 and is due on demand. The line of credit supports USD-denominated or CNY-denominated borrowing to fund working capital and operations for the Company's Chinese entities. The Company is not required to comply with any financial covenants as part of this agreement. During the three months ended October 31, 2014, the Company repaid $7,714 of this borrowing and the maximum amount outstanding was $19,422. As of October 31, 2014, the outstanding balance was $11,708 USD equivalent of CNY-denominated borrowings and there was $12,492 available for future borrowing under this credit facility.</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October 31, 2014, borrowings on the revolving loan agreement and China credit facility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1480" w:type="dxa"/>
            <w:vAlign w:val="bottom"/>
            <w:gridSpan w:val="3"/>
          </w:tcPr>
          <w:p>
            <w:pPr>
              <w:ind w:left="100"/>
              <w:spacing w:after="0"/>
              <w:rPr>
                <w:sz w:val="20"/>
                <w:szCs w:val="20"/>
                <w:color w:val="auto"/>
              </w:rPr>
            </w:pPr>
            <w:r>
              <w:rPr>
                <w:rFonts w:ascii="Arial" w:cs="Arial" w:eastAsia="Arial" w:hAnsi="Arial"/>
                <w:sz w:val="16"/>
                <w:szCs w:val="16"/>
                <w:b w:val="1"/>
                <w:bCs w:val="1"/>
                <w:color w:val="auto"/>
              </w:rPr>
              <w:t>October 31, 2014</w:t>
            </w:r>
          </w:p>
        </w:tc>
        <w:tc>
          <w:tcPr>
            <w:tcW w:w="1380" w:type="dxa"/>
            <w:vAlign w:val="bottom"/>
          </w:tcPr>
          <w:p>
            <w:pPr>
              <w:jc w:val="right"/>
              <w:ind w:right="159"/>
              <w:spacing w:after="0"/>
              <w:rPr>
                <w:sz w:val="20"/>
                <w:szCs w:val="20"/>
                <w:color w:val="auto"/>
              </w:rPr>
            </w:pPr>
            <w:r>
              <w:rPr>
                <w:rFonts w:ascii="Arial" w:cs="Arial" w:eastAsia="Arial" w:hAnsi="Arial"/>
                <w:sz w:val="16"/>
                <w:szCs w:val="16"/>
                <w:b w:val="1"/>
                <w:bCs w:val="1"/>
                <w:color w:val="auto"/>
              </w:rPr>
              <w:t>Interest Rate</w:t>
            </w:r>
          </w:p>
        </w:tc>
      </w:tr>
      <w:tr>
        <w:trPr>
          <w:trHeight w:val="33"/>
        </w:trPr>
        <w:tc>
          <w:tcPr>
            <w:tcW w:w="6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USD-denominated borrowing on revolving loan agreement</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83,000</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1.2438%</w:t>
            </w: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CNY-denominated borrowing on China line of credit (USD equivalent)</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11,708</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5.0400%</w:t>
            </w:r>
          </w:p>
        </w:tc>
      </w:tr>
      <w:tr>
        <w:trPr>
          <w:trHeight w:val="33"/>
        </w:trPr>
        <w:tc>
          <w:tcPr>
            <w:tcW w:w="6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payable</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94,708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1.7130%</w:t>
            </w:r>
          </w:p>
        </w:tc>
      </w:tr>
      <w:tr>
        <w:trPr>
          <w:trHeight w:val="20"/>
        </w:trPr>
        <w:tc>
          <w:tcPr>
            <w:tcW w:w="6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July 31, 2014, borrowings on the revolving loan agreement and China line of credit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July 31, 2014</w:t>
            </w:r>
          </w:p>
        </w:tc>
        <w:tc>
          <w:tcPr>
            <w:tcW w:w="1380" w:type="dxa"/>
            <w:vAlign w:val="bottom"/>
          </w:tcPr>
          <w:p>
            <w:pPr>
              <w:jc w:val="right"/>
              <w:ind w:right="159"/>
              <w:spacing w:after="0"/>
              <w:rPr>
                <w:sz w:val="20"/>
                <w:szCs w:val="20"/>
                <w:color w:val="auto"/>
              </w:rPr>
            </w:pPr>
            <w:r>
              <w:rPr>
                <w:rFonts w:ascii="Arial" w:cs="Arial" w:eastAsia="Arial" w:hAnsi="Arial"/>
                <w:sz w:val="16"/>
                <w:szCs w:val="16"/>
                <w:b w:val="1"/>
                <w:bCs w:val="1"/>
                <w:color w:val="auto"/>
              </w:rPr>
              <w:t>Interest Rate</w:t>
            </w:r>
          </w:p>
        </w:tc>
      </w:tr>
      <w:tr>
        <w:trPr>
          <w:trHeight w:val="33"/>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USD-denominated borrowing on revolving loan agreement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42,000</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1.2472%</w:t>
            </w: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USD-denominated borrowing on China line of credit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6,923</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1.3548%</w:t>
            </w:r>
          </w:p>
        </w:tc>
      </w:tr>
      <w:tr>
        <w:trPr>
          <w:trHeight w:val="33"/>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CNY-denominated borrowing on China line of credit (USD equivalent)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12,499</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5.0400%</w:t>
            </w:r>
          </w:p>
        </w:tc>
      </w:tr>
      <w:tr>
        <w:trPr>
          <w:trHeight w:val="244"/>
        </w:trPr>
        <w:tc>
          <w:tcPr>
            <w:tcW w:w="6360" w:type="dxa"/>
            <w:vAlign w:val="bottom"/>
          </w:tcPr>
          <w:p>
            <w:pPr>
              <w:ind w:left="40"/>
              <w:spacing w:after="0"/>
              <w:rPr>
                <w:sz w:val="20"/>
                <w:szCs w:val="20"/>
                <w:color w:val="auto"/>
              </w:rPr>
            </w:pPr>
            <w:r>
              <w:rPr>
                <w:rFonts w:ascii="Arial" w:cs="Arial" w:eastAsia="Arial" w:hAnsi="Arial"/>
                <w:sz w:val="16"/>
                <w:szCs w:val="16"/>
                <w:color w:val="auto"/>
              </w:rPr>
              <w:t>Notes payable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61,422</w:t>
            </w:r>
          </w:p>
        </w:tc>
        <w:tc>
          <w:tcPr>
            <w:tcW w:w="10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2.0311%</w:t>
            </w: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M — New Accounting Pronouncements</w:t>
      </w:r>
    </w:p>
    <w:p>
      <w:pPr>
        <w:spacing w:after="0" w:line="333"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In August 2014, the Financial Accounting Standards Board ("FASB") issued new guidance on the required disclosures related to an entity’s ability to continue as a going concern. The guidance requires management to evaluate, at each interim and annual reporting period, whether there are conditions or events that raise substantial doubt about the entity’s ability to continue as a going concern within one year after the date the financial statements are issued, and provide related disclosures. This guidance is effective for annual periods ending after December 15, 2016, and for each annual and interim period thereafter with early adoption permitted. The Company does not believe the adoption of this guidance will have a material impact on the condensed consolidated financial statements.In June 2014, the FASB issued new guidance on certain share-based payment awards, which clarifies the treatment of performance targets that can be met after the requisite service period of a share-based payment award. Under the new guidance, an entity should treat the performance targets that can be met after the requisite period of service as performance conditions that affect vesting. This guidance is effective for interim and annual periods beginning after December 15, 2015 with early adoption permitted. The Company plans to adopt this new guidance effective January 1, 2016. The Company does not believe the adoption of this guidance will have a material impact on the condensed consolidated financial statements.</w:t>
      </w:r>
    </w:p>
    <w:p>
      <w:pPr>
        <w:spacing w:after="0" w:line="27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May 2014, the FASB issued ASU 2014-09, "Revenue from Contracts with Customers ", which eliminates the transaction-and industry-specific revenue recognition guidance under current GAAP and replaces it with a principle-based approach for determining revenue recognition. The accounting standard update requires revenue recognition when control of the goods or services transfers to the customer, replacing the existing guidance which requires revenue recognition when the risks and rewards transfer to the customer. Under the new guidance, companies should recognize revenues in amounts that reflect the payment to which a company expects to be entitled in exchange for those goods or services. The guidance is effective for fiscal and interim periods beginning after December 15, 2016. The Company is currently evaluating the impact of this update on its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April 2014, the FASB issued ASU 2014-08, "Reporting Discontinued Operations and Disclosures of Disposals of Components of an Entity", which includes amendments that change the requirements for reporting discontinued operations and requires additional disclosures about discontinued operations. Under the new guidance, only disposals representing a strategic shift in operations should be presented as discontinued operations. Those strategic shifts should have a major effect on the organization’s operations and financial results. Additionally, ASU 2014-08 requires expanded disclosures about discontinued operations that will provide financial statement users with more information about the assets, liabilities, income, expenses and cash flows of discontinued operations. The guidance is effective for fiscal and interim periods beginning after December 15, 2014. The adoption of this update is not expected to have a material impact on the financial statements of the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NOTE N — Subsequent Events</w:t>
      </w:r>
    </w:p>
    <w:p>
      <w:pPr>
        <w:spacing w:after="0" w:line="25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November 19, 2014, the Board of Directors declared a quarterly cash dividend to shareholders of the Company’s Class A and Class B Common Stock of $0.20 per share payable on January 30, 2015, to shareholders of record at the close of business on January 9,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40"/>
        <w:spacing w:after="0" w:line="371" w:lineRule="auto"/>
        <w:rPr>
          <w:sz w:val="20"/>
          <w:szCs w:val="20"/>
          <w:color w:val="auto"/>
        </w:rPr>
      </w:pPr>
      <w:r>
        <w:rPr>
          <w:rFonts w:ascii="Arial" w:cs="Arial" w:eastAsia="Arial" w:hAnsi="Arial"/>
          <w:sz w:val="18"/>
          <w:szCs w:val="18"/>
          <w:color w:val="auto"/>
        </w:rPr>
        <w:t xml:space="preserve">ITEM 2. MANAGEMENT’S DISCUSSION AND ANALYSIS OF RESULTS OF OPERATIONS AND FINANCIAL CONDITION </w:t>
      </w:r>
      <w:r>
        <w:rPr>
          <w:rFonts w:ascii="Arial" w:cs="Arial" w:eastAsia="Arial" w:hAnsi="Arial"/>
          <w:sz w:val="18"/>
          <w:szCs w:val="18"/>
          <w:u w:val="single" w:color="auto"/>
          <w:color w:val="auto"/>
        </w:rPr>
        <w:t>Overview</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Brady Corporation is a global manufacturer and supplier of identification solutions, specialty materials, and workplace safety products that identify 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leader in many of its markets.</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Over the last two years, the Company made significant portfolio and management decisions designed to better position the Company for growth in the future. These changes were a meaningful shift from the more volatile and less profitable consumer electronics Die-Cut business, which was partially divested in fiscal 2014 and completed in the first quarter of fiscal 2015, to an expansion of our core Identification Solutions (“ID Solutions" or "IDS”) business to focus on markets with long-term growth trends. In our Workplace Safety ("WPS") business, our strategy to return to growth included a focus on workplace safety critical industries in addition to increased investment in e-commerce expertise.</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Part I, Item 1, "Business," of the Company’s fiscal 2014 Form 10-K for additional information regarding fiscal 2014 activities impacting the business.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these changes in place, the Company is targeting the following key initiatives in fiscal 2015:</w:t>
      </w:r>
    </w:p>
    <w:p>
      <w:pPr>
        <w:spacing w:after="0" w:line="225" w:lineRule="exact"/>
        <w:rPr>
          <w:sz w:val="20"/>
          <w:szCs w:val="20"/>
          <w:color w:val="auto"/>
        </w:rPr>
      </w:pPr>
    </w:p>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Completing the consolidation of selected manufacturing facilities in the Americas and Europe to reduce the Company's cost structure and build a more efficient global footprint.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Driving operational excellence and providing the Company's customers with innovative products and the highest level of customer service.</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Investing in R&amp;D to identify emerging technology opportunities that align with the Company's target markets and enhancing our innovation development process.</w:t>
      </w: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Growing the Company's business primarily through focused sales and marketing efforts in selected vertical markets and an increased focus on strategic accounts.</w:t>
      </w: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Expanding the direct-marketing model in the WPS business by increasing its offering of identification and workplace safety products with a heightened focus on proprietary and customized product offerings and an increased emphasis on e-commerce.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comparison of results of Operating Income for the three months ended October 31, 2014 and 2013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7"/>
          </w:tcPr>
          <w:p>
            <w:pPr>
              <w:jc w:val="center"/>
              <w:ind w:right="260"/>
              <w:spacing w:after="0"/>
              <w:rPr>
                <w:sz w:val="20"/>
                <w:szCs w:val="20"/>
                <w:color w:val="auto"/>
              </w:rPr>
            </w:pPr>
            <w:r>
              <w:rPr>
                <w:rFonts w:ascii="Arial" w:cs="Arial" w:eastAsia="Arial" w:hAnsi="Arial"/>
                <w:sz w:val="16"/>
                <w:szCs w:val="16"/>
                <w:b w:val="1"/>
                <w:bCs w:val="1"/>
                <w:color w:val="auto"/>
                <w:w w:val="91"/>
              </w:rPr>
              <w:t>Three months ended October 31,</w:t>
            </w:r>
          </w:p>
        </w:tc>
        <w:tc>
          <w:tcPr>
            <w:tcW w:w="90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92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Arial" w:cs="Arial" w:eastAsia="Arial" w:hAnsi="Arial"/>
                <w:sz w:val="16"/>
                <w:szCs w:val="16"/>
                <w:b w:val="1"/>
                <w:bCs w:val="1"/>
                <w:color w:val="auto"/>
              </w:rPr>
              <w:t>% Sales</w:t>
            </w: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 Change</w:t>
            </w:r>
          </w:p>
        </w:tc>
        <w:tc>
          <w:tcPr>
            <w:tcW w:w="24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 Sales</w:t>
            </w:r>
          </w:p>
        </w:tc>
      </w:tr>
      <w:tr>
        <w:trPr>
          <w:trHeight w:val="33"/>
        </w:trPr>
        <w:tc>
          <w:tcPr>
            <w:tcW w:w="3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310,240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307,530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150,161</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157,847</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51.3%</w:t>
            </w:r>
          </w:p>
        </w:tc>
      </w:tr>
      <w:tr>
        <w:trPr>
          <w:trHeight w:val="33"/>
        </w:trPr>
        <w:tc>
          <w:tcPr>
            <w:tcW w:w="3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392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9,631</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8,587</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3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109,279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112,733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w:t>
            </w:r>
          </w:p>
        </w:tc>
      </w:tr>
      <w:tr>
        <w:trPr>
          <w:trHeight w:val="237"/>
        </w:trPr>
        <w:tc>
          <w:tcPr>
            <w:tcW w:w="3920" w:type="dxa"/>
            <w:vAlign w:val="bottom"/>
          </w:tcPr>
          <w:p>
            <w:pPr>
              <w:ind w:left="280"/>
              <w:spacing w:after="0"/>
              <w:rPr>
                <w:sz w:val="20"/>
                <w:szCs w:val="20"/>
                <w:color w:val="auto"/>
              </w:rPr>
            </w:pPr>
            <w:r>
              <w:rPr>
                <w:rFonts w:ascii="Arial" w:cs="Arial" w:eastAsia="Arial" w:hAnsi="Arial"/>
                <w:sz w:val="16"/>
                <w:szCs w:val="16"/>
                <w:color w:val="auto"/>
              </w:rPr>
              <w:t>Restructuring charges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4,278</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6,840</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3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123,188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128,160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w:t>
            </w:r>
          </w:p>
        </w:tc>
      </w:tr>
      <w:tr>
        <w:trPr>
          <w:trHeight w:val="217"/>
        </w:trPr>
        <w:tc>
          <w:tcPr>
            <w:tcW w:w="392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26,973</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29,687</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33"/>
        </w:trPr>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3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Sales for the three months ended October 31, 2014 increased 0.9% to $310.2 million, compared to $307.5 million in the same period of the prior year. The increase in sales was a result of organic sales growth of 2.4% and a negative currency impact of 1.5%. The organic sales improvement was a result of organic sales growth of 2.4% in both the IDS segment and the WPS segment.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Gross margin as a percentage of sales decreased to 48.4% for the three months ended October 31, 2014, from 51.3% in the same period of the prior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decline in gross margin was primarily due to increased costs related to facility consolidation activities and to a lesser extent, sales mix.</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(“R&amp;D”) for the three months ended October 31, 2014 increased 12.2% to $9.6 million, compared to $8.6 million in the same period of the prior year. The increase in R&amp;D expenses was attributable to the increased costs within the IDS segment associated with our initiative to enhance the innovation development process and invest in emerging technologies such as RFID and sensing technology for harsh environments and mobile applications that allow users to work with a variety of electronic devices.</w:t>
      </w:r>
    </w:p>
    <w:p>
      <w:pPr>
        <w:spacing w:after="0" w:line="18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Selling, general and administrative expenses (“SG&amp;A”) decreased 3.1% to $109.3 million for the three months ended October 31, 2014, compared to $112.7 million in the same period of the prior year. This decline was primarily driven by a reduction in administrative expenses and reduced amortization expense, which was partially offset by an increase in selling expenses. The increase in selling expenses was due to the increased investment in our salesforce within the IDS segment and increased spend in both on-line advertising as well as traditional print advertising within the WPS segment.</w:t>
      </w:r>
    </w:p>
    <w:p>
      <w:pPr>
        <w:spacing w:after="0" w:line="1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fiscal 2014, the Company announced a restructuring plan to consolidate facilities in the Americas, Europe and Asia. The Company implemented this restructuring plan to enhance customer service, improve efficiency of operations and reduce operating expenses. Facility consolidation activities have extended into fiscal 2015 and are expected to be complete by the end of the fiscal year. The Company expects to incur restructuring charges of approximately $15 million associated with these activities in fiscal 2015.</w:t>
      </w:r>
    </w:p>
    <w:p>
      <w:pPr>
        <w:spacing w:after="0" w:line="21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incurred restructuring charges of $4.3 million during the three months ended October 31, 2014, which consisted primarily of employee separation costs and facility closure costs. Of the $4.3 million of restructuring charges recorded during the quarter, $2.4 million was incurred within IDS and $1.9 million was incurred within WPS. Restructuring charges for the three months ended October 31, 2013 were $6.8 million and consisted primarily of employee separation costs. Approximately $4.0 million and $2.8 million were incurred in the IDS and WPS segments, respectively.</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income was $27.0 million during the three months ended October 31, 2014. Excluding restructuring charges of $4.3 million, operating income was $31.3 million. Operating income was $29.7 million for the three months ended October 31, 2013. Excluding restructuring charges of $6.8 million, operating income was $36.5 million. The decrease of $5.2 million was mainly due to the segment profit declines in both the IDS and WPS segments, which are discussed in further detail within the Business Segment Operating Results section.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EARNINGS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7"/>
          </w:tcPr>
          <w:p>
            <w:pPr>
              <w:ind w:left="800"/>
              <w:spacing w:after="0"/>
              <w:rPr>
                <w:sz w:val="20"/>
                <w:szCs w:val="20"/>
                <w:color w:val="auto"/>
              </w:rPr>
            </w:pPr>
            <w:r>
              <w:rPr>
                <w:rFonts w:ascii="Arial" w:cs="Arial" w:eastAsia="Arial" w:hAnsi="Arial"/>
                <w:sz w:val="16"/>
                <w:szCs w:val="16"/>
                <w:b w:val="1"/>
                <w:bCs w:val="1"/>
                <w:color w:val="auto"/>
                <w:w w:val="95"/>
              </w:rPr>
              <w:t>Three months ended October 31,</w:t>
            </w:r>
          </w:p>
        </w:tc>
        <w:tc>
          <w:tcPr>
            <w:tcW w:w="900" w:type="dxa"/>
            <w:vAlign w:val="bottom"/>
          </w:tcPr>
          <w:p>
            <w:pPr>
              <w:spacing w:after="0"/>
              <w:rPr>
                <w:sz w:val="18"/>
                <w:szCs w:val="18"/>
                <w:color w:val="auto"/>
              </w:rPr>
            </w:pPr>
          </w:p>
        </w:tc>
      </w:tr>
      <w:tr>
        <w:trPr>
          <w:trHeight w:val="33"/>
        </w:trPr>
        <w:tc>
          <w:tcPr>
            <w:tcW w:w="4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Arial" w:cs="Arial" w:eastAsia="Arial" w:hAnsi="Arial"/>
                <w:sz w:val="16"/>
                <w:szCs w:val="16"/>
                <w:b w:val="1"/>
                <w:bCs w:val="1"/>
                <w:color w:val="auto"/>
              </w:rPr>
              <w:t>% Sales</w:t>
            </w:r>
          </w:p>
        </w:tc>
        <w:tc>
          <w:tcPr>
            <w:tcW w:w="240" w:type="dxa"/>
            <w:vAlign w:val="bottom"/>
          </w:tcPr>
          <w:p>
            <w:pPr>
              <w:spacing w:after="0"/>
              <w:rPr>
                <w:sz w:val="20"/>
                <w:szCs w:val="20"/>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 Sales</w:t>
            </w: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26,973</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29,687</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Other income and (expense):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Investment and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37"/>
        </w:trPr>
        <w:tc>
          <w:tcPr>
            <w:tcW w:w="486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(2,891)</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(3,720)</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24,405</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26,729</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8.7 %</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8,906</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8,595</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15,499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18,134</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5.9 %</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(Loss) earnings from discontinued operations, net of income taxes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(1,915)</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5,794</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23,928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7.8 %</w:t>
            </w: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Investment and other income decreased to $0.3 million for the three months ended October 31, 2014, from $0.8 million for the same period in the prior year. For the three-month period, the decrease was primarily due to the decline in market value of securities held in executive deferred compensation plans.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decreased to $2.9 million for the three months ended October 31, 2014, from $3.7 million for the same period in the prior year. This decrease was due to the Company’s declining principal balance under its outstanding long-term debt agreements and a reduction in the weighted average interest rate on the outstanding debt.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effective tax rate on continuing operations was 36.5% for the three months ended October 31, 2014, compared to 32.2% for the three months ended October 31, 2013. The tax rate for the quarter ended October 31, 2014 was higher than the rate for the quarter ended October 31, 2013 due to certain adjustments in the quarter, as well as the lapsing of certain U.S. tax legislation. The tax rate is anticipated to be in the mid-to-upper 20% range for fiscal year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Discontinued operations include the Asia Die-Cut and Balkhausen Die-Cut business ("Die-Cut"), of which a portion was divested in the fourth quarter of fiscal 2014 and the remainder was divested in the first quarter of fiscal 2015. The closing on the second and final phase was completed on August 1, 2014. The loss from discontinued operations net of income taxes was $1.9 million for the three months ended October 31, 2014, compared to earnings from discontinued operations net of income taxes of $5.8 million for the same period in the prior year. The loss in the quarter ended October 31, 2014 consisted of a loss on operations of $1.5 million primarily related to professional fees associated with the divestiture and a $0.4 million loss on the sale of Die-Cut. Refer to Note K, "Discontinued Operations" for further discussion regarding discontinued operations.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Asia Die-Cut business was first reported as held for sale in the quarter ended April 30, 2013, and the Balkhausen Die-Cut business was first reported as held for sale in the quarter ended July 31, 2013, at which point the fixed assets and intangible assets of these businesses were no longer depreciated or amortized in accordance with applicable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organized and managed on a global basis within two business platforms: IDS and WPS, which are the reportable segments. Each business platform has a President that reports directly to the Company's chief operating decision maker, its Chief Executive Officer. Each platform has its own distinct operations, is managed locally by its own management team, maintains its own financial reports and is evaluated based on global segment profit. The Company has determined that these business platforms comprise its operating and reportable segments based on the information used by the Chief Executive Officer to allocate resources and assess performance.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months ended October 31, 2014 and 2013: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2"/>
              </w:rPr>
              <w:t>Three months ended October 31,</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20"/>
                <w:szCs w:val="20"/>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TO EXTERNAL CUSTOMERS</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212,097</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209,546</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98,143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97,984</w:t>
            </w:r>
          </w:p>
        </w:tc>
        <w:tc>
          <w:tcPr>
            <w:tcW w:w="0" w:type="dxa"/>
            <w:vAlign w:val="bottom"/>
          </w:tcPr>
          <w:p>
            <w:pPr>
              <w:spacing w:after="0"/>
              <w:rPr>
                <w:sz w:val="1"/>
                <w:szCs w:val="1"/>
                <w:color w:val="auto"/>
              </w:rPr>
            </w:pPr>
          </w:p>
        </w:tc>
      </w:tr>
      <w:tr>
        <w:trPr>
          <w:trHeight w:val="217"/>
        </w:trPr>
        <w:tc>
          <w:tcPr>
            <w:tcW w:w="6540" w:type="dxa"/>
            <w:vAlign w:val="bottom"/>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310,240</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307,530</w:t>
            </w:r>
          </w:p>
        </w:tc>
        <w:tc>
          <w:tcPr>
            <w:tcW w:w="0" w:type="dxa"/>
            <w:vAlign w:val="bottom"/>
          </w:tcPr>
          <w:p>
            <w:pPr>
              <w:spacing w:after="0"/>
              <w:rPr>
                <w:sz w:val="1"/>
                <w:szCs w:val="1"/>
                <w:color w:val="auto"/>
              </w:rPr>
            </w:pPr>
          </w:p>
        </w:tc>
      </w:tr>
      <w:tr>
        <w:trPr>
          <w:trHeight w:val="73"/>
        </w:trPr>
        <w:tc>
          <w:tcPr>
            <w:tcW w:w="65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5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SALES GROWTH INFORMATION</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65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ID Solutions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26.0 %</w:t>
            </w:r>
          </w:p>
        </w:tc>
        <w:tc>
          <w:tcPr>
            <w:tcW w:w="0" w:type="dxa"/>
            <w:vAlign w:val="bottom"/>
          </w:tcPr>
          <w:p>
            <w:pPr>
              <w:spacing w:after="0"/>
              <w:rPr>
                <w:sz w:val="1"/>
                <w:szCs w:val="1"/>
                <w:color w:val="auto"/>
              </w:rPr>
            </w:pPr>
          </w:p>
        </w:tc>
      </w:tr>
      <w:tr>
        <w:trPr>
          <w:trHeight w:val="217"/>
        </w:trPr>
        <w:tc>
          <w:tcPr>
            <w:tcW w:w="6540" w:type="dxa"/>
            <w:vAlign w:val="bottom"/>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29.0 %</w:t>
            </w:r>
          </w:p>
        </w:tc>
        <w:tc>
          <w:tcPr>
            <w:tcW w:w="0" w:type="dxa"/>
            <w:vAlign w:val="bottom"/>
          </w:tcPr>
          <w:p>
            <w:pPr>
              <w:spacing w:after="0"/>
              <w:rPr>
                <w:sz w:val="1"/>
                <w:szCs w:val="1"/>
                <w:color w:val="auto"/>
              </w:rPr>
            </w:pPr>
          </w:p>
        </w:tc>
      </w:tr>
      <w:tr>
        <w:trPr>
          <w:trHeight w:val="73"/>
        </w:trPr>
        <w:tc>
          <w:tcPr>
            <w:tcW w:w="65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5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i w:val="1"/>
                <w:iCs w:val="1"/>
                <w:color w:val="auto"/>
              </w:rPr>
              <w:t>Workplace Safety</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Organic</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Currency</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Acquisitions</w:t>
            </w:r>
          </w:p>
        </w:tc>
        <w:tc>
          <w:tcPr>
            <w:tcW w:w="18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Currency</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0" w:type="dxa"/>
            <w:vAlign w:val="bottom"/>
          </w:tcPr>
          <w:p>
            <w:pPr>
              <w:spacing w:after="0"/>
              <w:rPr>
                <w:sz w:val="1"/>
                <w:szCs w:val="1"/>
                <w:color w:val="auto"/>
              </w:rPr>
            </w:pPr>
          </w:p>
        </w:tc>
      </w:tr>
      <w:tr>
        <w:trPr>
          <w:trHeight w:val="217"/>
        </w:trPr>
        <w:tc>
          <w:tcPr>
            <w:tcW w:w="6540" w:type="dxa"/>
            <w:vAlign w:val="bottom"/>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r>
        <w:trPr>
          <w:trHeight w:val="73"/>
        </w:trPr>
        <w:tc>
          <w:tcPr>
            <w:tcW w:w="65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5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SEGMENT PROFIT</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43,467</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50,967</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15,539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18,374</w:t>
            </w:r>
          </w:p>
        </w:tc>
        <w:tc>
          <w:tcPr>
            <w:tcW w:w="0" w:type="dxa"/>
            <w:vAlign w:val="bottom"/>
          </w:tcPr>
          <w:p>
            <w:pPr>
              <w:spacing w:after="0"/>
              <w:rPr>
                <w:sz w:val="1"/>
                <w:szCs w:val="1"/>
                <w:color w:val="auto"/>
              </w:rPr>
            </w:pPr>
          </w:p>
        </w:tc>
      </w:tr>
      <w:tr>
        <w:trPr>
          <w:trHeight w:val="217"/>
        </w:trPr>
        <w:tc>
          <w:tcPr>
            <w:tcW w:w="6540" w:type="dxa"/>
            <w:vAlign w:val="bottom"/>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59,006</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69,341</w:t>
            </w:r>
          </w:p>
        </w:tc>
        <w:tc>
          <w:tcPr>
            <w:tcW w:w="0" w:type="dxa"/>
            <w:vAlign w:val="bottom"/>
          </w:tcPr>
          <w:p>
            <w:pPr>
              <w:spacing w:after="0"/>
              <w:rPr>
                <w:sz w:val="1"/>
                <w:szCs w:val="1"/>
                <w:color w:val="auto"/>
              </w:rPr>
            </w:pPr>
          </w:p>
        </w:tc>
      </w:tr>
      <w:tr>
        <w:trPr>
          <w:trHeight w:val="73"/>
        </w:trPr>
        <w:tc>
          <w:tcPr>
            <w:tcW w:w="65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5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SEGMENT PROFIT AS A PERCENT OF SALES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5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24.3 %</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18.8 %</w:t>
            </w:r>
          </w:p>
        </w:tc>
        <w:tc>
          <w:tcPr>
            <w:tcW w:w="0" w:type="dxa"/>
            <w:vAlign w:val="bottom"/>
          </w:tcPr>
          <w:p>
            <w:pPr>
              <w:spacing w:after="0"/>
              <w:rPr>
                <w:sz w:val="1"/>
                <w:szCs w:val="1"/>
                <w:color w:val="auto"/>
              </w:rPr>
            </w:pPr>
          </w:p>
        </w:tc>
      </w:tr>
      <w:tr>
        <w:trPr>
          <w:trHeight w:val="217"/>
        </w:trPr>
        <w:tc>
          <w:tcPr>
            <w:tcW w:w="6540" w:type="dxa"/>
            <w:vAlign w:val="bottom"/>
          </w:tcPr>
          <w:p>
            <w:pPr>
              <w:ind w:left="3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19.0 %</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22.5 %</w:t>
            </w:r>
          </w:p>
        </w:tc>
        <w:tc>
          <w:tcPr>
            <w:tcW w:w="0" w:type="dxa"/>
            <w:vAlign w:val="bottom"/>
          </w:tcPr>
          <w:p>
            <w:pPr>
              <w:spacing w:after="0"/>
              <w:rPr>
                <w:sz w:val="1"/>
                <w:szCs w:val="1"/>
                <w:color w:val="auto"/>
              </w:rPr>
            </w:pP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is a reconciliation of segment profit to earnings from continuing operations before income taxes for the three months ended October 31, 2014 and 2013:</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2"/>
              </w:rPr>
              <w:t>Three months ended October 31,</w:t>
            </w: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2013</w:t>
            </w:r>
          </w:p>
        </w:tc>
      </w:tr>
      <w:tr>
        <w:trPr>
          <w:trHeight w:val="33"/>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59,006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69,341</w:t>
            </w:r>
          </w:p>
        </w:tc>
      </w:tr>
      <w:tr>
        <w:trPr>
          <w:trHeight w:val="224"/>
        </w:trPr>
        <w:tc>
          <w:tcPr>
            <w:tcW w:w="654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6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(32,814)</w:t>
            </w: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(6,840)</w:t>
            </w: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and other income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w:t>
            </w: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(3,720)</w:t>
            </w:r>
          </w:p>
        </w:tc>
      </w:tr>
      <w:tr>
        <w:trPr>
          <w:trHeight w:val="33"/>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26,729</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Approximately 70% of net sales in the IDS segment were generated in the Americas region, 20% in Europe and 10% in APAC. IDS sales increased 1.2% to $212.1 million for the three months ended October 31, 2014, compared to $209.5 million for the same period in the prior year. Organic sales increased 2.4% and currency fluctuations decreased sales by 1.2%.</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the Americas grew in the low-single digits for the three months ended October 31, 2014, as compared to the same period in the prior year. This growth was driven by increased focus on key customers and certain industries, such as chemical, oil, and gas; food and beverage; healthcare; and others. In addition, we continue to focus on the development of proprietary new products in the core Brady brand business in the United States, which experienced mid-single digit growth in the current quarter as compared to the same period in the prior year. This growth was partially offset by an organic sales decline in Brazil due to economic challenges.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IDS business in Europe continued the trend from fiscal 2014 with mid-single-digit organic sales growth for the three months ended October 31, 2014, as compared to the same period in the prior year. Growth continued to be driven by our businesses in the established Western European economies as well as Central Europe where we have increased our salesforce and expanded in focused geographies.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Organic sales within the IDS business in APAC had high-single digit growth for the three months ended October 31, 2014, as compared to the same period in the prior year. We have expanded in China and have experienced success in delivering high-quality labeling products to our OEM customer base, while also expanding our MRO business.</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Segment profit decreased 14.7% to $43.5 million for the three months ended October 31, 2014, compared to $51.0 million in the same period of the prior year. As a percentage of sales, segment profit decreased to 20.5% for the three months ended October 31, 2014, compared to 24.3% in the same period of the prior year. This decrease was mainly driven by the increased costs associated with facility consolidation activities, including increased supplies, outsourcing costs, additional labor, and moving costs. The increased investment in R&amp;D and sales mix also contributed to the decline in segment profit.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WPS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Approximately 50% of net sales in the WPS segment were generated in Europe, 35% in the Americas and 15% in Australia. WPS sales increased 0.2% to $98.1 million from $98.0 million for the three months ended October 31, 2014 and 2013, respectively. Organic sales increased 2.4% in the first quarter of fiscal 2015, compared to a decline of 10.0% in the first quarter of fiscal 2014. Currency fluctuations decreased sales by 2.2% for the three months ended October 31, 2014.</w:t>
      </w:r>
    </w:p>
    <w:p>
      <w:pPr>
        <w:spacing w:after="0" w:line="18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WPS business in Europe realized mid-single digit organic sales growth for the three months ended October 31, 2014, compared to the same period in the prior year. This growth was driven primarily in the UK, Germany, and France due to an increase in new customers, order volumes, and growth initiatives.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Organic sales in the Americas improved slightly for the three months ended October 31, 2014, compared to the same period in the prior year. We continue to focus on and invest in e-commerce, which is the primary driver of the growth in WPS Americas.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WPS sales in Australia experienced a low-single digit decline for the three months ended October 31, 2014, as compared to the same period of the prior year. This was an improvement over the double-digit percentage declines in the first half of fiscal 2014 and the mid-single digit declines in the second half of fiscal 2014. While the Company’s Australian business is focused within many diverse industries, it has a higher concentration in industries that are experiencing economic challenges which include manufacturing, non-residential construction, and most importantly, mining.</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has continued to see organic sales improvement consecutively each quarter in the WPS segment since we refined our business strategy to focus on and invest in the following: expanding our e-commerce presence, increasing the offering of workplace safety products, enhancing our industry expertise, and further developing our pricing capabilities in order to optimize sales across multiple channels. Sales over the Internet continue to improve and the WPS segment experienced growth in e-commerce sales in every region for the three months ended October 31, 2014, as compared to October 31, 2013.</w:t>
      </w:r>
    </w:p>
    <w:p>
      <w:pPr>
        <w:spacing w:after="0" w:line="15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Segment profit decreased to $15.5 million for the three months ended October 31, 2014, compared to $18.4 million in the same period of the prior year. As a percentage of sales, segment profit decreased to 15.8% for the three months ended October 31, 2014, compared to 18.8% in the same period of the prior year. The segment profit decline was due to facility consolidation expenses, increased spend in both on-line advertising as well as traditional print advertising, and investments in e-commerce capabilities.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Cash and cash equivalents increased by $34.6 million and decreased by $9.2 million during the three months ended October 31, 2014 and 2013, respectively. The significant changes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2"/>
              </w:rPr>
              <w:t>Three months ended October 31,</w:t>
            </w: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20"/>
                <w:szCs w:val="20"/>
                <w:color w:val="auto"/>
              </w:rPr>
            </w:pP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2013</w:t>
            </w:r>
          </w:p>
        </w:tc>
      </w:tr>
      <w:tr>
        <w:trPr>
          <w:trHeight w:val="33"/>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6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18,604</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25,593</w:t>
            </w: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(9,156)</w:t>
            </w:r>
          </w:p>
        </w:tc>
      </w:tr>
      <w:tr>
        <w:trPr>
          <w:trHeight w:val="237"/>
        </w:trPr>
        <w:tc>
          <w:tcPr>
            <w:tcW w:w="654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21,890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(29,659)</w:t>
            </w:r>
          </w:p>
        </w:tc>
      </w:tr>
      <w:tr>
        <w:trPr>
          <w:trHeight w:val="3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4,033</w:t>
            </w:r>
          </w:p>
        </w:tc>
      </w:tr>
      <w:tr>
        <w:trPr>
          <w:trHeight w:val="217"/>
        </w:trPr>
        <w:tc>
          <w:tcPr>
            <w:tcW w:w="654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34,640</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(9,189)</w:t>
            </w:r>
          </w:p>
        </w:tc>
      </w:tr>
      <w:tr>
        <w:trPr>
          <w:trHeight w:val="33"/>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operating activities was $18.6 million for the three months ended October 31, 2014, compared to $25.6 million in the same period of the prior year. The decrease in cash provided by operating activities of $7.0 million was due primarily to the decline in net earnings from discontinued operations of $7.7 million. During the three months ended October 31, 2014, cash used for working capital was $9.0 million, mainly due to the increased inventory levels to maintain service levels as facilities are consolidated.</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used in investing activities was $2.1 million for the three months ended October 31, 2014, compared to $9.2 million used in the same period of the prior year. The decrease in cash used in investing activities was due to the $8.8 million of cash received from the Die-Cut divestiture during the three months ended October 31, 2014, which consisted of $7.4 million in proceeds from the sale of the second phase of the divestiture and $1.4 million of a working capital adjustment related to the sale of the first phase. This was partially offset by an increase in capital expenditures due to increased investments in digital technology and equipment in China.</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was $21.9 million during the three months ended October 31, 2014, compared to net cash used in financing activities of $29.7 million in the same period of the prior year. The increase in cash provided by financing activities was primarily due to $41.0 million in borrowings on the revolving loan agreement during the three months ended October 31, 2014, compared to $24.0 million of repayments on the revolving loan agreement in the same period of the prior year.</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fiscal 2006 and 2007, the Company completed two private placement note issuances totaling $350 million in ten-year fixed rate notes with varying maturity dates to institutional investors at interest rates varying from 5.30% to 5.33%. The notes must be repaid equally over seven years, with final payments due in 2016 and 2017, with interest payable on the notes due semiannually on various dates throughout the year. The notes have certain prepayment penalties for repaying them prior to the maturity date.</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13, 2010, the Company completed a private placement of €75 million aggregate principal amount of senior unsecured notes to accredited institutional investors. The €75 million of senior notes consists of €30 million aggregate principal amount of 3.71% Series 2010-A Senior Notes, due May 13, 2017 and €45 million aggregate principal amount of 4.24% Series 2010-A Senior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Notes, due May 13, 2020, with interest payable on the notes semiannually. The notes have certain prepayment penalties for repaying them prior to maturity.</w:t>
      </w:r>
    </w:p>
    <w:p>
      <w:pPr>
        <w:spacing w:after="0" w:line="24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February 1, 2012, the Company and certain of its subsidiaries entered into an unsecured $300 million multi-currency revolving loan agreement with a group of six banks. Under the revolving loan agreement, which has a final maturity date of February 1, 2017, the Company has the option to select either a base interest rate (based upon the higher of the federal funds rate plus one-half of 1% or the prime rate of Bank of America plus a margin based upon the Company's consolidated leverage ratio) or a Eurocurrency interest rate (at the LIBOR rate plus a margin based on the Company's consolidated leverage ratio). At the Company's option, and subject to certain conditions, the available amount under the revolving loan agreement may be increased from $300 million to $450 million. During the three months ended October 31, 2014, the Company drew down an additional $41.0 million in order to fund general corporate needs. As of October 31, 2014, the outstanding balance on the credit facility was $83.0 million. The Company also had letters of credit outstanding under the loan agreement of $3.5 million as of October 31, 2014 and there was $213.5 million available for future borrowing, which can be increased to $363.5 million at the Company's option, subject to certain conditions.</w:t>
      </w:r>
    </w:p>
    <w:p>
      <w:pPr>
        <w:spacing w:after="0" w:line="12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February 2013, the Company entered into an unsecured $26.2 million multi-currency line of credit in China, which was amended in November 2013 to $24.2 million and is due on demand. The line of credit supports USD-denominated or CNY-denominated borrowing to fund working capital and operations for the Company's Chinese entities. Borrowings under this facility may be made for a period up to one year from the date of borrowing with interest on the borrowings incurred equal to U.S. Dollar LIBOR on the date of borrowing plus a margin based upon duration. There is no ultimate maturity on the facility and the facility is subject to periodic review and repricing. The Company is not required to comply with any financial covenants as part of this agreement. During the three months ended October 31, 2014, the Company repaid $7.7 million of this borrowing. As of October 31, 2014, the outstanding balance was $11.7 million USD equivalent of CNY-denominated borrowings and there was $12.5 million available for future borrowing under this credit facility.</w:t>
      </w:r>
    </w:p>
    <w:p>
      <w:pPr>
        <w:spacing w:after="0" w:line="11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debt agreements require it to maintain certain financial covenants, including a ratio of debt to the trailing twelve months EBITDA, as defined in the debt agreements, of not more than a 3.25 to 1.0 ratio (leverage ratio) and the trailing twelve months EBITDA to interest expense of not less than a 3.0 to 1.0 ratio (interest expense coverage). As of October 31, 2014, the Company was in compliance with these financial covenants, with the ratio of debt to EBITDA, as defined by the agreements, equal to 1.9 to 1.0 and the interest expense coverage ratio equal to 11.7 to 1.0.</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Total debt as a percentage of total debt plus stockholders' investment was 29.9% at October 31, 2014 and 26.4% at July 31, 2014. Total debt increased by $27.4 million from July 31, 2014 to October 31, 2014 primarily due to the net proceeds of $33.3 million related to notes payable during the three months ended October 31, 2014, offset by the positive impact of foreign currency translation on the Company's Euro-denominated debt. Stockholders' investment decreased $52.1 million from July 31, 2014 to October 31, 2014, primarily due to a decrease in AOCI of $55.6 million related in large part to the accounting for the Die-Cut divestiture. This was partially offset by increases in retained earnings of $3.4 million and additional paid-in capital of $2.3 million.</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cash balances are generated and held in numerous locations throughout the world. At October 31, 2014, approximately 94% of the Company's cash and cash equivalents were held outside the United States. The Company's growth has historically been funded by a combination of cash provided by operating activities and debt financing. The Company believes that its cash flow from operating activities, in addition to its borrowing capacity, are sufficient to fund its anticipated requirements for working capital, capital expenditures, restructuring activities, common stock repurchases, scheduled debt repayments, and dividend payments for the next twelve months.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November 19, 2014, the Board of Directors declared a quarterly cash dividend to shareholders of the Company’s Class A and Class B Common Stock of $0.20 per share payable on January 30, 2015, to shareholders of record at the close of business on January 9,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Operating Leases - The leases generally are entered into for investments in facilities such as manufacturing facilities, warehouses and office space, computer equipment and Company vehicles.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may be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4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71"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Implementation of the healthcare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Implementation of the Workplace Safety strategy;</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competition;</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restructuring plans;</w:t>
      </w:r>
    </w:p>
    <w:p>
      <w:pPr>
        <w:spacing w:after="0" w:line="9"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financial performance of major markets Brady serves, which include, without limitation, telecommunications, hard disk drive, manufacturing, electrical, construction, laboratory, education, governmental, public utility, computer, healthcare and transportation;</w:t>
      </w: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Technology changes and potential security violations to the Company's information technology system</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currency rates versus the U.S. dollar;</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international operations;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associated with exports;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Brady's ability to develop and successfully market new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identifying, completing, and integrating acquisitions;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supply of, or price for, parts and components;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price pressure from suppliers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Brady's ability to retain significant contracts and customers;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 associated with loss of key talent;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divestitures and businesses held for sale;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obtaining governmental approvals and maintaining regulatory compliance;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 associated with product liability claims;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Environmental, health and safety compliance costs and liabilities;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our ownership structure;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Unforeseen tax consequences;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Brady's ability to maintain compliance with its debt covenants;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in our level of debt; and</w:t>
      </w:r>
    </w:p>
    <w:p>
      <w:pPr>
        <w:spacing w:after="0" w:line="9" w:lineRule="exact"/>
        <w:rPr>
          <w:rFonts w:ascii="Arial" w:cs="Arial" w:eastAsia="Arial" w:hAnsi="Arial"/>
          <w:sz w:val="18"/>
          <w:szCs w:val="18"/>
          <w:color w:val="auto"/>
        </w:rPr>
      </w:pPr>
    </w:p>
    <w:p>
      <w:pPr>
        <w:jc w:val="both"/>
        <w:ind w:left="540" w:hanging="316"/>
        <w:spacing w:after="0" w:line="255"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the Form 10-K filed with the SEC on September 29, 2014.</w:t>
      </w:r>
    </w:p>
    <w:p>
      <w:pPr>
        <w:spacing w:after="0" w:line="13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19"/>
          </w:cols>
          <w:pgMar w:left="240" w:top="121" w:right="1440"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9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2014. There has been no material change in this information since July 31, 2014.</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9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Senior Vice President and Chief Financial Officer, of the effectiveness of the design and operation of the Company’s disclosure controls and procedures pursuant to Rule 13a-15 of the Exchange Act. Based on that evaluation, the Company’s President &amp; Chief Executive Officer and Senior Vice President and Chief Financial Officer concluded that the Company’s disclosure controls and procedures are effective as of the end of the period covered by this report.</w:t>
      </w:r>
    </w:p>
    <w:p>
      <w:pPr>
        <w:spacing w:after="0" w:line="16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Exhibits</w:t>
      </w:r>
    </w:p>
    <w:p>
      <w:pPr>
        <w:spacing w:after="0" w:line="171"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Restricted Stock Unit Agreement, dated as of November 28, 2014, with Thomas J. Felmer</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13a-14(a)/15d-14(a) Certification of J. Michael Nauman</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13a-14(a)/15d-14(a) Certification of Aaron J. Pearce</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J. Michael Nauman</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Aaron J. Pearce</w:t>
      </w:r>
    </w:p>
    <w:p>
      <w:pPr>
        <w:spacing w:after="0" w:line="387"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19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940" w:type="dxa"/>
            <w:vAlign w:val="bottom"/>
            <w:gridSpan w:val="2"/>
          </w:tcPr>
          <w:p>
            <w:pPr>
              <w:jc w:val="center"/>
              <w:ind w:right="3390"/>
              <w:spacing w:after="0"/>
              <w:rPr>
                <w:sz w:val="20"/>
                <w:szCs w:val="20"/>
                <w:color w:val="auto"/>
              </w:rPr>
            </w:pPr>
            <w:r>
              <w:rPr>
                <w:rFonts w:ascii="Arial" w:cs="Arial" w:eastAsia="Arial" w:hAnsi="Arial"/>
                <w:sz w:val="18"/>
                <w:szCs w:val="18"/>
                <w:color w:val="auto"/>
                <w:w w:val="93"/>
              </w:rPr>
              <w:t>SIGNATURES</w:t>
            </w:r>
          </w:p>
        </w:tc>
      </w:tr>
      <w:tr>
        <w:trPr>
          <w:trHeight w:val="378"/>
        </w:trPr>
        <w:tc>
          <w:tcPr>
            <w:tcW w:w="34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BRADY CORPORATION</w:t>
            </w:r>
          </w:p>
        </w:tc>
      </w:tr>
      <w:tr>
        <w:trPr>
          <w:trHeight w:val="594"/>
        </w:trPr>
        <w:tc>
          <w:tcPr>
            <w:tcW w:w="3440" w:type="dxa"/>
            <w:vAlign w:val="bottom"/>
          </w:tcPr>
          <w:p>
            <w:pPr>
              <w:spacing w:after="0"/>
              <w:rPr>
                <w:sz w:val="20"/>
                <w:szCs w:val="20"/>
                <w:color w:val="auto"/>
              </w:rPr>
            </w:pPr>
            <w:r>
              <w:rPr>
                <w:rFonts w:ascii="Arial" w:cs="Arial" w:eastAsia="Arial" w:hAnsi="Arial"/>
                <w:sz w:val="18"/>
                <w:szCs w:val="18"/>
                <w:color w:val="auto"/>
              </w:rPr>
              <w:t>Date: December 2, 2014</w:t>
            </w:r>
          </w:p>
        </w:tc>
        <w:tc>
          <w:tcPr>
            <w:tcW w:w="384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J. MICHAEL NAUMAN</w:t>
            </w:r>
          </w:p>
        </w:tc>
      </w:tr>
      <w:tr>
        <w:trPr>
          <w:trHeight w:val="27"/>
        </w:trPr>
        <w:tc>
          <w:tcPr>
            <w:tcW w:w="34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J. Michael Nauman</w:t>
            </w:r>
          </w:p>
        </w:tc>
      </w:tr>
      <w:tr>
        <w:trPr>
          <w:trHeight w:val="270"/>
        </w:trPr>
        <w:tc>
          <w:tcPr>
            <w:tcW w:w="34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4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Executive Officer)</w:t>
            </w:r>
          </w:p>
        </w:tc>
      </w:tr>
      <w:tr>
        <w:trPr>
          <w:trHeight w:val="864"/>
        </w:trPr>
        <w:tc>
          <w:tcPr>
            <w:tcW w:w="3440" w:type="dxa"/>
            <w:vAlign w:val="bottom"/>
          </w:tcPr>
          <w:p>
            <w:pPr>
              <w:spacing w:after="0"/>
              <w:rPr>
                <w:sz w:val="20"/>
                <w:szCs w:val="20"/>
                <w:color w:val="auto"/>
              </w:rPr>
            </w:pPr>
            <w:r>
              <w:rPr>
                <w:rFonts w:ascii="Arial" w:cs="Arial" w:eastAsia="Arial" w:hAnsi="Arial"/>
                <w:sz w:val="18"/>
                <w:szCs w:val="18"/>
                <w:color w:val="auto"/>
              </w:rPr>
              <w:t>Date: December 2, 2014</w:t>
            </w:r>
          </w:p>
        </w:tc>
        <w:tc>
          <w:tcPr>
            <w:tcW w:w="384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AARON J. PEARCE</w:t>
            </w:r>
          </w:p>
        </w:tc>
      </w:tr>
      <w:tr>
        <w:trPr>
          <w:trHeight w:val="27"/>
        </w:trPr>
        <w:tc>
          <w:tcPr>
            <w:tcW w:w="34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Aaron J. Pearce</w:t>
            </w:r>
          </w:p>
        </w:tc>
      </w:tr>
      <w:tr>
        <w:trPr>
          <w:trHeight w:val="270"/>
        </w:trPr>
        <w:tc>
          <w:tcPr>
            <w:tcW w:w="34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w w:val="97"/>
              </w:rPr>
              <w:t>Senior Vice President and Chief Financial Officer</w:t>
            </w:r>
          </w:p>
        </w:tc>
      </w:tr>
      <w:tr>
        <w:trPr>
          <w:trHeight w:val="270"/>
        </w:trPr>
        <w:tc>
          <w:tcPr>
            <w:tcW w:w="34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Financial Officer)</w:t>
            </w:r>
          </w:p>
        </w:tc>
      </w:tr>
      <w:tr>
        <w:trPr>
          <w:trHeight w:val="486"/>
        </w:trPr>
        <w:tc>
          <w:tcPr>
            <w:tcW w:w="3440" w:type="dxa"/>
            <w:vAlign w:val="bottom"/>
          </w:tcPr>
          <w:p>
            <w:pPr>
              <w:spacing w:after="0"/>
              <w:rPr>
                <w:sz w:val="24"/>
                <w:szCs w:val="24"/>
                <w:color w:val="auto"/>
              </w:rPr>
            </w:pPr>
          </w:p>
        </w:tc>
        <w:tc>
          <w:tcPr>
            <w:tcW w:w="3840" w:type="dxa"/>
            <w:vAlign w:val="bottom"/>
          </w:tcPr>
          <w:p>
            <w:pPr>
              <w:jc w:val="right"/>
              <w:ind w:right="1430"/>
              <w:spacing w:after="0"/>
              <w:rPr>
                <w:sz w:val="20"/>
                <w:szCs w:val="20"/>
                <w:color w:val="auto"/>
              </w:rPr>
            </w:pPr>
            <w:r>
              <w:rPr>
                <w:rFonts w:ascii="Arial" w:cs="Arial" w:eastAsia="Arial" w:hAnsi="Arial"/>
                <w:sz w:val="18"/>
                <w:szCs w:val="18"/>
                <w:color w:val="auto"/>
              </w:rPr>
              <w:t>31</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Upon management’s recommendation, the Management Development and Compensation Committee (the “Committee”) of the Brady Corporation Board of Directors has awarded to Thomas J. Felmer (“Employee”) a restricted stock unit award effective November 28, 2014 pursuant to the terms of the Brady Corporation 2012 Omnibus Incentive Stock Plan (the “Plan”). The Corporation’s records shall be the official record of the grant described herein and, in the event of any conflict between this description and the Corporation’s records, the Corporation’s records shall control.</w:t>
      </w:r>
    </w:p>
    <w:p>
      <w:pPr>
        <w:spacing w:after="0" w:line="16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Number of Units</w:t>
      </w:r>
    </w:p>
    <w:p>
      <w:pPr>
        <w:spacing w:after="0" w:line="229"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This Restricted Stock Unit Award applies to 10,000 shares of the presently authorized Class A Nonvoting Common Stock of the Corporation, $.01 par value (the “Restricted Stock Units”). </w:t>
      </w:r>
      <w:r>
        <w:rPr>
          <w:rFonts w:ascii="Arial" w:cs="Arial" w:eastAsia="Arial" w:hAnsi="Arial"/>
          <w:sz w:val="18"/>
          <w:szCs w:val="18"/>
          <w:color w:val="333300"/>
        </w:rPr>
        <w:t>The Restricted Stock Units granted under this Agreement are units that will be reflected in a book account</w:t>
      </w:r>
      <w:r>
        <w:rPr>
          <w:rFonts w:ascii="Arial" w:cs="Arial" w:eastAsia="Arial" w:hAnsi="Arial"/>
          <w:sz w:val="18"/>
          <w:szCs w:val="18"/>
          <w:color w:val="auto"/>
        </w:rPr>
        <w:t xml:space="preserve"> </w:t>
      </w:r>
      <w:r>
        <w:rPr>
          <w:rFonts w:ascii="Arial" w:cs="Arial" w:eastAsia="Arial" w:hAnsi="Arial"/>
          <w:sz w:val="18"/>
          <w:szCs w:val="18"/>
          <w:color w:val="333300"/>
        </w:rPr>
        <w:t>maintained by the Corporation until they become vested or have been forfeited.</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Vesting Requirement</w:t>
      </w:r>
    </w:p>
    <w:p>
      <w:pPr>
        <w:spacing w:after="0" w:line="229"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vesting of this Award (other than pursuant to accelerated vesting in certain circumstances as provided in Section 3 below) shall be subject to the satisfaction of the condition set forth in Section 2(a) below:</w:t>
      </w:r>
    </w:p>
    <w:p>
      <w:pPr>
        <w:spacing w:after="0" w:line="170" w:lineRule="exact"/>
        <w:rPr>
          <w:rFonts w:ascii="Arial" w:cs="Arial" w:eastAsia="Arial" w:hAnsi="Arial"/>
          <w:sz w:val="18"/>
          <w:szCs w:val="18"/>
          <w:color w:val="auto"/>
        </w:rPr>
      </w:pPr>
    </w:p>
    <w:p>
      <w:pPr>
        <w:ind w:left="1220" w:hanging="658"/>
        <w:spacing w:after="0" w:line="277" w:lineRule="auto"/>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Award shall be subject to the following service vesting requirement. If the Employee continues in employment through the vesting dates listed below, the Restricted Stock Units shall be vested as listed in the following table: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174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4380" w:type="dxa"/>
            <w:vAlign w:val="bottom"/>
          </w:tcPr>
          <w:p>
            <w:pPr>
              <w:jc w:val="center"/>
              <w:ind w:left="690"/>
              <w:spacing w:after="0"/>
              <w:rPr>
                <w:sz w:val="20"/>
                <w:szCs w:val="20"/>
                <w:color w:val="auto"/>
              </w:rPr>
            </w:pPr>
            <w:r>
              <w:rPr>
                <w:rFonts w:ascii="Arial" w:cs="Arial" w:eastAsia="Arial" w:hAnsi="Arial"/>
                <w:sz w:val="18"/>
                <w:szCs w:val="18"/>
                <w:color w:val="auto"/>
                <w:w w:val="89"/>
              </w:rPr>
              <w:t>Cumulative Percentage of Vested Restricted</w:t>
            </w:r>
          </w:p>
        </w:tc>
      </w:tr>
      <w:tr>
        <w:trPr>
          <w:trHeight w:val="230"/>
        </w:trPr>
        <w:tc>
          <w:tcPr>
            <w:tcW w:w="3580" w:type="dxa"/>
            <w:vAlign w:val="bottom"/>
          </w:tcPr>
          <w:p>
            <w:pPr>
              <w:ind w:left="1660"/>
              <w:spacing w:after="0"/>
              <w:rPr>
                <w:sz w:val="20"/>
                <w:szCs w:val="20"/>
                <w:color w:val="auto"/>
              </w:rPr>
            </w:pPr>
            <w:r>
              <w:rPr>
                <w:rFonts w:ascii="Arial" w:cs="Arial" w:eastAsia="Arial" w:hAnsi="Arial"/>
                <w:sz w:val="18"/>
                <w:szCs w:val="18"/>
                <w:color w:val="auto"/>
              </w:rPr>
              <w:t>Vesting Date</w:t>
            </w:r>
          </w:p>
        </w:tc>
        <w:tc>
          <w:tcPr>
            <w:tcW w:w="4380" w:type="dxa"/>
            <w:vAlign w:val="bottom"/>
          </w:tcPr>
          <w:p>
            <w:pPr>
              <w:jc w:val="center"/>
              <w:ind w:left="690"/>
              <w:spacing w:after="0"/>
              <w:rPr>
                <w:sz w:val="20"/>
                <w:szCs w:val="20"/>
                <w:color w:val="auto"/>
              </w:rPr>
            </w:pPr>
            <w:r>
              <w:rPr>
                <w:rFonts w:ascii="Arial" w:cs="Arial" w:eastAsia="Arial" w:hAnsi="Arial"/>
                <w:sz w:val="18"/>
                <w:szCs w:val="18"/>
                <w:color w:val="auto"/>
                <w:w w:val="92"/>
              </w:rPr>
              <w:t>Stock Units</w:t>
            </w:r>
          </w:p>
        </w:tc>
      </w:tr>
      <w:tr>
        <w:trPr>
          <w:trHeight w:val="27"/>
        </w:trPr>
        <w:tc>
          <w:tcPr>
            <w:tcW w:w="35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anniversary of grant date</w:t>
            </w:r>
          </w:p>
        </w:tc>
        <w:tc>
          <w:tcPr>
            <w:tcW w:w="4380" w:type="dxa"/>
            <w:vAlign w:val="bottom"/>
            <w:tcBorders>
              <w:bottom w:val="single" w:sz="8" w:color="CCEEFF"/>
            </w:tcBorders>
            <w:shd w:val="clear" w:color="auto" w:fill="CCEEFF"/>
          </w:tcPr>
          <w:p>
            <w:pPr>
              <w:jc w:val="center"/>
              <w:ind w:left="690"/>
              <w:spacing w:after="0"/>
              <w:rPr>
                <w:sz w:val="20"/>
                <w:szCs w:val="20"/>
                <w:color w:val="auto"/>
              </w:rPr>
            </w:pPr>
            <w:r>
              <w:rPr>
                <w:rFonts w:ascii="Arial" w:cs="Arial" w:eastAsia="Arial" w:hAnsi="Arial"/>
                <w:sz w:val="18"/>
                <w:szCs w:val="18"/>
                <w:color w:val="auto"/>
                <w:w w:val="92"/>
              </w:rPr>
              <w:t>0%</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Second anniversary of grant date</w:t>
            </w:r>
          </w:p>
        </w:tc>
        <w:tc>
          <w:tcPr>
            <w:tcW w:w="4380" w:type="dxa"/>
            <w:vAlign w:val="bottom"/>
          </w:tcPr>
          <w:p>
            <w:pPr>
              <w:jc w:val="center"/>
              <w:ind w:left="690"/>
              <w:spacing w:after="0"/>
              <w:rPr>
                <w:sz w:val="20"/>
                <w:szCs w:val="20"/>
                <w:color w:val="auto"/>
              </w:rPr>
            </w:pPr>
            <w:r>
              <w:rPr>
                <w:rFonts w:ascii="Arial" w:cs="Arial" w:eastAsia="Arial" w:hAnsi="Arial"/>
                <w:sz w:val="18"/>
                <w:szCs w:val="18"/>
                <w:color w:val="auto"/>
                <w:w w:val="92"/>
              </w:rPr>
              <w:t>0%</w:t>
            </w:r>
          </w:p>
        </w:tc>
      </w:tr>
      <w:tr>
        <w:trPr>
          <w:trHeight w:val="27"/>
        </w:trPr>
        <w:tc>
          <w:tcPr>
            <w:tcW w:w="358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anniversary of grant date</w:t>
            </w:r>
          </w:p>
        </w:tc>
        <w:tc>
          <w:tcPr>
            <w:tcW w:w="4380" w:type="dxa"/>
            <w:vAlign w:val="bottom"/>
            <w:tcBorders>
              <w:bottom w:val="single" w:sz="8" w:color="CCEEFF"/>
            </w:tcBorders>
            <w:shd w:val="clear" w:color="auto" w:fill="CCEEFF"/>
          </w:tcPr>
          <w:p>
            <w:pPr>
              <w:jc w:val="center"/>
              <w:ind w:left="710"/>
              <w:spacing w:after="0"/>
              <w:rPr>
                <w:sz w:val="20"/>
                <w:szCs w:val="20"/>
                <w:color w:val="auto"/>
              </w:rPr>
            </w:pPr>
            <w:r>
              <w:rPr>
                <w:rFonts w:ascii="Arial" w:cs="Arial" w:eastAsia="Arial" w:hAnsi="Arial"/>
                <w:sz w:val="18"/>
                <w:szCs w:val="18"/>
                <w:color w:val="auto"/>
                <w:w w:val="92"/>
              </w:rPr>
              <w:t>33-1/3%</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Fourth anniversary of grant date</w:t>
            </w:r>
          </w:p>
        </w:tc>
        <w:tc>
          <w:tcPr>
            <w:tcW w:w="4380" w:type="dxa"/>
            <w:vAlign w:val="bottom"/>
          </w:tcPr>
          <w:p>
            <w:pPr>
              <w:jc w:val="center"/>
              <w:ind w:left="710"/>
              <w:spacing w:after="0"/>
              <w:rPr>
                <w:sz w:val="20"/>
                <w:szCs w:val="20"/>
                <w:color w:val="auto"/>
              </w:rPr>
            </w:pPr>
            <w:r>
              <w:rPr>
                <w:rFonts w:ascii="Arial" w:cs="Arial" w:eastAsia="Arial" w:hAnsi="Arial"/>
                <w:sz w:val="18"/>
                <w:szCs w:val="18"/>
                <w:color w:val="auto"/>
                <w:w w:val="92"/>
              </w:rPr>
              <w:t>66-2/3%</w:t>
            </w:r>
          </w:p>
        </w:tc>
      </w:tr>
      <w:tr>
        <w:trPr>
          <w:trHeight w:val="27"/>
        </w:trPr>
        <w:tc>
          <w:tcPr>
            <w:tcW w:w="358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Fifth anniversary of grant date</w:t>
            </w:r>
          </w:p>
        </w:tc>
        <w:tc>
          <w:tcPr>
            <w:tcW w:w="438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91"/>
              </w:rPr>
              <w:t>100%</w:t>
            </w:r>
          </w:p>
        </w:tc>
      </w:tr>
      <w:tr>
        <w:trPr>
          <w:trHeight w:val="27"/>
        </w:trPr>
        <w:tc>
          <w:tcPr>
            <w:tcW w:w="358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1220" w:hanging="658"/>
        <w:spacing w:after="0" w:line="286" w:lineRule="auto"/>
        <w:tabs>
          <w:tab w:leader="none" w:pos="1220"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Forfeiture of Restricted Stock Units</w:t>
      </w:r>
      <w:r>
        <w:rPr>
          <w:rFonts w:ascii="Arial" w:cs="Arial" w:eastAsia="Arial" w:hAnsi="Arial"/>
          <w:sz w:val="17"/>
          <w:szCs w:val="17"/>
          <w:color w:val="auto"/>
        </w:rPr>
        <w:t>. Except as provided in Section 3, if the Employee terminates employment prior to the satisfaction of the vesting requirements set forth in Section 2(a) above, any unvested Restricted Stock Units shall immediately be forfeited. The period of time during which the Restricted Stock Units covered by this Award are forfeitable is referred to as the “Restricted Period.”</w:t>
      </w:r>
    </w:p>
    <w:p>
      <w:pPr>
        <w:spacing w:after="0" w:line="161" w:lineRule="exact"/>
        <w:rPr>
          <w:rFonts w:ascii="Arial" w:cs="Arial" w:eastAsia="Arial" w:hAnsi="Arial"/>
          <w:sz w:val="17"/>
          <w:szCs w:val="17"/>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Accelerated Vesting</w:t>
      </w:r>
    </w:p>
    <w:p>
      <w:pPr>
        <w:spacing w:after="0" w:line="229" w:lineRule="exact"/>
        <w:rPr>
          <w:rFonts w:ascii="Arial" w:cs="Arial" w:eastAsia="Arial" w:hAnsi="Arial"/>
          <w:sz w:val="18"/>
          <w:szCs w:val="18"/>
          <w:color w:val="auto"/>
        </w:rPr>
      </w:pPr>
    </w:p>
    <w:p>
      <w:pPr>
        <w:jc w:val="both"/>
        <w:ind w:left="1220" w:hanging="658"/>
        <w:spacing w:after="0" w:line="264" w:lineRule="auto"/>
        <w:tabs>
          <w:tab w:leader="none" w:pos="12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Notwithstanding the terms and conditions of Section 2 hereof, in the event of the termination of the Employee’s employment with the Corporation (and any Affiliate) prior to the end of the Restricted Period due to death or Disability, the Restricted Stock Units shall become fully vested.</w:t>
      </w:r>
    </w:p>
    <w:p>
      <w:pPr>
        <w:spacing w:after="0" w:line="181" w:lineRule="exact"/>
        <w:rPr>
          <w:rFonts w:ascii="Arial" w:cs="Arial" w:eastAsia="Arial" w:hAnsi="Arial"/>
          <w:sz w:val="18"/>
          <w:szCs w:val="18"/>
          <w:color w:val="auto"/>
        </w:rPr>
      </w:pPr>
    </w:p>
    <w:p>
      <w:pPr>
        <w:ind w:left="1220" w:right="20" w:hanging="658"/>
        <w:spacing w:after="0" w:line="277" w:lineRule="auto"/>
        <w:tabs>
          <w:tab w:leader="none" w:pos="12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the event of the termination of the Employee’s employment with the Corporation (and any Affiliate) prior to the end of the Restricted Period due to a Change in Control, the Restricted Stock Units shall become unrestricted and fully vested.</w:t>
      </w:r>
    </w:p>
    <w:p>
      <w:pPr>
        <w:sectPr>
          <w:pgSz w:w="11900" w:h="16838" w:orient="portrait"/>
          <w:cols w:equalWidth="0" w:num="1">
            <w:col w:w="11420"/>
          </w:cols>
          <w:pgMar w:left="240" w:top="580" w:right="239" w:bottom="1440" w:gutter="0" w:footer="0" w:header="0"/>
        </w:sectPr>
      </w:pPr>
    </w:p>
    <w:bookmarkStart w:id="33" w:name="page34"/>
    <w:bookmarkEnd w:id="33"/>
    <w:p>
      <w:pPr>
        <w:jc w:val="both"/>
        <w:ind w:left="652"/>
        <w:spacing w:after="0" w:line="312" w:lineRule="auto"/>
        <w:rPr>
          <w:sz w:val="20"/>
          <w:szCs w:val="20"/>
          <w:color w:val="auto"/>
        </w:rPr>
      </w:pPr>
      <w:r>
        <w:rPr>
          <w:rFonts w:ascii="Arial" w:cs="Arial" w:eastAsia="Arial" w:hAnsi="Arial"/>
          <w:sz w:val="16"/>
          <w:szCs w:val="16"/>
          <w:color w:val="auto"/>
        </w:rPr>
        <w:t>For purposes of this Agreement, a “Change of Control” shall occur if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Corporation.</w:t>
      </w:r>
    </w:p>
    <w:p>
      <w:pPr>
        <w:spacing w:after="0" w:line="147" w:lineRule="exact"/>
        <w:rPr>
          <w:sz w:val="20"/>
          <w:szCs w:val="20"/>
          <w:color w:val="auto"/>
        </w:rPr>
      </w:pPr>
    </w:p>
    <w:p>
      <w:pPr>
        <w:jc w:val="both"/>
        <w:ind w:left="652"/>
        <w:spacing w:after="0" w:line="253" w:lineRule="auto"/>
        <w:rPr>
          <w:sz w:val="20"/>
          <w:szCs w:val="20"/>
          <w:color w:val="auto"/>
        </w:rPr>
      </w:pPr>
      <w:r>
        <w:rPr>
          <w:rFonts w:ascii="Arial" w:cs="Arial" w:eastAsia="Arial" w:hAnsi="Arial"/>
          <w:sz w:val="18"/>
          <w:szCs w:val="18"/>
          <w:color w:val="auto"/>
        </w:rPr>
        <w:t>For purposes of this Agreement, a termination due to Change of Control shall occur if within the 12 month period beginning with the date a Change of Control occurs (i) the Employee’s employment with the Corporation (and any Affiliate) is involuntarily terminated (other than by reason of death, disability or Cause) or (ii) the Employee’s employment with the Corporation (and any Affiliate) is voluntarily terminated by the Employee subsequent to (A) a 10% or more diminution in the total of the Employee’s annual base salary (exclusive of fringe benefits) and the Employee’s target bonus in comparison with the Employee’s total of annual base salary and target bonus immediately prior to the date the Change of Control occurs, (B) a significant diminution in the responsibilities or authority of the Employee in comparison with the Employee’s responsibility and authority immediately prior to the date the Change of Control occurs or (C) the imposition of a requirement by the Corporation that the Employee relocate to a principal work location more than 50 miles from the Employee’s principal work location immediately prior to the date the Change of Control occurs.</w:t>
      </w:r>
    </w:p>
    <w:p>
      <w:pPr>
        <w:spacing w:after="0" w:line="197" w:lineRule="exact"/>
        <w:rPr>
          <w:sz w:val="20"/>
          <w:szCs w:val="20"/>
          <w:color w:val="auto"/>
        </w:rPr>
      </w:pPr>
    </w:p>
    <w:p>
      <w:pPr>
        <w:jc w:val="both"/>
        <w:ind w:left="652"/>
        <w:spacing w:after="0" w:line="273" w:lineRule="auto"/>
        <w:rPr>
          <w:sz w:val="20"/>
          <w:szCs w:val="20"/>
          <w:color w:val="auto"/>
        </w:rPr>
      </w:pPr>
      <w:r>
        <w:rPr>
          <w:rFonts w:ascii="Arial" w:cs="Arial" w:eastAsia="Arial" w:hAnsi="Arial"/>
          <w:sz w:val="17"/>
          <w:szCs w:val="17"/>
          <w:color w:val="auto"/>
        </w:rPr>
        <w:t>For purposes of this Agreement, Cause means (i) the Employee’s willful and continued failure to substantially perform the Employee’s duties with the Corporation (other than any such failure resulting from physical or mental incapacity) after written demand for performance is given to the Employee by the Corporation which specifically identifies the manner in which the Corporation believes the Employee has not substantially performed and a reasonable time to cure has transpired, (ii) the Employee’s conviction of or plea of nolo contendere for the commission of a felony, or (iii) the Employee’s commission of an act of dishonesty or of any willful act of misconduct which results in or could reasonably be expected to result in significant injury (monetarily or otherwise) to the Corporation, as determined in good faith by the Committee.</w:t>
      </w:r>
    </w:p>
    <w:p>
      <w:pPr>
        <w:spacing w:after="0" w:line="178" w:lineRule="exact"/>
        <w:rPr>
          <w:sz w:val="20"/>
          <w:szCs w:val="20"/>
          <w:color w:val="auto"/>
        </w:rPr>
      </w:pPr>
    </w:p>
    <w:p>
      <w:pPr>
        <w:jc w:val="both"/>
        <w:ind w:left="1212" w:hanging="658"/>
        <w:spacing w:after="0" w:line="259" w:lineRule="auto"/>
        <w:tabs>
          <w:tab w:leader="none" w:pos="1212"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the event of (i) the merger or consolidation of the Corporation with or into another corporation or corporations in which the Corporation is not the surviving corporation, (ii) the adoption of any plan for the dissolution of the Corporation, or (iii) the sale or exchange of all or substantially all the assets of the Corporation for cash or for shares of stock or other securities of another corporation, the Restricted Stock Units shall become fully vested.</w:t>
      </w:r>
    </w:p>
    <w:p>
      <w:pPr>
        <w:spacing w:after="0" w:line="186" w:lineRule="exact"/>
        <w:rPr>
          <w:rFonts w:ascii="Arial" w:cs="Arial" w:eastAsia="Arial" w:hAnsi="Arial"/>
          <w:sz w:val="18"/>
          <w:szCs w:val="18"/>
          <w:color w:val="auto"/>
        </w:rPr>
      </w:pPr>
    </w:p>
    <w:p>
      <w:pPr>
        <w:ind w:left="1212" w:right="20" w:hanging="658"/>
        <w:spacing w:after="0" w:line="277" w:lineRule="auto"/>
        <w:tabs>
          <w:tab w:leader="none" w:pos="1212"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the vesting of the Restricted Stock Units would result in any excise tax to the Employee as a result of Section 280G of the Code, the Corporation shall pay the Employee an amount equal to such excise tax.</w:t>
      </w:r>
    </w:p>
    <w:p>
      <w:pPr>
        <w:spacing w:after="0" w:line="166" w:lineRule="exact"/>
        <w:rPr>
          <w:rFonts w:ascii="Arial" w:cs="Arial" w:eastAsia="Arial" w:hAnsi="Arial"/>
          <w:sz w:val="18"/>
          <w:szCs w:val="18"/>
          <w:color w:val="auto"/>
        </w:rPr>
      </w:pPr>
    </w:p>
    <w:p>
      <w:pPr>
        <w:ind w:left="652" w:hanging="652"/>
        <w:spacing w:after="0"/>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No Dividends</w:t>
      </w:r>
    </w:p>
    <w:p>
      <w:pPr>
        <w:spacing w:after="0" w:line="22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No dividends will be paid or accrued on any Restricted Stock Units during the Restricted Period.</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Restricted Stock Units</w:t>
      </w:r>
    </w:p>
    <w:p>
      <w:pPr>
        <w:spacing w:after="0" w:line="229" w:lineRule="exact"/>
        <w:rPr>
          <w:rFonts w:ascii="Arial" w:cs="Arial" w:eastAsia="Arial" w:hAnsi="Arial"/>
          <w:sz w:val="18"/>
          <w:szCs w:val="18"/>
          <w:color w:val="auto"/>
        </w:rPr>
      </w:pPr>
    </w:p>
    <w:p>
      <w:pPr>
        <w:ind w:left="652"/>
        <w:spacing w:after="0" w:line="308" w:lineRule="auto"/>
        <w:rPr>
          <w:rFonts w:ascii="Arial" w:cs="Arial" w:eastAsia="Arial" w:hAnsi="Arial"/>
          <w:sz w:val="18"/>
          <w:szCs w:val="18"/>
          <w:color w:val="auto"/>
        </w:rPr>
      </w:pPr>
      <w:r>
        <w:rPr>
          <w:rFonts w:ascii="Arial" w:cs="Arial" w:eastAsia="Arial" w:hAnsi="Arial"/>
          <w:sz w:val="17"/>
          <w:szCs w:val="17"/>
          <w:color w:val="auto"/>
        </w:rPr>
        <w:t>As soon as practicable after Restricted Stock Units become vested, the Company shall deliver to the Employee one share of the Corporation's Class A Nonvoting Common Stock, $.01 par value ("Corporation Stock") for each Restricted Stock Unit which becomes vested.</w:t>
      </w:r>
    </w:p>
    <w:p>
      <w:pPr>
        <w:spacing w:after="0" w:line="142" w:lineRule="exact"/>
        <w:rPr>
          <w:rFonts w:ascii="Arial" w:cs="Arial" w:eastAsia="Arial" w:hAnsi="Arial"/>
          <w:sz w:val="18"/>
          <w:szCs w:val="18"/>
          <w:color w:val="auto"/>
        </w:rPr>
      </w:pPr>
    </w:p>
    <w:p>
      <w:pPr>
        <w:ind w:left="652" w:hanging="652"/>
        <w:spacing w:after="0"/>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Restrictions</w:t>
      </w:r>
    </w:p>
    <w:p>
      <w:pPr>
        <w:spacing w:after="0" w:line="229" w:lineRule="exact"/>
        <w:rPr>
          <w:rFonts w:ascii="Arial" w:cs="Arial" w:eastAsia="Arial" w:hAnsi="Arial"/>
          <w:sz w:val="18"/>
          <w:szCs w:val="18"/>
          <w:color w:val="auto"/>
        </w:rPr>
      </w:pPr>
    </w:p>
    <w:p>
      <w:pPr>
        <w:jc w:val="both"/>
        <w:ind w:left="652"/>
        <w:spacing w:after="0" w:line="264" w:lineRule="auto"/>
        <w:rPr>
          <w:rFonts w:ascii="Arial" w:cs="Arial" w:eastAsia="Arial" w:hAnsi="Arial"/>
          <w:sz w:val="18"/>
          <w:szCs w:val="18"/>
          <w:color w:val="auto"/>
        </w:rPr>
      </w:pPr>
      <w:r>
        <w:rPr>
          <w:rFonts w:ascii="Arial" w:cs="Arial" w:eastAsia="Arial" w:hAnsi="Arial"/>
          <w:sz w:val="18"/>
          <w:szCs w:val="18"/>
          <w:color w:val="auto"/>
        </w:rPr>
        <w:t>This Award is non-transferable and may not be assigned, pledged or hypothecated and shall not be subject to execution, attachment or similar process. Upon any attempt to effect any such disposition, or upon the levy of any such process, the Award shall immediately become null and void and the Restricted Stock Units shall be forfeited.</w:t>
      </w:r>
    </w:p>
    <w:p>
      <w:pPr>
        <w:spacing w:after="0" w:line="177" w:lineRule="exact"/>
        <w:rPr>
          <w:rFonts w:ascii="Arial" w:cs="Arial" w:eastAsia="Arial" w:hAnsi="Arial"/>
          <w:sz w:val="18"/>
          <w:szCs w:val="18"/>
          <w:color w:val="auto"/>
        </w:rPr>
      </w:pPr>
    </w:p>
    <w:p>
      <w:pPr>
        <w:ind w:left="652" w:hanging="652"/>
        <w:spacing w:after="0"/>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p>
    <w:p>
      <w:pPr>
        <w:spacing w:after="0" w:line="229" w:lineRule="exact"/>
        <w:rPr>
          <w:rFonts w:ascii="Arial" w:cs="Arial" w:eastAsia="Arial" w:hAnsi="Arial"/>
          <w:sz w:val="18"/>
          <w:szCs w:val="18"/>
          <w:color w:val="auto"/>
        </w:rPr>
      </w:pPr>
    </w:p>
    <w:p>
      <w:pPr>
        <w:jc w:val="both"/>
        <w:ind w:left="652"/>
        <w:spacing w:after="0" w:line="255" w:lineRule="auto"/>
        <w:rPr>
          <w:rFonts w:ascii="Arial" w:cs="Arial" w:eastAsia="Arial" w:hAnsi="Arial"/>
          <w:sz w:val="18"/>
          <w:szCs w:val="18"/>
          <w:color w:val="auto"/>
        </w:rPr>
      </w:pPr>
      <w:r>
        <w:rPr>
          <w:rFonts w:ascii="Arial" w:cs="Arial" w:eastAsia="Arial" w:hAnsi="Arial"/>
          <w:sz w:val="18"/>
          <w:szCs w:val="18"/>
          <w:color w:val="auto"/>
        </w:rPr>
        <w:t>The Corporation may require payment of or withhold any tax which it believes is payable as a result of the Restricted Stock Units becoming vested, and the Corporation may defer making delivery of the Corporation Stock until arrangements satisfactory to the Corporation have been made with regard to any such withholding obligations. In lieu of part or all of any such payment, the Employee, in satisfaction of all withholding taxes (including, without limitation, Federal income, FICA (Social Security and Medicare) and any state and local income taxes) payable as a result of such vesting, may elect, subject to such rules and regulations as the Committee may adopt from time to time, to have the Corporation withhold that number of shares of Corporation Stock (valued at Fair Market Value on the date of vesting and rounded upward) required to settle such withholding taxes.</w:t>
      </w:r>
    </w:p>
    <w:p>
      <w:pPr>
        <w:sectPr>
          <w:pgSz w:w="11900" w:h="16838" w:orient="portrait"/>
          <w:cols w:equalWidth="0" w:num="1">
            <w:col w:w="11412"/>
          </w:cols>
          <w:pgMar w:left="248" w:top="584" w:right="239" w:bottom="1440" w:gutter="0" w:footer="0" w:header="0"/>
        </w:sectPr>
      </w:pPr>
    </w:p>
    <w:bookmarkStart w:id="34" w:name="page35"/>
    <w:bookmarkEnd w:id="34"/>
    <w:p>
      <w:pPr>
        <w:ind w:left="652" w:hanging="652"/>
        <w:spacing w:after="0"/>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 of Employee</w:t>
      </w:r>
    </w:p>
    <w:p>
      <w:pPr>
        <w:spacing w:after="0" w:line="229" w:lineRule="exact"/>
        <w:rPr>
          <w:rFonts w:ascii="Arial" w:cs="Arial" w:eastAsia="Arial" w:hAnsi="Arial"/>
          <w:sz w:val="18"/>
          <w:szCs w:val="18"/>
          <w:color w:val="auto"/>
        </w:rPr>
      </w:pPr>
    </w:p>
    <w:p>
      <w:pPr>
        <w:jc w:val="both"/>
        <w:ind w:left="652"/>
        <w:spacing w:after="0" w:line="264" w:lineRule="auto"/>
        <w:rPr>
          <w:rFonts w:ascii="Arial" w:cs="Arial" w:eastAsia="Arial" w:hAnsi="Arial"/>
          <w:sz w:val="18"/>
          <w:szCs w:val="18"/>
          <w:color w:val="auto"/>
        </w:rPr>
      </w:pPr>
      <w:r>
        <w:rPr>
          <w:rFonts w:ascii="Arial" w:cs="Arial" w:eastAsia="Arial" w:hAnsi="Arial"/>
          <w:sz w:val="18"/>
          <w:szCs w:val="18"/>
          <w:color w:val="auto"/>
        </w:rPr>
        <w:t>If the Restricted Stock Units shall vest upon the death of the Employee, the shares of Corporation Stock and any amounts in the Employee's Dividend Account shall be issued and paid to the estate of the Employee unless the Corporation shall have theretofore received in writing a beneficiary designation, in which event they shall be issued and paid to the designated beneficiary.</w:t>
      </w:r>
    </w:p>
    <w:p>
      <w:pPr>
        <w:spacing w:after="0" w:line="177" w:lineRule="exact"/>
        <w:rPr>
          <w:rFonts w:ascii="Arial" w:cs="Arial" w:eastAsia="Arial" w:hAnsi="Arial"/>
          <w:sz w:val="18"/>
          <w:szCs w:val="18"/>
          <w:color w:val="auto"/>
        </w:rPr>
      </w:pPr>
    </w:p>
    <w:p>
      <w:pPr>
        <w:ind w:left="652" w:hanging="652"/>
        <w:spacing w:after="0"/>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Non-Solicitation and Non-Compete</w:t>
      </w:r>
    </w:p>
    <w:p>
      <w:pPr>
        <w:spacing w:after="0" w:line="22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As consideration for the grant of this Award, Employee agrees to, understands and acknowledges the following:</w:t>
      </w:r>
    </w:p>
    <w:p>
      <w:pPr>
        <w:spacing w:after="0" w:line="225" w:lineRule="exact"/>
        <w:rPr>
          <w:rFonts w:ascii="Arial" w:cs="Arial" w:eastAsia="Arial" w:hAnsi="Arial"/>
          <w:sz w:val="18"/>
          <w:szCs w:val="18"/>
          <w:color w:val="auto"/>
        </w:rPr>
      </w:pPr>
    </w:p>
    <w:p>
      <w:pPr>
        <w:jc w:val="both"/>
        <w:ind w:left="1212" w:hanging="658"/>
        <w:spacing w:after="0" w:line="268" w:lineRule="auto"/>
        <w:tabs>
          <w:tab w:leader="none" w:pos="1212" w:val="left"/>
        </w:tabs>
        <w:numPr>
          <w:ilvl w:val="1"/>
          <w:numId w:val="14"/>
        </w:numPr>
        <w:rPr>
          <w:rFonts w:ascii="Arial" w:cs="Arial" w:eastAsia="Arial" w:hAnsi="Arial"/>
          <w:sz w:val="17"/>
          <w:szCs w:val="17"/>
          <w:color w:val="auto"/>
        </w:rPr>
      </w:pPr>
      <w:r>
        <w:rPr>
          <w:rFonts w:ascii="Arial" w:cs="Arial" w:eastAsia="Arial" w:hAnsi="Arial"/>
          <w:sz w:val="17"/>
          <w:szCs w:val="17"/>
          <w:color w:val="auto"/>
        </w:rPr>
        <w:t>During Employee's employment with the Corporation and its Affiliates (the "Company"), the Company will provide Employee with Confidential Information relating to the Company, its business and clients, the disclosure or misuse of which would cause severe and irreparable harm to the Company. Employee agrees that all Confidential Information is and shall remain the sole and absolute property of the Company. Upon the termination of Employee's employment with the Company for any reason, Employee shall immediately return to the Company all documents and materials that contain or constitute Confidential Information, in any form whatsoever, including but not limited to, all copies, abstracts, electronic versions, and summaries thereof. Executive further agrees that, without the written consent of the Chief Executive Officer of the Corporation or, in the case of the Chief Executive Officer of the Corporation, without the written approval of the Board of Directors of the Corporation, Employee will not disclose, use, copy or duplicate, or otherwise permit the use, disclosure, copying or duplication of any Confidential Information of the Company, other than in connection with the authorized activities conducted in the course of Employee's employment with the Company. Employee agrees to take all reasonable steps and precautions to prevent any unauthorized disclosure, use, copying or duplication of Confidential Information. For purposes of this Agreement, Confidential Information means any and all financial, technical, commercial or other information concerning the business and affairs of the Company that is confidential and proprietary to the Company, including without limitation,</w:t>
      </w:r>
    </w:p>
    <w:p>
      <w:pPr>
        <w:spacing w:after="0" w:line="187" w:lineRule="exact"/>
        <w:rPr>
          <w:rFonts w:ascii="Arial" w:cs="Arial" w:eastAsia="Arial" w:hAnsi="Arial"/>
          <w:sz w:val="17"/>
          <w:szCs w:val="17"/>
          <w:color w:val="auto"/>
        </w:rPr>
      </w:pPr>
    </w:p>
    <w:p>
      <w:pPr>
        <w:jc w:val="both"/>
        <w:ind w:left="1952" w:hanging="655"/>
        <w:spacing w:after="0" w:line="264" w:lineRule="auto"/>
        <w:tabs>
          <w:tab w:leader="none" w:pos="1952" w:val="left"/>
        </w:tabs>
        <w:numPr>
          <w:ilvl w:val="3"/>
          <w:numId w:val="14"/>
        </w:numPr>
        <w:rPr>
          <w:rFonts w:ascii="Arial" w:cs="Arial" w:eastAsia="Arial" w:hAnsi="Arial"/>
          <w:sz w:val="18"/>
          <w:szCs w:val="18"/>
          <w:color w:val="auto"/>
        </w:rPr>
      </w:pPr>
      <w:r>
        <w:rPr>
          <w:rFonts w:ascii="Arial" w:cs="Arial" w:eastAsia="Arial" w:hAnsi="Arial"/>
          <w:sz w:val="18"/>
          <w:szCs w:val="18"/>
          <w:color w:val="auto"/>
        </w:rPr>
        <w:t>information relating to the Company’s past and existing customers and vendors and development of prospective customers and vendors, including specific customer product requirements, pricing arrangements, payments terms, customer lists and other similar information;</w:t>
      </w:r>
    </w:p>
    <w:p>
      <w:pPr>
        <w:spacing w:after="0" w:line="181" w:lineRule="exact"/>
        <w:rPr>
          <w:rFonts w:ascii="Arial" w:cs="Arial" w:eastAsia="Arial" w:hAnsi="Arial"/>
          <w:sz w:val="18"/>
          <w:szCs w:val="18"/>
          <w:color w:val="auto"/>
        </w:rPr>
      </w:pPr>
    </w:p>
    <w:p>
      <w:pPr>
        <w:ind w:left="1952" w:hanging="655"/>
        <w:spacing w:after="0" w:line="277" w:lineRule="auto"/>
        <w:tabs>
          <w:tab w:leader="none" w:pos="1952" w:val="left"/>
        </w:tabs>
        <w:numPr>
          <w:ilvl w:val="3"/>
          <w:numId w:val="14"/>
        </w:numPr>
        <w:rPr>
          <w:rFonts w:ascii="Arial" w:cs="Arial" w:eastAsia="Arial" w:hAnsi="Arial"/>
          <w:sz w:val="18"/>
          <w:szCs w:val="18"/>
          <w:color w:val="auto"/>
        </w:rPr>
      </w:pPr>
      <w:r>
        <w:rPr>
          <w:rFonts w:ascii="Arial" w:cs="Arial" w:eastAsia="Arial" w:hAnsi="Arial"/>
          <w:sz w:val="18"/>
          <w:szCs w:val="18"/>
          <w:color w:val="auto"/>
        </w:rPr>
        <w:t>inventions, designs, methods, discoveries, works of authorship, creations, improvements or ideas developed or otherwise produced, acquired or used by the Company;</w:t>
      </w:r>
    </w:p>
    <w:p>
      <w:pPr>
        <w:spacing w:after="0" w:line="170" w:lineRule="exact"/>
        <w:rPr>
          <w:rFonts w:ascii="Arial" w:cs="Arial" w:eastAsia="Arial" w:hAnsi="Arial"/>
          <w:sz w:val="18"/>
          <w:szCs w:val="18"/>
          <w:color w:val="auto"/>
        </w:rPr>
      </w:pPr>
    </w:p>
    <w:p>
      <w:pPr>
        <w:jc w:val="both"/>
        <w:ind w:left="1952" w:hanging="655"/>
        <w:spacing w:after="0" w:line="312" w:lineRule="auto"/>
        <w:tabs>
          <w:tab w:leader="none" w:pos="1952" w:val="left"/>
        </w:tabs>
        <w:numPr>
          <w:ilvl w:val="3"/>
          <w:numId w:val="14"/>
        </w:numPr>
        <w:rPr>
          <w:rFonts w:ascii="Arial" w:cs="Arial" w:eastAsia="Arial" w:hAnsi="Arial"/>
          <w:sz w:val="16"/>
          <w:szCs w:val="16"/>
          <w:color w:val="auto"/>
        </w:rPr>
      </w:pPr>
      <w:r>
        <w:rPr>
          <w:rFonts w:ascii="Arial" w:cs="Arial" w:eastAsia="Arial" w:hAnsi="Arial"/>
          <w:sz w:val="16"/>
          <w:szCs w:val="16"/>
          <w:color w:val="auto"/>
        </w:rPr>
        <w:t>the Company’s proprietary programs, processes or software, consisting of but not limited to, computer programs in source or object code and all related documentation and training materials, including all upgrades, updates, improvements, derivatives and modifications thereof and including programs and documentation in incomplete stages of design or research and development;</w:t>
      </w:r>
    </w:p>
    <w:p>
      <w:pPr>
        <w:spacing w:after="0" w:line="146" w:lineRule="exact"/>
        <w:rPr>
          <w:rFonts w:ascii="Arial" w:cs="Arial" w:eastAsia="Arial" w:hAnsi="Arial"/>
          <w:sz w:val="16"/>
          <w:szCs w:val="16"/>
          <w:color w:val="auto"/>
        </w:rPr>
      </w:pPr>
    </w:p>
    <w:p>
      <w:pPr>
        <w:jc w:val="both"/>
        <w:ind w:left="1952" w:hanging="655"/>
        <w:spacing w:after="0" w:line="264" w:lineRule="auto"/>
        <w:tabs>
          <w:tab w:leader="none" w:pos="1952" w:val="left"/>
        </w:tabs>
        <w:numPr>
          <w:ilvl w:val="3"/>
          <w:numId w:val="14"/>
        </w:numPr>
        <w:rPr>
          <w:rFonts w:ascii="Arial" w:cs="Arial" w:eastAsia="Arial" w:hAnsi="Arial"/>
          <w:sz w:val="18"/>
          <w:szCs w:val="18"/>
          <w:color w:val="auto"/>
        </w:rPr>
      </w:pPr>
      <w:r>
        <w:rPr>
          <w:rFonts w:ascii="Arial" w:cs="Arial" w:eastAsia="Arial" w:hAnsi="Arial"/>
          <w:sz w:val="18"/>
          <w:szCs w:val="18"/>
          <w:color w:val="auto"/>
        </w:rPr>
        <w:t>the subject matter of the Company’s patents, design patents, copyrights, trade secrets, trademarks, service marks, trade names, trade dress, manuals, operating instructions, training materials, and other industrial property, including such information in incomplete stages of design or research and development; and</w:t>
      </w:r>
    </w:p>
    <w:p>
      <w:pPr>
        <w:spacing w:after="0" w:line="181" w:lineRule="exact"/>
        <w:rPr>
          <w:rFonts w:ascii="Arial" w:cs="Arial" w:eastAsia="Arial" w:hAnsi="Arial"/>
          <w:sz w:val="18"/>
          <w:szCs w:val="18"/>
          <w:color w:val="auto"/>
        </w:rPr>
      </w:pPr>
    </w:p>
    <w:p>
      <w:pPr>
        <w:jc w:val="both"/>
        <w:ind w:left="1952" w:hanging="655"/>
        <w:spacing w:after="0" w:line="264" w:lineRule="auto"/>
        <w:tabs>
          <w:tab w:leader="none" w:pos="1952" w:val="left"/>
        </w:tabs>
        <w:numPr>
          <w:ilvl w:val="3"/>
          <w:numId w:val="14"/>
        </w:numPr>
        <w:rPr>
          <w:rFonts w:ascii="Arial" w:cs="Arial" w:eastAsia="Arial" w:hAnsi="Arial"/>
          <w:sz w:val="18"/>
          <w:szCs w:val="18"/>
          <w:color w:val="auto"/>
        </w:rPr>
      </w:pPr>
      <w:r>
        <w:rPr>
          <w:rFonts w:ascii="Arial" w:cs="Arial" w:eastAsia="Arial" w:hAnsi="Arial"/>
          <w:sz w:val="18"/>
          <w:szCs w:val="18"/>
          <w:color w:val="auto"/>
        </w:rPr>
        <w:t>other confidential and proprietary information or documents relating to the Company’s products, business and marketing plans and techniques, sales and distribution networks and any other information or documents which the Company reasonably regards as being confidential.</w:t>
      </w:r>
    </w:p>
    <w:p>
      <w:pPr>
        <w:spacing w:after="0" w:line="181" w:lineRule="exact"/>
        <w:rPr>
          <w:rFonts w:ascii="Arial" w:cs="Arial" w:eastAsia="Arial" w:hAnsi="Arial"/>
          <w:sz w:val="18"/>
          <w:szCs w:val="18"/>
          <w:color w:val="auto"/>
        </w:rPr>
      </w:pPr>
    </w:p>
    <w:p>
      <w:pPr>
        <w:jc w:val="both"/>
        <w:ind w:left="1292" w:hanging="644"/>
        <w:spacing w:after="0" w:line="257" w:lineRule="auto"/>
        <w:tabs>
          <w:tab w:leader="none" w:pos="1292" w:val="left"/>
        </w:tabs>
        <w:numPr>
          <w:ilvl w:val="2"/>
          <w:numId w:val="14"/>
        </w:numPr>
        <w:rPr>
          <w:rFonts w:ascii="Arial" w:cs="Arial" w:eastAsia="Arial" w:hAnsi="Arial"/>
          <w:sz w:val="18"/>
          <w:szCs w:val="18"/>
          <w:color w:val="auto"/>
        </w:rPr>
      </w:pPr>
      <w:r>
        <w:rPr>
          <w:rFonts w:ascii="Arial" w:cs="Arial" w:eastAsia="Arial" w:hAnsi="Arial"/>
          <w:sz w:val="18"/>
          <w:szCs w:val="18"/>
          <w:color w:val="auto"/>
        </w:rPr>
        <w:t>Employee agrees that, without the written consent of the Chief Executive Officer of the Corporation, in the case of the Chief Executive Officer of the Corporation, without the written approval of the Board of Directors of the Corporation, Employee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ectPr>
          <w:pgSz w:w="11900" w:h="16838" w:orient="portrait"/>
          <w:cols w:equalWidth="0" w:num="1">
            <w:col w:w="11412"/>
          </w:cols>
          <w:pgMar w:left="248" w:top="1013" w:right="239" w:bottom="1440" w:gutter="0" w:footer="0" w:header="0"/>
        </w:sectPr>
      </w:pPr>
    </w:p>
    <w:bookmarkStart w:id="35" w:name="page36"/>
    <w:bookmarkEnd w:id="35"/>
    <w:p>
      <w:pPr>
        <w:jc w:val="both"/>
        <w:ind w:left="1952" w:hanging="655"/>
        <w:spacing w:after="0" w:line="286" w:lineRule="auto"/>
        <w:tabs>
          <w:tab w:leader="none" w:pos="19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During the time of Employee's employment with Company, Employee will not: (A) perform duties as or for a Competitor; or (B) participate in the inducement of or otherwise encourage Company employees, clients, or vendors to currently and/or prospectively breach, modify, or terminate any agreement or relationship they have or had with Company.</w:t>
      </w:r>
    </w:p>
    <w:p>
      <w:pPr>
        <w:spacing w:after="0" w:line="165" w:lineRule="exact"/>
        <w:rPr>
          <w:rFonts w:ascii="Arial" w:cs="Arial" w:eastAsia="Arial" w:hAnsi="Arial"/>
          <w:sz w:val="17"/>
          <w:szCs w:val="17"/>
          <w:color w:val="auto"/>
        </w:rPr>
      </w:pPr>
    </w:p>
    <w:p>
      <w:pPr>
        <w:jc w:val="both"/>
        <w:ind w:left="1952" w:hanging="655"/>
        <w:spacing w:after="0" w:line="255" w:lineRule="auto"/>
        <w:tabs>
          <w:tab w:leader="none" w:pos="19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a period of 12 months following the termination of Employee's employment with Company, Employee will not: (A) perform duties as or for a Competitor that are the same as or similar to the duties performed by Employee for the Company at any time during any part of the 24 month period preceding the termination of Employee's employment with Company; or (B) participate in the inducement of or otherwise encourage Company employees, clients, or vendors to currently and/or prospectively breach, modify, or terminate any agreement or relationship they have or had with Company during any part of the 24 month period preceding the termination of Employee's employment with Company.</w:t>
      </w:r>
    </w:p>
    <w:p>
      <w:pPr>
        <w:spacing w:after="0" w:line="193" w:lineRule="exact"/>
        <w:rPr>
          <w:sz w:val="20"/>
          <w:szCs w:val="20"/>
          <w:color w:val="auto"/>
        </w:rPr>
      </w:pPr>
    </w:p>
    <w:p>
      <w:pPr>
        <w:jc w:val="both"/>
        <w:ind w:left="1292"/>
        <w:spacing w:after="0" w:line="259" w:lineRule="auto"/>
        <w:rPr>
          <w:sz w:val="20"/>
          <w:szCs w:val="20"/>
          <w:color w:val="auto"/>
        </w:rPr>
      </w:pPr>
      <w:r>
        <w:rPr>
          <w:rFonts w:ascii="Arial" w:cs="Arial" w:eastAsia="Arial" w:hAnsi="Arial"/>
          <w:sz w:val="18"/>
          <w:szCs w:val="18"/>
          <w:color w:val="auto"/>
        </w:rPr>
        <w:t>For purposes of this Agreement, a Competitor shall mean any corporation, person, firm or organization (or division or part thereof) engaged in or about to become engaged in research and development work on, or the production and/or sale of, any product or service which is directly competitive with one with respect to which Employee acquired Confidential Information by reason of Employee's work with the Company.</w:t>
      </w:r>
    </w:p>
    <w:p>
      <w:pPr>
        <w:spacing w:after="0" w:line="187" w:lineRule="exact"/>
        <w:rPr>
          <w:sz w:val="20"/>
          <w:szCs w:val="20"/>
          <w:color w:val="auto"/>
        </w:rPr>
      </w:pPr>
    </w:p>
    <w:p>
      <w:pPr>
        <w:jc w:val="both"/>
        <w:ind w:left="1292" w:hanging="644"/>
        <w:spacing w:after="0" w:line="254" w:lineRule="auto"/>
        <w:tabs>
          <w:tab w:leader="none" w:pos="1292" w:val="left"/>
        </w:tabs>
        <w:numPr>
          <w:ilvl w:val="1"/>
          <w:numId w:val="16"/>
        </w:numPr>
        <w:rPr>
          <w:rFonts w:ascii="Arial" w:cs="Arial" w:eastAsia="Arial" w:hAnsi="Arial"/>
          <w:sz w:val="18"/>
          <w:szCs w:val="18"/>
          <w:color w:val="auto"/>
        </w:rPr>
      </w:pPr>
      <w:r>
        <w:rPr>
          <w:rFonts w:ascii="Arial" w:cs="Arial" w:eastAsia="Arial" w:hAnsi="Arial"/>
          <w:sz w:val="18"/>
          <w:szCs w:val="18"/>
          <w:color w:val="auto"/>
        </w:rPr>
        <w:t>Employee acknowledges and agrees that compliance with this Section 9 is necessary to protect the Company, and that a breach of any of this Section 9 will result in irreparable and continuing damage to the Company for which there will be no adequate remedy at law. In the event of a breach of this Section 9, or any part thereof, the Company, and its successors and assigns, shall be entitled to injunctive relief and to such other and further relief as is proper under the circumstances. The Company shall institute and prosecute proceedings in any Court of competent jurisdiction either in law or in equity to obtain damages for any such breach of this Section 9, or to enjoin Employee from performing services in breach of Section 9(b) during the term of employment and for a period of 12 months following the termination of employment. Employee hereby agrees to submit to the jurisdiction of any Court of competent jurisdiction in any disputes that arise under this Agreement.</w:t>
      </w:r>
    </w:p>
    <w:p>
      <w:pPr>
        <w:spacing w:after="0" w:line="192" w:lineRule="exact"/>
        <w:rPr>
          <w:rFonts w:ascii="Arial" w:cs="Arial" w:eastAsia="Arial" w:hAnsi="Arial"/>
          <w:sz w:val="18"/>
          <w:szCs w:val="18"/>
          <w:color w:val="auto"/>
        </w:rPr>
      </w:pPr>
    </w:p>
    <w:p>
      <w:pPr>
        <w:jc w:val="both"/>
        <w:ind w:left="1292" w:right="20" w:hanging="644"/>
        <w:spacing w:after="0" w:line="264" w:lineRule="auto"/>
        <w:tabs>
          <w:tab w:leader="none" w:pos="1292" w:val="left"/>
        </w:tabs>
        <w:numPr>
          <w:ilvl w:val="1"/>
          <w:numId w:val="16"/>
        </w:numPr>
        <w:rPr>
          <w:rFonts w:ascii="Arial" w:cs="Arial" w:eastAsia="Arial" w:hAnsi="Arial"/>
          <w:sz w:val="18"/>
          <w:szCs w:val="18"/>
          <w:color w:val="auto"/>
        </w:rPr>
      </w:pPr>
      <w:r>
        <w:rPr>
          <w:rFonts w:ascii="Arial" w:cs="Arial" w:eastAsia="Arial" w:hAnsi="Arial"/>
          <w:sz w:val="18"/>
          <w:szCs w:val="18"/>
          <w:color w:val="auto"/>
        </w:rPr>
        <w:t>Employee further agrees that, in the event of a breach of this Section 9, the Corporation shall also be entitled to recover the value of any amounts previously paid or payable or any shares (or the value of any shares) delivered or deliverable to Employee pursuant to any Company bonus program, this Agreement, and any other Company plan or arrangement.</w:t>
      </w:r>
    </w:p>
    <w:p>
      <w:pPr>
        <w:spacing w:after="0" w:line="181" w:lineRule="exact"/>
        <w:rPr>
          <w:rFonts w:ascii="Arial" w:cs="Arial" w:eastAsia="Arial" w:hAnsi="Arial"/>
          <w:sz w:val="18"/>
          <w:szCs w:val="18"/>
          <w:color w:val="auto"/>
        </w:rPr>
      </w:pPr>
    </w:p>
    <w:p>
      <w:pPr>
        <w:ind w:left="1292" w:hanging="644"/>
        <w:spacing w:after="0"/>
        <w:tabs>
          <w:tab w:leader="none" w:pos="1292" w:val="left"/>
        </w:tabs>
        <w:numPr>
          <w:ilvl w:val="1"/>
          <w:numId w:val="16"/>
        </w:numPr>
        <w:rPr>
          <w:rFonts w:ascii="Arial" w:cs="Arial" w:eastAsia="Arial" w:hAnsi="Arial"/>
          <w:sz w:val="18"/>
          <w:szCs w:val="18"/>
          <w:color w:val="auto"/>
        </w:rPr>
      </w:pPr>
      <w:r>
        <w:rPr>
          <w:rFonts w:ascii="Arial" w:cs="Arial" w:eastAsia="Arial" w:hAnsi="Arial"/>
          <w:sz w:val="18"/>
          <w:szCs w:val="18"/>
          <w:color w:val="auto"/>
        </w:rPr>
        <w:t>Employee agrees that the terms of this Section 9 shall survive the termination of Employee's employment with the Company.</w:t>
      </w:r>
    </w:p>
    <w:p>
      <w:pPr>
        <w:spacing w:after="0" w:line="225" w:lineRule="exact"/>
        <w:rPr>
          <w:rFonts w:ascii="Arial" w:cs="Arial" w:eastAsia="Arial" w:hAnsi="Arial"/>
          <w:sz w:val="18"/>
          <w:szCs w:val="18"/>
          <w:color w:val="auto"/>
        </w:rPr>
      </w:pPr>
    </w:p>
    <w:p>
      <w:pPr>
        <w:jc w:val="both"/>
        <w:ind w:left="1292" w:hanging="644"/>
        <w:spacing w:after="0" w:line="259" w:lineRule="auto"/>
        <w:tabs>
          <w:tab w:leader="none" w:pos="1292" w:val="left"/>
        </w:tabs>
        <w:numPr>
          <w:ilvl w:val="1"/>
          <w:numId w:val="16"/>
        </w:numPr>
        <w:rPr>
          <w:rFonts w:ascii="Arial" w:cs="Arial" w:eastAsia="Arial" w:hAnsi="Arial"/>
          <w:sz w:val="18"/>
          <w:szCs w:val="18"/>
          <w:color w:val="auto"/>
        </w:rPr>
      </w:pPr>
      <w:r>
        <w:rPr>
          <w:rFonts w:ascii="Arial" w:cs="Arial" w:eastAsia="Arial" w:hAnsi="Arial"/>
          <w:sz w:val="18"/>
          <w:szCs w:val="18"/>
          <w:color w:val="auto"/>
        </w:rPr>
        <w:t>EMPLOYEE HAS READ THIS SECTION 9 AND AGREES THAT THE CONSIDERATION PROVIDED BY THE CORPORATION IS FAIR AND REASONABLE AND FURTHER AGREES THAT GIVEN THE IMPORTANCE TO THE COMPANY OF ITS CONFIDENTIAL AND PROPRIETARY INFORMATION, THE POST-EMPLOYMENT RESTRICTIONS ON EMPLOYEE'S ACTIVITIES ARE LIKEWISE FAIR AND REASONABLE.</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w:t>
      </w:r>
    </w:p>
    <w:p>
      <w:pPr>
        <w:spacing w:after="0" w:line="229" w:lineRule="exact"/>
        <w:rPr>
          <w:rFonts w:ascii="Arial" w:cs="Arial" w:eastAsia="Arial" w:hAnsi="Arial"/>
          <w:sz w:val="18"/>
          <w:szCs w:val="18"/>
          <w:color w:val="auto"/>
        </w:rPr>
      </w:pPr>
    </w:p>
    <w:p>
      <w:pPr>
        <w:jc w:val="both"/>
        <w:ind w:left="652"/>
        <w:spacing w:after="0" w:line="259" w:lineRule="auto"/>
        <w:rPr>
          <w:rFonts w:ascii="Arial" w:cs="Arial" w:eastAsia="Arial" w:hAnsi="Arial"/>
          <w:sz w:val="18"/>
          <w:szCs w:val="18"/>
          <w:color w:val="auto"/>
        </w:rPr>
      </w:pPr>
      <w:r>
        <w:rPr>
          <w:rFonts w:ascii="Arial" w:cs="Arial" w:eastAsia="Arial" w:hAnsi="Arial"/>
          <w:sz w:val="18"/>
          <w:szCs w:val="18"/>
          <w:color w:val="auto"/>
        </w:rPr>
        <w:t>This Award is subject to the terms of the Corporation's recoupment, clawback or similar policy as it may be in effect from time to time, as well as any similar provisions of applicable law, any of which could in certain circumstances require repayment or forfeiture of awards or any shares of Corporation Stock or other cash or property received with respect to the awards (including any value received from a disposition of the shares acquired upon payment of the awards).</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of Shares</w:t>
      </w:r>
    </w:p>
    <w:p>
      <w:pPr>
        <w:spacing w:after="0" w:line="229" w:lineRule="exact"/>
        <w:rPr>
          <w:rFonts w:ascii="Arial" w:cs="Arial" w:eastAsia="Arial" w:hAnsi="Arial"/>
          <w:sz w:val="18"/>
          <w:szCs w:val="18"/>
          <w:color w:val="auto"/>
        </w:rPr>
      </w:pPr>
    </w:p>
    <w:p>
      <w:pPr>
        <w:jc w:val="both"/>
        <w:ind w:left="652"/>
        <w:spacing w:after="0" w:line="286" w:lineRule="auto"/>
        <w:rPr>
          <w:rFonts w:ascii="Arial" w:cs="Arial" w:eastAsia="Arial" w:hAnsi="Arial"/>
          <w:sz w:val="18"/>
          <w:szCs w:val="18"/>
          <w:color w:val="auto"/>
        </w:rPr>
      </w:pPr>
      <w:r>
        <w:rPr>
          <w:rFonts w:ascii="Arial" w:cs="Arial" w:eastAsia="Arial" w:hAnsi="Arial"/>
          <w:sz w:val="17"/>
          <w:szCs w:val="17"/>
          <w:color w:val="auto"/>
        </w:rPr>
        <w:t>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ectPr>
          <w:pgSz w:w="11900" w:h="16838" w:orient="portrait"/>
          <w:cols w:equalWidth="0" w:num="1">
            <w:col w:w="11412"/>
          </w:cols>
          <w:pgMar w:left="248" w:top="584" w:right="239" w:bottom="1440" w:gutter="0" w:footer="0" w:header="0"/>
        </w:sectPr>
      </w:pPr>
    </w:p>
    <w:bookmarkStart w:id="36" w:name="page37"/>
    <w:bookmarkEnd w:id="36"/>
    <w:p>
      <w:pPr>
        <w:ind w:left="652" w:hanging="652"/>
        <w:spacing w:after="0"/>
        <w:tabs>
          <w:tab w:leader="none" w:pos="652"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of Plan Controlling</w:t>
      </w:r>
    </w:p>
    <w:p>
      <w:pPr>
        <w:spacing w:after="0" w:line="229" w:lineRule="exact"/>
        <w:rPr>
          <w:rFonts w:ascii="Arial" w:cs="Arial" w:eastAsia="Arial" w:hAnsi="Arial"/>
          <w:sz w:val="18"/>
          <w:szCs w:val="18"/>
          <w:color w:val="auto"/>
        </w:rPr>
      </w:pPr>
    </w:p>
    <w:p>
      <w:pPr>
        <w:jc w:val="both"/>
        <w:ind w:left="652"/>
        <w:spacing w:after="0" w:line="259" w:lineRule="auto"/>
        <w:rPr>
          <w:rFonts w:ascii="Arial" w:cs="Arial" w:eastAsia="Arial" w:hAnsi="Arial"/>
          <w:sz w:val="18"/>
          <w:szCs w:val="18"/>
          <w:color w:val="auto"/>
        </w:rPr>
      </w:pPr>
      <w:r>
        <w:rPr>
          <w:rFonts w:ascii="Arial" w:cs="Arial" w:eastAsia="Arial" w:hAnsi="Arial"/>
          <w:sz w:val="18"/>
          <w:szCs w:val="18"/>
          <w:color w:val="auto"/>
        </w:rPr>
        <w:t>This Award is subject in all respects to the provisions of the Plan. In the event of any conflict between any provisions of this Award and the provisions of the Plan, the provisions of the Plan shall control, except to the extent the Plan permits the Committee to modify the terms of an Award grant and has done so herein. Terms defined in the Plan where used herein shall have the meanings as so defined. Employee acknowledges receipt of a copy of the Plan.</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Wisconsin Contract</w:t>
      </w:r>
    </w:p>
    <w:p>
      <w:pPr>
        <w:spacing w:after="0" w:line="229"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This Award has been granted in Wisconsin and shall be construed under the laws of that state.</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29" w:lineRule="exact"/>
        <w:rPr>
          <w:rFonts w:ascii="Arial" w:cs="Arial" w:eastAsia="Arial" w:hAnsi="Arial"/>
          <w:sz w:val="18"/>
          <w:szCs w:val="18"/>
          <w:color w:val="auto"/>
        </w:rPr>
      </w:pPr>
    </w:p>
    <w:p>
      <w:pPr>
        <w:jc w:val="both"/>
        <w:ind w:left="652"/>
        <w:spacing w:after="0" w:line="264" w:lineRule="auto"/>
        <w:rPr>
          <w:rFonts w:ascii="Arial" w:cs="Arial" w:eastAsia="Arial" w:hAnsi="Arial"/>
          <w:sz w:val="18"/>
          <w:szCs w:val="18"/>
          <w:color w:val="auto"/>
        </w:rPr>
      </w:pPr>
      <w:r>
        <w:rPr>
          <w:rFonts w:ascii="Arial" w:cs="Arial" w:eastAsia="Arial" w:hAnsi="Arial"/>
          <w:sz w:val="18"/>
          <w:szCs w:val="18"/>
          <w:color w:val="auto"/>
        </w:rPr>
        <w:t>Wherever possible, each provision of this Award will be interpreted in such manner as to be effective and valid under applicable law, but if any provision hereof is held to be prohibited by or invalid under applicable law, such provision will be ineffective only to the extent of such prohibition or invalidity, without invalidating the remainder of such provision or the remaining provisions hereof.</w:t>
      </w:r>
    </w:p>
    <w:p>
      <w:pPr>
        <w:spacing w:after="0" w:line="181"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IN WITNESS WHEREOF, the Corporation has granted this Award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32"/>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By: /s/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-10160</wp:posOffset>
            </wp:positionV>
            <wp:extent cx="14732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73200" cy="8890"/>
                    </a:xfrm>
                    <a:prstGeom prst="rect">
                      <a:avLst/>
                    </a:prstGeom>
                    <a:noFill/>
                  </pic:spPr>
                </pic:pic>
              </a:graphicData>
            </a:graphic>
          </wp:anchor>
        </w:drawing>
      </w:r>
    </w:p>
    <w:p>
      <w:pPr>
        <w:spacing w:after="0" w:line="3"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Name: J. Michael Nauman</w:t>
      </w:r>
    </w:p>
    <w:p>
      <w:pPr>
        <w:spacing w:after="0" w:line="9"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Its: President and Chief Executive Officer</w:t>
      </w:r>
    </w:p>
    <w:p>
      <w:pPr>
        <w:spacing w:after="0" w:line="200" w:lineRule="exact"/>
        <w:rPr>
          <w:sz w:val="20"/>
          <w:szCs w:val="20"/>
          <w:color w:val="auto"/>
        </w:rPr>
      </w:pPr>
    </w:p>
    <w:p>
      <w:pPr>
        <w:spacing w:after="0" w:line="223" w:lineRule="exact"/>
        <w:rPr>
          <w:sz w:val="20"/>
          <w:szCs w:val="20"/>
          <w:color w:val="auto"/>
        </w:rPr>
      </w:pPr>
    </w:p>
    <w:p>
      <w:pPr>
        <w:ind w:left="3232"/>
        <w:spacing w:after="0"/>
        <w:rPr>
          <w:sz w:val="20"/>
          <w:szCs w:val="20"/>
          <w:color w:val="auto"/>
        </w:rPr>
      </w:pPr>
      <w:r>
        <w:rPr>
          <w:rFonts w:ascii="Arial" w:cs="Arial" w:eastAsia="Arial" w:hAnsi="Arial"/>
          <w:sz w:val="18"/>
          <w:szCs w:val="18"/>
          <w:b w:val="1"/>
          <w:bCs w:val="1"/>
          <w:u w:val="single" w:color="auto"/>
          <w:color w:val="auto"/>
        </w:rPr>
        <w:t>EMPLOYEE'S ACCEPTANCE</w:t>
      </w:r>
    </w:p>
    <w:p>
      <w:pPr>
        <w:spacing w:after="0" w:line="229" w:lineRule="exact"/>
        <w:rPr>
          <w:sz w:val="20"/>
          <w:szCs w:val="20"/>
          <w:color w:val="auto"/>
        </w:rPr>
      </w:pPr>
    </w:p>
    <w:p>
      <w:pPr>
        <w:ind w:left="3232" w:right="60"/>
        <w:spacing w:after="0" w:line="277" w:lineRule="auto"/>
        <w:rPr>
          <w:sz w:val="20"/>
          <w:szCs w:val="20"/>
          <w:color w:val="auto"/>
        </w:rPr>
      </w:pPr>
      <w:r>
        <w:rPr>
          <w:rFonts w:ascii="Arial" w:cs="Arial" w:eastAsia="Arial" w:hAnsi="Arial"/>
          <w:sz w:val="18"/>
          <w:szCs w:val="18"/>
          <w:color w:val="auto"/>
        </w:rPr>
        <w:t>I, Thomas J. Felmer, hereby accept the foregoing Award and agree to the terms and conditions thereof, including the restrictions contained in Section 9 of this Agreement.</w:t>
      </w:r>
    </w:p>
    <w:p>
      <w:pPr>
        <w:spacing w:after="0" w:line="166" w:lineRule="exact"/>
        <w:rPr>
          <w:sz w:val="20"/>
          <w:szCs w:val="20"/>
          <w:color w:val="auto"/>
        </w:rPr>
      </w:pPr>
    </w:p>
    <w:p>
      <w:pPr>
        <w:ind w:left="3232"/>
        <w:spacing w:after="0"/>
        <w:rPr>
          <w:sz w:val="20"/>
          <w:szCs w:val="20"/>
          <w:color w:val="auto"/>
        </w:rPr>
      </w:pPr>
      <w:r>
        <w:rPr>
          <w:rFonts w:ascii="Arial" w:cs="Arial" w:eastAsia="Arial" w:hAnsi="Arial"/>
          <w:sz w:val="18"/>
          <w:szCs w:val="18"/>
          <w:b w:val="1"/>
          <w:bCs w:val="1"/>
          <w:color w:val="auto"/>
        </w:rPr>
        <w:t>EMPLOYEE:</w:t>
      </w:r>
    </w:p>
    <w:p>
      <w:pPr>
        <w:spacing w:after="0" w:line="229"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/s/ THOMAS J. FELMER</w:t>
      </w:r>
    </w:p>
    <w:p>
      <w:pPr>
        <w:spacing w:after="0" w:line="23" w:lineRule="exact"/>
        <w:rPr>
          <w:sz w:val="20"/>
          <w:szCs w:val="20"/>
          <w:color w:val="auto"/>
        </w:rPr>
      </w:pPr>
    </w:p>
    <w:p>
      <w:pPr>
        <w:ind w:left="3232"/>
        <w:spacing w:after="0"/>
        <w:rPr>
          <w:sz w:val="20"/>
          <w:szCs w:val="20"/>
          <w:color w:val="auto"/>
        </w:rPr>
      </w:pPr>
      <w:r>
        <w:rPr>
          <w:rFonts w:ascii="Arial" w:cs="Arial" w:eastAsia="Arial" w:hAnsi="Arial"/>
          <w:sz w:val="18"/>
          <w:szCs w:val="18"/>
          <w:color w:val="auto"/>
        </w:rPr>
        <w:t>Print Name: Thomas J. Felmer</w:t>
      </w:r>
    </w:p>
    <w:p>
      <w:pPr>
        <w:sectPr>
          <w:pgSz w:w="11900" w:h="16838" w:orient="portrait"/>
          <w:cols w:equalWidth="0" w:num="1">
            <w:col w:w="11412"/>
          </w:cols>
          <w:pgMar w:left="248"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90" w:lineRule="exact"/>
        <w:rPr>
          <w:sz w:val="20"/>
          <w:szCs w:val="20"/>
          <w:color w:val="auto"/>
        </w:rPr>
      </w:pPr>
    </w:p>
    <w:p>
      <w:pPr>
        <w:ind w:left="700" w:hanging="260"/>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2, 2014</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&amp;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90" w:lineRule="exact"/>
        <w:rPr>
          <w:sz w:val="20"/>
          <w:szCs w:val="20"/>
          <w:color w:val="auto"/>
        </w:rPr>
      </w:pPr>
    </w:p>
    <w:p>
      <w:pPr>
        <w:ind w:left="700" w:hanging="260"/>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2, 2014</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right="20" w:firstLine="440"/>
        <w:spacing w:after="0" w:line="277" w:lineRule="auto"/>
        <w:tabs>
          <w:tab w:leader="none" w:pos="7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2014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2, 2014</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&amp;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right="20" w:firstLine="440"/>
        <w:spacing w:after="0" w:line="277" w:lineRule="auto"/>
        <w:tabs>
          <w:tab w:leader="none" w:pos="70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2014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2, 2014</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&amp;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214"/>
    </w:lvl>
  </w:abstractNum>
  <w:abstractNum w:abstractNumId="3">
    <w:nsid w:val="6B68079A"/>
    <w:multiLevelType w:val="hybridMultilevel"/>
    <w:lvl w:ilvl="0">
      <w:lvlJc w:val="left"/>
      <w:lvlText w:val="(%1)"/>
      <w:numFmt w:val="decimal"/>
      <w:start w:val="81"/>
    </w:lvl>
  </w:abstractNum>
  <w:abstractNum w:abstractNumId="4">
    <w:nsid w:val="4E6AFB66"/>
    <w:multiLevelType w:val="hybridMultilevel"/>
    <w:lvl w:ilvl="0">
      <w:lvlJc w:val="left"/>
      <w:lvlText w:val="(%1)"/>
      <w:numFmt w:val="decimal"/>
      <w:start w:val="295"/>
    </w:lvl>
  </w:abstractNum>
  <w:abstractNum w:abstractNumId="5">
    <w:nsid w:val="25E45D32"/>
    <w:multiLevelType w:val="hybridMultilevel"/>
    <w:lvl w:ilvl="0">
      <w:lvlJc w:val="left"/>
      <w:lvlText w:val="%1"/>
      <w:numFmt w:val="decimal"/>
      <w:start w:val="9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decimal"/>
      <w:start w:val="1"/>
    </w:lvl>
    <w:lvl w:ilvl="1">
      <w:lvlJc w:val="left"/>
      <w:lvlText w:val="(%2)"/>
      <w:numFmt w:val="lowerLetter"/>
      <w:start w:val="1"/>
    </w:lvl>
  </w:abstractNum>
  <w:abstractNum w:abstractNumId="9">
    <w:nsid w:val="7C83E458"/>
    <w:multiLevelType w:val="hybridMultilevel"/>
    <w:lvl w:ilvl="0">
      <w:lvlJc w:val="left"/>
      <w:lvlText w:val="%1"/>
      <w:numFmt w:val="decimal"/>
      <w:start w:val="1"/>
    </w:lvl>
    <w:lvl w:ilvl="1">
      <w:lvlJc w:val="left"/>
      <w:lvlText w:val="(%2)"/>
      <w:numFmt w:val="lowerLetter"/>
      <w:start w:val="2"/>
    </w:lvl>
  </w:abstractNum>
  <w:abstractNum w:abstractNumId="10">
    <w:nsid w:val="257130A3"/>
    <w:multiLevelType w:val="hybridMultilevel"/>
    <w:lvl w:ilvl="0">
      <w:lvlJc w:val="left"/>
      <w:lvlText w:val="%1."/>
      <w:numFmt w:val="decimal"/>
      <w:start w:val="3"/>
    </w:lvl>
    <w:lvl w:ilvl="1">
      <w:lvlJc w:val="left"/>
      <w:lvlText w:val="(%2)"/>
      <w:numFmt w:val="lowerLetter"/>
      <w:start w:val="1"/>
    </w:lvl>
  </w:abstractNum>
  <w:abstractNum w:abstractNumId="11">
    <w:nsid w:val="62BBD95A"/>
    <w:multiLevelType w:val="hybridMultilevel"/>
    <w:lvl w:ilvl="0">
      <w:lvlJc w:val="left"/>
      <w:lvlText w:val="%1"/>
      <w:numFmt w:val="decimal"/>
      <w:start w:val="1"/>
    </w:lvl>
    <w:lvl w:ilvl="1">
      <w:lvlJc w:val="left"/>
      <w:lvlText w:val="(%2)"/>
      <w:numFmt w:val="lowerLetter"/>
      <w:start w:val="3"/>
    </w:lvl>
  </w:abstractNum>
  <w:abstractNum w:abstractNumId="12">
    <w:nsid w:val="436C6125"/>
    <w:multiLevelType w:val="hybridMultilevel"/>
    <w:lvl w:ilvl="0">
      <w:lvlJc w:val="left"/>
      <w:lvlText w:val="%1."/>
      <w:numFmt w:val="decimal"/>
      <w:start w:val="4"/>
    </w:lvl>
    <w:lvl w:ilvl="1">
      <w:lvlJc w:val="left"/>
      <w:lvlText w:val="%2"/>
      <w:numFmt w:val="lowerLetter"/>
      <w:start w:val="1"/>
    </w:lvl>
  </w:abstractNum>
  <w:abstractNum w:abstractNumId="13">
    <w:nsid w:val="628C895D"/>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4">
    <w:nsid w:val="333AB105"/>
    <w:multiLevelType w:val="hybridMultilevel"/>
    <w:lvl w:ilvl="0">
      <w:lvlJc w:val="left"/>
      <w:lvlText w:val="(%1)"/>
      <w:numFmt w:val="lowerRoman"/>
      <w:start w:val="1"/>
    </w:lvl>
  </w:abstractNum>
  <w:abstractNum w:abstractNumId="15">
    <w:nsid w:val="721DA317"/>
    <w:multiLevelType w:val="hybridMultilevel"/>
    <w:lvl w:ilvl="0">
      <w:lvlJc w:val="left"/>
      <w:lvlText w:val="%1"/>
      <w:numFmt w:val="decimal"/>
      <w:start w:val="1"/>
    </w:lvl>
    <w:lvl w:ilvl="1">
      <w:lvlJc w:val="left"/>
      <w:lvlText w:val="(%2)"/>
      <w:numFmt w:val="lowerLetter"/>
      <w:start w:val="3"/>
    </w:lvl>
  </w:abstractNum>
  <w:abstractNum w:abstractNumId="16">
    <w:nsid w:val="2443A858"/>
    <w:multiLevelType w:val="hybridMultilevel"/>
    <w:lvl w:ilvl="0">
      <w:lvlJc w:val="left"/>
      <w:lvlText w:val="%1."/>
      <w:numFmt w:val="decimal"/>
      <w:start w:val="10"/>
    </w:lvl>
    <w:lvl w:ilvl="1">
      <w:lvlJc w:val="left"/>
      <w:lvlText w:val="%2"/>
      <w:numFmt w:val="lowerLetter"/>
      <w:start w:val="1"/>
    </w:lvl>
  </w:abstractNum>
  <w:abstractNum w:abstractNumId="17">
    <w:nsid w:val="2D1D5AE9"/>
    <w:multiLevelType w:val="hybridMultilevel"/>
    <w:lvl w:ilvl="0">
      <w:lvlJc w:val="left"/>
      <w:lvlText w:val="%1."/>
      <w:numFmt w:val="decimal"/>
      <w:start w:val="12"/>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decimal"/>
      <w:start w:val="5"/>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2019-12-05T20:21:14Z</dcterms:created>
  <dcterms:modified xsi:type="dcterms:W3CDTF">2019-12-05T20:21:14Z</dcterms:modified>
</cp:coreProperties>
</file>